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0" w:lineRule="auto"/>
        <w:ind w:left="405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邵阳市</w:t>
      </w:r>
      <w:r>
        <w:rPr>
          <w:rFonts w:hint="eastAsia" w:ascii="宋体" w:hAnsi="宋体" w:eastAsia="宋体" w:cs="宋体"/>
          <w:spacing w:val="2"/>
          <w:sz w:val="31"/>
          <w:szCs w:val="31"/>
          <w:lang w:eastAsia="zh-CN"/>
        </w:rPr>
        <w:t>北塔</w:t>
      </w:r>
      <w:r>
        <w:rPr>
          <w:rFonts w:ascii="宋体" w:hAnsi="宋体" w:eastAsia="宋体" w:cs="宋体"/>
          <w:spacing w:val="2"/>
          <w:sz w:val="31"/>
          <w:szCs w:val="31"/>
        </w:rPr>
        <w:t>区发展和改革局2025年度涉企行政检查计划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58" w:line="220" w:lineRule="auto"/>
        <w:ind w:left="47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4"/>
          <w:sz w:val="18"/>
          <w:szCs w:val="18"/>
        </w:rPr>
        <w:t>填报单位（盖章</w:t>
      </w:r>
      <w:r>
        <w:rPr>
          <w:rFonts w:ascii="宋体" w:hAnsi="宋体" w:eastAsia="宋体" w:cs="宋体"/>
          <w:spacing w:val="20"/>
          <w:sz w:val="18"/>
          <w:szCs w:val="18"/>
        </w:rPr>
        <w:t>）：</w:t>
      </w:r>
      <w:r>
        <w:rPr>
          <w:rFonts w:ascii="宋体" w:hAnsi="宋体" w:eastAsia="宋体" w:cs="宋体"/>
          <w:spacing w:val="4"/>
          <w:sz w:val="18"/>
          <w:szCs w:val="18"/>
        </w:rPr>
        <w:t>邵阳市</w:t>
      </w:r>
      <w:r>
        <w:rPr>
          <w:rFonts w:hint="eastAsia" w:ascii="宋体" w:hAnsi="宋体" w:eastAsia="宋体" w:cs="宋体"/>
          <w:spacing w:val="4"/>
          <w:sz w:val="18"/>
          <w:szCs w:val="18"/>
          <w:lang w:eastAsia="zh-CN"/>
        </w:rPr>
        <w:t>北塔</w:t>
      </w:r>
      <w:r>
        <w:rPr>
          <w:rFonts w:ascii="宋体" w:hAnsi="宋体" w:eastAsia="宋体" w:cs="宋体"/>
          <w:spacing w:val="4"/>
          <w:sz w:val="18"/>
          <w:szCs w:val="18"/>
        </w:rPr>
        <w:t>区发展和改革局                                                                                           联系人及联系电话0739-</w:t>
      </w:r>
      <w:r>
        <w:rPr>
          <w:rFonts w:hint="eastAsia" w:ascii="宋体" w:hAnsi="宋体" w:eastAsia="宋体" w:cs="宋体"/>
          <w:spacing w:val="4"/>
          <w:sz w:val="18"/>
          <w:szCs w:val="18"/>
          <w:lang w:val="en-US" w:eastAsia="zh-CN"/>
        </w:rPr>
        <w:t>5081258</w:t>
      </w:r>
    </w:p>
    <w:tbl>
      <w:tblPr>
        <w:tblStyle w:val="5"/>
        <w:tblW w:w="152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06"/>
        <w:gridCol w:w="5451"/>
        <w:gridCol w:w="2082"/>
        <w:gridCol w:w="1997"/>
        <w:gridCol w:w="833"/>
        <w:gridCol w:w="706"/>
        <w:gridCol w:w="707"/>
        <w:gridCol w:w="761"/>
        <w:gridCol w:w="1088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4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4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序号</w:t>
            </w:r>
          </w:p>
        </w:tc>
        <w:tc>
          <w:tcPr>
            <w:tcW w:w="7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检查事项</w:t>
            </w:r>
          </w:p>
        </w:tc>
        <w:tc>
          <w:tcPr>
            <w:tcW w:w="545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24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实施依据</w:t>
            </w:r>
          </w:p>
        </w:tc>
        <w:tc>
          <w:tcPr>
            <w:tcW w:w="20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4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具体检查对象(含数量)或</w:t>
            </w:r>
          </w:p>
          <w:p>
            <w:pPr>
              <w:spacing w:before="6" w:line="228" w:lineRule="auto"/>
              <w:ind w:left="46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“双随机”抽查对象（含</w:t>
            </w:r>
          </w:p>
          <w:p>
            <w:pPr>
              <w:spacing w:before="2" w:line="229" w:lineRule="auto"/>
              <w:ind w:left="51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总数及比例）</w:t>
            </w:r>
          </w:p>
        </w:tc>
        <w:tc>
          <w:tcPr>
            <w:tcW w:w="19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27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检查内容（项目）</w:t>
            </w:r>
          </w:p>
        </w:tc>
        <w:tc>
          <w:tcPr>
            <w:tcW w:w="83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35" w:lineRule="auto"/>
              <w:ind w:left="157" w:right="35" w:hanging="95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拟实施检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查时间</w:t>
            </w:r>
          </w:p>
        </w:tc>
        <w:tc>
          <w:tcPr>
            <w:tcW w:w="70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8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检查方</w:t>
            </w:r>
          </w:p>
          <w:p>
            <w:pPr>
              <w:spacing w:before="6" w:line="230" w:lineRule="auto"/>
              <w:ind w:left="28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式</w:t>
            </w:r>
          </w:p>
        </w:tc>
        <w:tc>
          <w:tcPr>
            <w:tcW w:w="70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年度检</w:t>
            </w:r>
          </w:p>
          <w:p>
            <w:pPr>
              <w:spacing w:before="5" w:line="229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查频次</w:t>
            </w:r>
          </w:p>
        </w:tc>
        <w:tc>
          <w:tcPr>
            <w:tcW w:w="76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承办机构</w:t>
            </w:r>
          </w:p>
        </w:tc>
        <w:tc>
          <w:tcPr>
            <w:tcW w:w="1088" w:type="dxa"/>
            <w:vAlign w:val="top"/>
          </w:tcPr>
          <w:p>
            <w:pPr>
              <w:spacing w:before="29" w:line="228" w:lineRule="auto"/>
              <w:ind w:left="10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是否属跨部</w:t>
            </w:r>
          </w:p>
          <w:p>
            <w:pPr>
              <w:spacing w:before="3" w:line="228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门联合检查</w:t>
            </w:r>
          </w:p>
          <w:p>
            <w:pPr>
              <w:spacing w:before="4" w:line="220" w:lineRule="auto"/>
              <w:ind w:left="1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（如是，需</w:t>
            </w:r>
          </w:p>
          <w:p>
            <w:pPr>
              <w:spacing w:before="13" w:line="228" w:lineRule="auto"/>
              <w:ind w:left="10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写明牵头部</w:t>
            </w:r>
          </w:p>
          <w:p>
            <w:pPr>
              <w:spacing w:before="6" w:line="230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门和配合部</w:t>
            </w:r>
          </w:p>
          <w:p>
            <w:pPr>
              <w:spacing w:before="4" w:line="186" w:lineRule="auto"/>
              <w:ind w:left="38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门）</w:t>
            </w:r>
          </w:p>
        </w:tc>
        <w:tc>
          <w:tcPr>
            <w:tcW w:w="5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44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86"/>
            </w:pPr>
            <w:r>
              <w:rPr>
                <w:spacing w:val="3"/>
              </w:rPr>
              <w:t>工程建</w:t>
            </w:r>
          </w:p>
          <w:p>
            <w:pPr>
              <w:pStyle w:val="6"/>
              <w:spacing w:before="6" w:line="226" w:lineRule="auto"/>
              <w:ind w:left="87"/>
            </w:pPr>
            <w:r>
              <w:rPr>
                <w:spacing w:val="3"/>
              </w:rPr>
              <w:t>设项目</w:t>
            </w:r>
          </w:p>
          <w:p>
            <w:pPr>
              <w:pStyle w:val="6"/>
              <w:spacing w:before="7" w:line="227" w:lineRule="auto"/>
              <w:ind w:left="85"/>
            </w:pPr>
            <w:r>
              <w:rPr>
                <w:spacing w:val="4"/>
              </w:rPr>
              <w:t>标后履</w:t>
            </w:r>
          </w:p>
          <w:p>
            <w:pPr>
              <w:pStyle w:val="6"/>
              <w:spacing w:before="6" w:line="236" w:lineRule="auto"/>
              <w:ind w:left="177" w:right="71" w:hanging="89"/>
            </w:pPr>
            <w:r>
              <w:rPr>
                <w:spacing w:val="3"/>
              </w:rPr>
              <w:t>约专项</w:t>
            </w:r>
            <w: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54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70"/>
            </w:pPr>
            <w:r>
              <w:rPr>
                <w:spacing w:val="7"/>
              </w:rPr>
              <w:t>《中华人民共和国招标投标法》第七条，《关于</w:t>
            </w:r>
            <w:r>
              <w:rPr>
                <w:spacing w:val="6"/>
              </w:rPr>
              <w:t>严格执行招标投标</w:t>
            </w:r>
          </w:p>
          <w:p>
            <w:pPr>
              <w:pStyle w:val="6"/>
              <w:spacing w:before="7" w:line="225" w:lineRule="auto"/>
              <w:ind w:left="114"/>
            </w:pPr>
            <w:r>
              <w:rPr>
                <w:spacing w:val="5"/>
              </w:rPr>
              <w:t>法规制度进一步规范招标投标主体行为的若干意见》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(发改法规规</w:t>
            </w:r>
          </w:p>
          <w:p>
            <w:pPr>
              <w:pStyle w:val="6"/>
              <w:spacing w:before="8" w:line="225" w:lineRule="auto"/>
              <w:ind w:left="138"/>
            </w:pPr>
            <w:r>
              <w:rPr>
                <w:spacing w:val="5"/>
              </w:rPr>
              <w:t>〔2022〕1117号)第（七）点：加强对依法必须招标项目合同订立</w:t>
            </w:r>
          </w:p>
          <w:p>
            <w:pPr>
              <w:pStyle w:val="6"/>
              <w:spacing w:before="8" w:line="224" w:lineRule="auto"/>
              <w:ind w:left="79"/>
            </w:pPr>
            <w:r>
              <w:rPr>
                <w:spacing w:val="5"/>
              </w:rPr>
              <w:t>、履行及变更的行政监督，强化信用管理，防止“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阴阳合同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”“低</w:t>
            </w:r>
          </w:p>
          <w:p>
            <w:pPr>
              <w:pStyle w:val="6"/>
              <w:spacing w:before="10" w:line="225" w:lineRule="auto"/>
              <w:ind w:left="271"/>
            </w:pPr>
            <w:r>
              <w:rPr>
                <w:spacing w:val="5"/>
              </w:rPr>
              <w:t>中高结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”等违法违规行为发生，及时依法查处违法违规行为。</w:t>
            </w:r>
          </w:p>
        </w:tc>
        <w:tc>
          <w:tcPr>
            <w:tcW w:w="208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599" w:right="64" w:hanging="558"/>
            </w:pPr>
            <w:r>
              <w:rPr>
                <w:spacing w:val="2"/>
              </w:rPr>
              <w:t>工程建设项目施工单位，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抽查比例3%</w:t>
            </w:r>
          </w:p>
        </w:tc>
        <w:tc>
          <w:tcPr>
            <w:tcW w:w="199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93" w:right="67" w:firstLine="13"/>
            </w:pPr>
            <w:r>
              <w:rPr>
                <w:spacing w:val="4"/>
              </w:rPr>
              <w:t>1.合同备案情况；2.违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规“三包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”一挂情况；</w:t>
            </w:r>
            <w:r>
              <w:t xml:space="preserve"> </w:t>
            </w:r>
            <w:r>
              <w:rPr>
                <w:spacing w:val="5"/>
              </w:rPr>
              <w:t>3.关键人员到岗情况；</w:t>
            </w:r>
          </w:p>
          <w:p>
            <w:pPr>
              <w:pStyle w:val="6"/>
              <w:spacing w:before="6" w:line="226" w:lineRule="auto"/>
              <w:ind w:left="279"/>
            </w:pPr>
            <w:r>
              <w:rPr>
                <w:spacing w:val="4"/>
              </w:rPr>
              <w:t>4.经济管理情况。</w:t>
            </w:r>
          </w:p>
        </w:tc>
        <w:tc>
          <w:tcPr>
            <w:tcW w:w="83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9" w:lineRule="exact"/>
              <w:ind w:left="110"/>
            </w:pPr>
            <w:r>
              <w:rPr>
                <w:spacing w:val="3"/>
              </w:rPr>
              <w:t>12月</w:t>
            </w:r>
            <w:r>
              <w:rPr>
                <w:rFonts w:hint="eastAsia"/>
                <w:spacing w:val="3"/>
                <w:lang w:eastAsia="zh-CN"/>
              </w:rPr>
              <w:t>底完成</w:t>
            </w:r>
          </w:p>
        </w:tc>
        <w:tc>
          <w:tcPr>
            <w:tcW w:w="7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6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6" w:line="230" w:lineRule="auto"/>
              <w:ind w:left="278"/>
            </w:pPr>
            <w:r>
              <w:t>合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76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308" w:right="91" w:hanging="175"/>
            </w:pPr>
            <w:r>
              <w:rPr>
                <w:spacing w:val="-1"/>
              </w:rPr>
              <w:t>区发改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08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98" w:right="117" w:firstLine="1"/>
              <w:jc w:val="right"/>
            </w:pPr>
            <w:r>
              <w:rPr>
                <w:spacing w:val="-4"/>
              </w:rPr>
              <w:t>牵头单位：</w:t>
            </w:r>
            <w:r>
              <w:t xml:space="preserve"> </w:t>
            </w:r>
            <w:r>
              <w:rPr>
                <w:spacing w:val="28"/>
              </w:rPr>
              <w:t>区发改局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配合单位：</w:t>
            </w:r>
            <w:r>
              <w:t xml:space="preserve"> </w:t>
            </w:r>
            <w:r>
              <w:rPr>
                <w:spacing w:val="1"/>
              </w:rPr>
              <w:t>区住建局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6"/>
              <w:spacing w:before="6" w:line="226" w:lineRule="auto"/>
              <w:ind w:left="92"/>
              <w:rPr>
                <w:rFonts w:ascii="宋体" w:hAnsi="宋体" w:eastAsia="宋体" w:cs="宋体"/>
                <w:spacing w:val="3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660" w:right="689" w:bottom="539" w:left="559" w:header="0" w:footer="335" w:gutter="0"/>
          <w:cols w:space="720" w:num="1"/>
        </w:sectPr>
      </w:pPr>
      <w:bookmarkStart w:id="0" w:name="_GoBack"/>
      <w:bookmarkEnd w:id="0"/>
    </w:p>
    <w:tbl>
      <w:tblPr>
        <w:tblStyle w:val="5"/>
        <w:tblW w:w="155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719"/>
        <w:gridCol w:w="5550"/>
        <w:gridCol w:w="2120"/>
        <w:gridCol w:w="2034"/>
        <w:gridCol w:w="849"/>
        <w:gridCol w:w="719"/>
        <w:gridCol w:w="720"/>
        <w:gridCol w:w="775"/>
        <w:gridCol w:w="1108"/>
        <w:gridCol w:w="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4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30" w:lineRule="auto"/>
              <w:ind w:left="4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序号</w:t>
            </w:r>
          </w:p>
        </w:tc>
        <w:tc>
          <w:tcPr>
            <w:tcW w:w="7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检查事项</w:t>
            </w:r>
          </w:p>
        </w:tc>
        <w:tc>
          <w:tcPr>
            <w:tcW w:w="55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24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实施依据</w:t>
            </w:r>
          </w:p>
        </w:tc>
        <w:tc>
          <w:tcPr>
            <w:tcW w:w="212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4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具体检查对象(含数量)或</w:t>
            </w:r>
          </w:p>
          <w:p>
            <w:pPr>
              <w:spacing w:before="5" w:line="228" w:lineRule="auto"/>
              <w:ind w:left="46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“双随机”抽查对象（含</w:t>
            </w:r>
          </w:p>
          <w:p>
            <w:pPr>
              <w:spacing w:before="3" w:line="229" w:lineRule="auto"/>
              <w:ind w:left="51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总数及比例）</w:t>
            </w:r>
          </w:p>
        </w:tc>
        <w:tc>
          <w:tcPr>
            <w:tcW w:w="20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27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检查内容（项目）</w:t>
            </w:r>
          </w:p>
        </w:tc>
        <w:tc>
          <w:tcPr>
            <w:tcW w:w="84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8" w:line="235" w:lineRule="auto"/>
              <w:ind w:left="157" w:right="35" w:hanging="95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拟实施检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查时间</w:t>
            </w:r>
          </w:p>
        </w:tc>
        <w:tc>
          <w:tcPr>
            <w:tcW w:w="7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ind w:left="8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5"/>
                <w:sz w:val="18"/>
                <w:szCs w:val="18"/>
              </w:rPr>
              <w:t>检查方</w:t>
            </w:r>
          </w:p>
          <w:p>
            <w:pPr>
              <w:spacing w:before="6" w:line="230" w:lineRule="auto"/>
              <w:ind w:left="28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式</w:t>
            </w:r>
          </w:p>
        </w:tc>
        <w:tc>
          <w:tcPr>
            <w:tcW w:w="72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年度检</w:t>
            </w:r>
          </w:p>
          <w:p>
            <w:pPr>
              <w:spacing w:before="5" w:line="229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查频次</w:t>
            </w:r>
          </w:p>
        </w:tc>
        <w:tc>
          <w:tcPr>
            <w:tcW w:w="77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28" w:lineRule="auto"/>
              <w:jc w:val="righ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承办机构</w:t>
            </w:r>
          </w:p>
        </w:tc>
        <w:tc>
          <w:tcPr>
            <w:tcW w:w="1108" w:type="dxa"/>
            <w:vAlign w:val="top"/>
          </w:tcPr>
          <w:p>
            <w:pPr>
              <w:spacing w:before="29" w:line="228" w:lineRule="auto"/>
              <w:ind w:left="10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4"/>
                <w:sz w:val="18"/>
                <w:szCs w:val="18"/>
              </w:rPr>
              <w:t>是否属跨部</w:t>
            </w:r>
          </w:p>
          <w:p>
            <w:pPr>
              <w:spacing w:before="5" w:line="228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门联合检查</w:t>
            </w:r>
          </w:p>
          <w:p>
            <w:pPr>
              <w:spacing w:before="3" w:line="220" w:lineRule="auto"/>
              <w:ind w:left="11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（如是，需</w:t>
            </w:r>
          </w:p>
          <w:p>
            <w:pPr>
              <w:spacing w:before="13" w:line="228" w:lineRule="auto"/>
              <w:ind w:left="10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写明牵头部</w:t>
            </w:r>
          </w:p>
          <w:p>
            <w:pPr>
              <w:spacing w:before="5" w:line="230" w:lineRule="auto"/>
              <w:ind w:left="10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门和配合部</w:t>
            </w:r>
          </w:p>
          <w:p>
            <w:pPr>
              <w:spacing w:before="5" w:line="186" w:lineRule="auto"/>
              <w:ind w:left="38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门）</w:t>
            </w:r>
          </w:p>
        </w:tc>
        <w:tc>
          <w:tcPr>
            <w:tcW w:w="5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9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exact"/>
              <w:ind w:left="18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0" w:line="227" w:lineRule="auto"/>
              <w:ind w:left="83"/>
            </w:pPr>
            <w:r>
              <w:rPr>
                <w:spacing w:val="4"/>
              </w:rPr>
              <w:t>对人民</w:t>
            </w:r>
          </w:p>
          <w:p>
            <w:pPr>
              <w:pStyle w:val="6"/>
              <w:spacing w:before="7" w:line="227" w:lineRule="auto"/>
              <w:ind w:left="96"/>
            </w:pPr>
            <w:r>
              <w:t>防空工</w:t>
            </w:r>
          </w:p>
          <w:p>
            <w:pPr>
              <w:pStyle w:val="6"/>
              <w:spacing w:before="6" w:line="227" w:lineRule="auto"/>
              <w:ind w:left="83"/>
            </w:pPr>
            <w:r>
              <w:rPr>
                <w:spacing w:val="4"/>
              </w:rPr>
              <w:t>程维护</w:t>
            </w:r>
          </w:p>
          <w:p>
            <w:pPr>
              <w:pStyle w:val="6"/>
              <w:spacing w:before="6" w:line="226" w:lineRule="auto"/>
              <w:ind w:left="88"/>
            </w:pPr>
            <w:r>
              <w:rPr>
                <w:spacing w:val="3"/>
              </w:rPr>
              <w:t>管理的</w:t>
            </w:r>
          </w:p>
          <w:p>
            <w:pPr>
              <w:pStyle w:val="6"/>
              <w:spacing w:before="8" w:line="226" w:lineRule="auto"/>
              <w:ind w:left="87"/>
            </w:pPr>
            <w:r>
              <w:rPr>
                <w:spacing w:val="3"/>
              </w:rPr>
              <w:t>行政检</w:t>
            </w:r>
          </w:p>
          <w:p>
            <w:pPr>
              <w:pStyle w:val="6"/>
              <w:spacing w:before="5" w:line="233" w:lineRule="auto"/>
              <w:ind w:left="273"/>
            </w:pPr>
            <w:r>
              <w:t>查</w:t>
            </w:r>
          </w:p>
        </w:tc>
        <w:tc>
          <w:tcPr>
            <w:tcW w:w="5550" w:type="dxa"/>
            <w:vAlign w:val="top"/>
          </w:tcPr>
          <w:p>
            <w:pPr>
              <w:pStyle w:val="6"/>
              <w:spacing w:before="213" w:line="230" w:lineRule="auto"/>
              <w:ind w:left="1001" w:right="52" w:hanging="921"/>
            </w:pPr>
            <w:r>
              <w:rPr>
                <w:spacing w:val="6"/>
              </w:rPr>
              <w:t>1.《中华人民共和国人民防空法》第二十五条：人民防空主管部门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对人民防空工程的维护管理进行监督检查。</w:t>
            </w:r>
          </w:p>
          <w:p>
            <w:pPr>
              <w:pStyle w:val="6"/>
              <w:spacing w:before="7" w:line="230" w:lineRule="auto"/>
              <w:ind w:left="66" w:right="52" w:firstLine="2"/>
            </w:pPr>
            <w:r>
              <w:rPr>
                <w:spacing w:val="6"/>
              </w:rPr>
              <w:t>2.《湖南省实施&lt;中华人民共和国人民防空法&gt;办法》第二十三条第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三款：人民防空主管部门对人民防空工程的维护管理进行</w:t>
            </w:r>
            <w:r>
              <w:rPr>
                <w:spacing w:val="6"/>
              </w:rPr>
              <w:t>监督检查</w:t>
            </w:r>
          </w:p>
          <w:p>
            <w:pPr>
              <w:pStyle w:val="6"/>
              <w:spacing w:before="127" w:line="92" w:lineRule="exact"/>
              <w:ind w:left="2705"/>
            </w:pPr>
            <w:r>
              <w:rPr>
                <w:position w:val="1"/>
              </w:rPr>
              <w:t>。</w:t>
            </w:r>
          </w:p>
        </w:tc>
        <w:tc>
          <w:tcPr>
            <w:tcW w:w="21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5" w:lineRule="auto"/>
              <w:ind w:left="29"/>
            </w:pPr>
            <w:r>
              <w:rPr>
                <w:spacing w:val="4"/>
              </w:rPr>
              <w:t>“双随机一公开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”抽查，</w:t>
            </w:r>
          </w:p>
          <w:p>
            <w:pPr>
              <w:pStyle w:val="6"/>
              <w:spacing w:before="8" w:line="222" w:lineRule="auto"/>
              <w:ind w:left="44"/>
            </w:pPr>
            <w:r>
              <w:rPr>
                <w:spacing w:val="6"/>
              </w:rPr>
              <w:t>总数按照实际已建成人民</w:t>
            </w:r>
          </w:p>
          <w:p>
            <w:pPr>
              <w:pStyle w:val="6"/>
              <w:spacing w:before="10" w:line="226" w:lineRule="auto"/>
              <w:ind w:left="50"/>
            </w:pPr>
            <w:r>
              <w:rPr>
                <w:spacing w:val="4"/>
              </w:rPr>
              <w:t>防空工程建设项目数量，</w:t>
            </w:r>
          </w:p>
          <w:p>
            <w:pPr>
              <w:pStyle w:val="6"/>
              <w:spacing w:before="8" w:line="227" w:lineRule="auto"/>
              <w:ind w:left="506"/>
            </w:pPr>
            <w:r>
              <w:rPr>
                <w:spacing w:val="4"/>
              </w:rPr>
              <w:t>抽查比例5%。</w:t>
            </w:r>
          </w:p>
        </w:tc>
        <w:tc>
          <w:tcPr>
            <w:tcW w:w="20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200"/>
            </w:pPr>
            <w:r>
              <w:rPr>
                <w:spacing w:val="4"/>
              </w:rPr>
              <w:t>1.维护管理监督检查</w:t>
            </w:r>
          </w:p>
          <w:p>
            <w:pPr>
              <w:pStyle w:val="6"/>
              <w:spacing w:before="7" w:line="226" w:lineRule="auto"/>
              <w:ind w:left="188"/>
            </w:pPr>
            <w:r>
              <w:rPr>
                <w:spacing w:val="5"/>
              </w:rPr>
              <w:t>2.安全生产监督检查</w:t>
            </w:r>
          </w:p>
        </w:tc>
        <w:tc>
          <w:tcPr>
            <w:tcW w:w="8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4" w:lineRule="auto"/>
              <w:ind w:left="159" w:right="35" w:hanging="95"/>
            </w:pPr>
            <w:r>
              <w:rPr>
                <w:spacing w:val="2"/>
              </w:rPr>
              <w:t>2025年1</w:t>
            </w:r>
            <w:r>
              <w:rPr>
                <w:rFonts w:hint="eastAsia"/>
                <w:spacing w:val="2"/>
                <w:lang w:val="en-US" w:eastAsia="zh-CN"/>
              </w:rPr>
              <w:t>2</w:t>
            </w:r>
            <w:r>
              <w:rPr>
                <w:spacing w:val="3"/>
              </w:rPr>
              <w:t xml:space="preserve"> 月底前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213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7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5" w:line="230" w:lineRule="auto"/>
              <w:ind w:left="278"/>
            </w:pPr>
            <w:r>
              <w:t>合</w:t>
            </w:r>
          </w:p>
        </w:tc>
        <w:tc>
          <w:tcPr>
            <w:tcW w:w="7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1" w:lineRule="exact"/>
              <w:ind w:left="339"/>
            </w:pPr>
            <w:r>
              <w:rPr>
                <w:position w:val="1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5" w:lineRule="auto"/>
              <w:ind w:left="310" w:right="91" w:hanging="177"/>
            </w:pPr>
            <w:r>
              <w:rPr>
                <w:spacing w:val="-1"/>
              </w:rPr>
              <w:t>区国动</w:t>
            </w:r>
            <w:r>
              <w:rPr>
                <w:spacing w:val="1"/>
              </w:rPr>
              <w:t xml:space="preserve"> </w:t>
            </w:r>
            <w:r>
              <w:t>办</w:t>
            </w:r>
          </w:p>
        </w:tc>
        <w:tc>
          <w:tcPr>
            <w:tcW w:w="11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78"/>
            </w:pPr>
            <w:r>
              <w:t>否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pStyle w:val="6"/>
              <w:spacing w:line="184" w:lineRule="auto"/>
              <w:ind w:left="13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8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83"/>
            </w:pPr>
            <w:r>
              <w:rPr>
                <w:spacing w:val="4"/>
              </w:rPr>
              <w:t>对粮油</w:t>
            </w:r>
          </w:p>
          <w:p>
            <w:pPr>
              <w:pStyle w:val="6"/>
              <w:spacing w:before="8" w:line="226" w:lineRule="auto"/>
              <w:ind w:left="90"/>
            </w:pPr>
            <w:r>
              <w:rPr>
                <w:spacing w:val="2"/>
              </w:rPr>
              <w:t>收购活</w:t>
            </w:r>
          </w:p>
          <w:p>
            <w:pPr>
              <w:pStyle w:val="6"/>
              <w:spacing w:before="4" w:line="227" w:lineRule="auto"/>
              <w:ind w:left="85"/>
            </w:pPr>
            <w:r>
              <w:rPr>
                <w:spacing w:val="4"/>
              </w:rPr>
              <w:t>动的行</w:t>
            </w:r>
          </w:p>
          <w:p>
            <w:pPr>
              <w:pStyle w:val="6"/>
              <w:spacing w:before="6" w:line="226" w:lineRule="auto"/>
              <w:ind w:left="83"/>
            </w:pPr>
            <w:r>
              <w:rPr>
                <w:spacing w:val="4"/>
              </w:rPr>
              <w:t>政检查</w:t>
            </w:r>
          </w:p>
        </w:tc>
        <w:tc>
          <w:tcPr>
            <w:tcW w:w="5550" w:type="dxa"/>
            <w:vAlign w:val="top"/>
          </w:tcPr>
          <w:p>
            <w:pPr>
              <w:pStyle w:val="6"/>
              <w:spacing w:before="114" w:line="234" w:lineRule="auto"/>
              <w:ind w:left="67" w:right="52" w:firstLine="13"/>
              <w:jc w:val="both"/>
            </w:pPr>
            <w:r>
              <w:rPr>
                <w:spacing w:val="6"/>
              </w:rPr>
              <w:t>1.《粮食流通管理条例》第三十八条粮食和储备行政管理部门依照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本条例对粮食经营者从事粮食收购、储存、运输活动和政</w:t>
            </w:r>
            <w:r>
              <w:rPr>
                <w:spacing w:val="6"/>
              </w:rPr>
              <w:t>策性粮食</w:t>
            </w:r>
            <w:r>
              <w:t xml:space="preserve"> </w:t>
            </w:r>
            <w:r>
              <w:rPr>
                <w:spacing w:val="7"/>
              </w:rPr>
              <w:t>的购销活动，以及执行国家粮食流通统计制度的情况进行</w:t>
            </w:r>
            <w:r>
              <w:rPr>
                <w:spacing w:val="6"/>
              </w:rPr>
              <w:t>监督检查</w:t>
            </w:r>
          </w:p>
          <w:p>
            <w:pPr>
              <w:pStyle w:val="6"/>
              <w:spacing w:before="119" w:line="92" w:lineRule="exact"/>
              <w:ind w:left="2705"/>
            </w:pPr>
            <w:r>
              <w:rPr>
                <w:position w:val="1"/>
              </w:rPr>
              <w:t>。</w:t>
            </w:r>
          </w:p>
          <w:p>
            <w:pPr>
              <w:pStyle w:val="6"/>
              <w:spacing w:before="16" w:line="231" w:lineRule="auto"/>
              <w:ind w:left="66" w:right="52" w:firstLine="2"/>
            </w:pPr>
            <w:r>
              <w:rPr>
                <w:spacing w:val="6"/>
              </w:rPr>
              <w:t>2.《粮食质量安全监管办法》第三十七条县级以上粮食和储备行政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管理部门依法依规依职责对粮食经营者进行质量安全监督</w:t>
            </w:r>
            <w:r>
              <w:rPr>
                <w:spacing w:val="6"/>
              </w:rPr>
              <w:t>管理，制</w:t>
            </w:r>
            <w:r>
              <w:t xml:space="preserve"> </w:t>
            </w:r>
            <w:r>
              <w:rPr>
                <w:spacing w:val="7"/>
              </w:rPr>
              <w:t>定粮食质量安全监督抽查计划，采用普查、随机抽查、巡</w:t>
            </w:r>
            <w:r>
              <w:rPr>
                <w:spacing w:val="6"/>
              </w:rPr>
              <w:t>查、重点</w:t>
            </w:r>
            <w:r>
              <w:t xml:space="preserve"> </w:t>
            </w:r>
            <w:r>
              <w:rPr>
                <w:spacing w:val="7"/>
              </w:rPr>
              <w:t>检查、交叉检查、提级查办等方式，对本行政区域内收购</w:t>
            </w:r>
            <w:r>
              <w:rPr>
                <w:spacing w:val="6"/>
              </w:rPr>
              <w:t>、储存、</w:t>
            </w:r>
            <w:r>
              <w:t xml:space="preserve"> </w:t>
            </w:r>
            <w:r>
              <w:rPr>
                <w:spacing w:val="6"/>
              </w:rPr>
              <w:t>运输活动和政策性粮食购销活动中的质量安全状况实施监督抽查。</w:t>
            </w:r>
          </w:p>
          <w:p>
            <w:pPr>
              <w:pStyle w:val="6"/>
              <w:spacing w:before="11" w:line="228" w:lineRule="auto"/>
              <w:ind w:left="162" w:right="52" w:hanging="92"/>
            </w:pPr>
            <w:r>
              <w:rPr>
                <w:spacing w:val="6"/>
              </w:rPr>
              <w:t>3.国家发改委、国家粮食和物资储备局、财政部、农发行《关于进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一步强化国家政策性粮食日常管理和依法监管有关问题的通知》</w:t>
            </w:r>
          </w:p>
          <w:p>
            <w:pPr>
              <w:pStyle w:val="6"/>
              <w:spacing w:before="12" w:line="222" w:lineRule="auto"/>
              <w:ind w:left="74"/>
            </w:pPr>
            <w:r>
              <w:rPr>
                <w:spacing w:val="6"/>
              </w:rPr>
              <w:t>（国粮执法［2021］85号</w:t>
            </w:r>
            <w:r>
              <w:rPr>
                <w:spacing w:val="11"/>
              </w:rPr>
              <w:t>），</w:t>
            </w:r>
            <w:r>
              <w:rPr>
                <w:spacing w:val="6"/>
              </w:rPr>
              <w:t>第四款严格</w:t>
            </w:r>
            <w:r>
              <w:rPr>
                <w:spacing w:val="5"/>
              </w:rPr>
              <w:t>落实粮食和储备部门属地</w:t>
            </w:r>
          </w:p>
          <w:p>
            <w:pPr>
              <w:pStyle w:val="6"/>
              <w:spacing w:before="11" w:line="223" w:lineRule="auto"/>
              <w:ind w:left="67"/>
            </w:pPr>
            <w:r>
              <w:rPr>
                <w:spacing w:val="7"/>
              </w:rPr>
              <w:t>监管责任。地方各级粮食和储备部门要按照《若干意见》</w:t>
            </w:r>
            <w:r>
              <w:rPr>
                <w:spacing w:val="6"/>
              </w:rPr>
              <w:t>关于“地</w:t>
            </w:r>
          </w:p>
          <w:p>
            <w:pPr>
              <w:pStyle w:val="6"/>
              <w:spacing w:before="10" w:line="224" w:lineRule="auto"/>
              <w:ind w:left="67"/>
            </w:pPr>
            <w:r>
              <w:rPr>
                <w:spacing w:val="7"/>
              </w:rPr>
              <w:t>方政府对辖区内承储最低收购价粮、临时存储粮等其他中</w:t>
            </w:r>
            <w:r>
              <w:rPr>
                <w:spacing w:val="6"/>
              </w:rPr>
              <w:t>央事权粮</w:t>
            </w:r>
          </w:p>
          <w:p>
            <w:pPr>
              <w:pStyle w:val="6"/>
              <w:spacing w:before="10" w:line="223" w:lineRule="auto"/>
              <w:ind w:left="66"/>
            </w:pPr>
            <w:r>
              <w:rPr>
                <w:spacing w:val="6"/>
              </w:rPr>
              <w:t>食的企业，依法履行属地监管责任</w:t>
            </w:r>
            <w:r>
              <w:rPr>
                <w:spacing w:val="-65"/>
              </w:rPr>
              <w:t xml:space="preserve"> </w:t>
            </w:r>
            <w:r>
              <w:rPr>
                <w:spacing w:val="6"/>
              </w:rPr>
              <w:t>”的规定，加强对政策性粮食的</w:t>
            </w:r>
          </w:p>
          <w:p>
            <w:pPr>
              <w:pStyle w:val="6"/>
              <w:spacing w:before="11" w:line="222" w:lineRule="auto"/>
              <w:ind w:left="1190"/>
            </w:pPr>
            <w:r>
              <w:rPr>
                <w:spacing w:val="6"/>
              </w:rPr>
              <w:t>监督检查，切实履行好属地监管责任。</w:t>
            </w:r>
          </w:p>
        </w:tc>
        <w:tc>
          <w:tcPr>
            <w:tcW w:w="21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2" w:lineRule="auto"/>
              <w:ind w:left="226" w:right="19" w:hanging="187"/>
            </w:pPr>
            <w:r>
              <w:rPr>
                <w:spacing w:val="6"/>
              </w:rPr>
              <w:t>粮食经营者即辖区内从事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粮油收购的各类主体</w:t>
            </w:r>
          </w:p>
        </w:tc>
        <w:tc>
          <w:tcPr>
            <w:tcW w:w="20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92"/>
            </w:pPr>
            <w:r>
              <w:rPr>
                <w:spacing w:val="6"/>
              </w:rPr>
              <w:t>政策性收储和市场化收</w:t>
            </w:r>
          </w:p>
          <w:p>
            <w:pPr>
              <w:pStyle w:val="6"/>
              <w:spacing w:before="4" w:line="227" w:lineRule="auto"/>
              <w:ind w:left="840"/>
            </w:pPr>
            <w:r>
              <w:t>购。</w:t>
            </w:r>
          </w:p>
        </w:tc>
        <w:tc>
          <w:tcPr>
            <w:tcW w:w="8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67"/>
            </w:pPr>
            <w:r>
              <w:rPr>
                <w:spacing w:val="2"/>
              </w:rPr>
              <w:t>7-12月份</w:t>
            </w:r>
          </w:p>
        </w:tc>
        <w:tc>
          <w:tcPr>
            <w:tcW w:w="7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查和非</w:t>
            </w:r>
          </w:p>
          <w:p>
            <w:pPr>
              <w:pStyle w:val="6"/>
              <w:spacing w:before="6" w:line="226" w:lineRule="auto"/>
              <w:ind w:left="91"/>
            </w:pPr>
            <w:r>
              <w:rPr>
                <w:spacing w:val="4"/>
              </w:rPr>
              <w:t>现场检</w:t>
            </w:r>
          </w:p>
          <w:p>
            <w:pPr>
              <w:pStyle w:val="6"/>
              <w:spacing w:before="7" w:line="227" w:lineRule="auto"/>
              <w:ind w:left="92"/>
            </w:pPr>
            <w:r>
              <w:rPr>
                <w:spacing w:val="3"/>
              </w:rPr>
              <w:t>查相结</w:t>
            </w:r>
          </w:p>
          <w:p>
            <w:pPr>
              <w:pStyle w:val="6"/>
              <w:spacing w:before="6" w:line="230" w:lineRule="auto"/>
              <w:ind w:left="278"/>
            </w:pPr>
            <w:r>
              <w:t>合</w:t>
            </w:r>
          </w:p>
        </w:tc>
        <w:tc>
          <w:tcPr>
            <w:tcW w:w="72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2" w:lineRule="exact"/>
              <w:ind w:left="32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308" w:right="91" w:hanging="175"/>
            </w:pPr>
            <w:r>
              <w:rPr>
                <w:spacing w:val="-1"/>
              </w:rPr>
              <w:t>区发改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1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78"/>
            </w:pPr>
            <w:r>
              <w:t>否</w:t>
            </w:r>
          </w:p>
        </w:tc>
        <w:tc>
          <w:tcPr>
            <w:tcW w:w="53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94"/>
            </w:pPr>
            <w:r>
              <w:rPr>
                <w:spacing w:val="1"/>
              </w:rPr>
              <w:t>一般</w:t>
            </w:r>
          </w:p>
          <w:p>
            <w:pPr>
              <w:pStyle w:val="6"/>
              <w:spacing w:before="3" w:line="226" w:lineRule="auto"/>
              <w:ind w:left="92"/>
            </w:pPr>
            <w:r>
              <w:rPr>
                <w:spacing w:val="3"/>
              </w:rPr>
              <w:t>检查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616" w:right="689" w:bottom="539" w:left="559" w:header="0" w:footer="3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16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6"/>
        <w:sz w:val="17"/>
        <w:szCs w:val="17"/>
      </w:rPr>
      <w:t>第</w:t>
    </w:r>
    <w:r>
      <w:rPr>
        <w:rFonts w:ascii="宋体" w:hAnsi="宋体" w:eastAsia="宋体" w:cs="宋体"/>
        <w:spacing w:val="21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1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页，共</w:t>
    </w:r>
    <w:r>
      <w:rPr>
        <w:rFonts w:ascii="宋体" w:hAnsi="宋体" w:eastAsia="宋体" w:cs="宋体"/>
        <w:spacing w:val="9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2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169"/>
    </w:pPr>
    <w:r>
      <w:rPr>
        <w:spacing w:val="-5"/>
      </w:rPr>
      <w:t>第</w:t>
    </w:r>
    <w:r>
      <w:rPr>
        <w:spacing w:val="14"/>
      </w:rPr>
      <w:t xml:space="preserve"> </w:t>
    </w:r>
    <w:r>
      <w:rPr>
        <w:spacing w:val="-5"/>
      </w:rPr>
      <w:t>2</w:t>
    </w:r>
    <w:r>
      <w:rPr>
        <w:spacing w:val="15"/>
      </w:rPr>
      <w:t xml:space="preserve"> </w:t>
    </w:r>
    <w:r>
      <w:rPr>
        <w:spacing w:val="-5"/>
      </w:rPr>
      <w:t>页，共</w:t>
    </w:r>
    <w:r>
      <w:rPr>
        <w:spacing w:val="9"/>
      </w:rPr>
      <w:t xml:space="preserve"> </w:t>
    </w:r>
    <w:r>
      <w:rPr>
        <w:spacing w:val="-5"/>
      </w:rPr>
      <w:t>2</w:t>
    </w:r>
    <w:r>
      <w:rPr>
        <w:spacing w:val="15"/>
      </w:rPr>
      <w:t xml:space="preserve"> </w:t>
    </w:r>
    <w:r>
      <w:rPr>
        <w:spacing w:val="-5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172A27"/>
    <w:rsid w:val="3CF712C6"/>
    <w:rsid w:val="4DFF10E9"/>
    <w:rsid w:val="67BF7AA8"/>
    <w:rsid w:val="975BA9C2"/>
    <w:rsid w:val="E8DA7AB1"/>
    <w:rsid w:val="EE7F7C8E"/>
    <w:rsid w:val="FFE19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2025-04-16T17:03:00Z</dcterms:created>
  <dc:creator>liuyu</dc:creator>
  <cp:lastModifiedBy>jiau3</cp:lastModifiedBy>
  <dcterms:modified xsi:type="dcterms:W3CDTF">2025-06-23T09:55:40Z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2025-06-19T16:58:21Z</vt:filetime>
  </property>
  <property fmtid="{D5CDD505-2E9C-101B-9397-08002B2CF9AE}" pid="4" name="KSOProductBuildVer">
    <vt:lpwstr>2052-11.8.2.1122</vt:lpwstr>
  </property>
  <property fmtid="{D5CDD505-2E9C-101B-9397-08002B2CF9AE}" pid="5" name="ICV">
    <vt:lpwstr>1F515DEF7B0022EA46B25468CC7957F6</vt:lpwstr>
  </property>
</Properties>
</file>