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jc w:val="center"/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  <w:t>邵阳市</w:t>
      </w:r>
      <w:r>
        <w:rPr>
          <w:rFonts w:hint="eastAsia" w:ascii="方正小标宋简体" w:hAnsi="方正小标宋简体" w:eastAsia="方正小标宋简体" w:cs="方正小标宋简体"/>
          <w:spacing w:val="2"/>
          <w:sz w:val="35"/>
          <w:szCs w:val="35"/>
          <w:lang w:eastAsia="zh-CN"/>
        </w:rPr>
        <w:t>北塔</w:t>
      </w:r>
      <w:r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  <w:t>区发展和改革局涉企行政检查事项清单</w:t>
      </w:r>
    </w:p>
    <w:p>
      <w:pPr>
        <w:spacing w:before="10" w:line="240" w:lineRule="auto"/>
        <w:jc w:val="center"/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6" w:line="202" w:lineRule="exact"/>
              <w:ind w:left="358" w:right="33" w:hanging="332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代建项目监管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评价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18" w:lineRule="exact"/>
              <w:ind w:left="291" w:right="22" w:hanging="269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00" w:line="231" w:lineRule="auto"/>
              <w:ind w:left="44" w:right="35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《湖南省政府投资项目代建单位监管评价办法</w:t>
            </w:r>
            <w:r>
              <w:rPr>
                <w:rFonts w:ascii="仿宋_GB2312" w:hAnsi="仿宋_GB2312" w:eastAsia="仿宋_GB2312" w:cs="仿宋_GB2312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》（湘发改投资〔2021〕</w:t>
            </w:r>
            <w:r>
              <w:rPr>
                <w:rFonts w:ascii="仿宋_GB2312" w:hAnsi="仿宋_GB2312" w:eastAsia="仿宋_GB2312" w:cs="仿宋_GB2312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163号），第二章方法内容第四条</w:t>
            </w:r>
            <w:r>
              <w:rPr>
                <w:rFonts w:ascii="仿宋_GB2312" w:hAnsi="仿宋_GB2312" w:eastAsia="仿宋_GB2312" w:cs="仿宋_GB231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：各级发展改革部门通过检查现场</w:t>
            </w:r>
            <w:r>
              <w:rPr>
                <w:rFonts w:ascii="仿宋_GB2312" w:hAnsi="仿宋_GB2312" w:eastAsia="仿宋_GB2312" w:cs="仿宋_GB231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、</w:t>
            </w:r>
            <w:r>
              <w:rPr>
                <w:rFonts w:ascii="仿宋_GB2312" w:hAnsi="仿宋_GB2312" w:eastAsia="仿宋_GB2312" w:cs="仿宋_GB2312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听取汇报、查阅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资料、外部评议、运用相关部门的监管信息等方式对</w:t>
            </w:r>
            <w:r>
              <w:rPr>
                <w:rFonts w:ascii="仿宋_GB2312" w:hAnsi="仿宋_GB2312" w:eastAsia="仿宋_GB2312" w:cs="仿宋_GB2312"/>
                <w:spacing w:val="4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代建项目的实施情况进行监管评价</w:t>
            </w:r>
            <w:r>
              <w:rPr>
                <w:rFonts w:ascii="仿宋_GB2312" w:hAnsi="仿宋_GB2312" w:eastAsia="仿宋_GB2312" w:cs="仿宋_GB2312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6" w:line="202" w:lineRule="exact"/>
              <w:ind w:left="514" w:right="105" w:hanging="416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区发改局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发改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股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31" w:lineRule="auto"/>
              <w:ind w:left="75" w:right="76"/>
              <w:jc w:val="both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各级发展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改革部门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会对立项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批准权限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内的代建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项目实施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情况进行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监管评价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02" w:lineRule="exact"/>
              <w:ind w:left="23" w:right="16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包括：合同签订、人员配置、开工</w:t>
            </w:r>
            <w:r>
              <w:rPr>
                <w:rFonts w:ascii="仿宋_GB2312" w:hAnsi="仿宋_GB2312" w:eastAsia="仿宋_GB2312" w:cs="仿宋_GB2312"/>
                <w:spacing w:val="26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准备、招投标及合同管理、工程建</w:t>
            </w:r>
            <w:r>
              <w:rPr>
                <w:rFonts w:ascii="仿宋_GB2312" w:hAnsi="仿宋_GB2312" w:eastAsia="仿宋_GB2312" w:cs="仿宋_GB2312"/>
                <w:spacing w:val="24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设日常管理、信息沟通。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查</w:t>
            </w:r>
            <w:r>
              <w:rPr>
                <w:rFonts w:ascii="仿宋_GB2312" w:hAnsi="仿宋_GB2312" w:eastAsia="仿宋_GB2312" w:cs="仿宋_GB2312"/>
                <w:spacing w:val="2"/>
                <w:sz w:val="17"/>
                <w:szCs w:val="17"/>
              </w:rPr>
              <w:t>、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非</w:t>
            </w:r>
            <w:r>
              <w:rPr>
                <w:rFonts w:ascii="仿宋_GB2312" w:hAnsi="仿宋_GB2312" w:eastAsia="仿宋_GB2312" w:cs="仿宋_GB2312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查相结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652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一般检查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16"/>
          <w:szCs w:val="16"/>
        </w:rPr>
        <w:sectPr>
          <w:footerReference r:id="rId5" w:type="default"/>
          <w:pgSz w:w="16840" w:h="11910" w:orient="landscape"/>
          <w:pgMar w:top="1100" w:right="340" w:bottom="860" w:left="340" w:header="0" w:footer="676" w:gutter="0"/>
          <w:cols w:space="720" w:num="1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50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02" w:lineRule="exact"/>
              <w:ind w:left="27" w:right="33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工程建设项目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标后履约专项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检查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16" w:lineRule="exact"/>
              <w:ind w:left="291" w:right="22" w:hanging="269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7"/>
              <w:spacing w:line="231" w:lineRule="auto"/>
              <w:ind w:left="44" w:right="42" w:hanging="2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《中华人民共和国招标投标法</w:t>
            </w:r>
            <w:r>
              <w:rPr>
                <w:rFonts w:ascii="仿宋_GB2312" w:hAnsi="仿宋_GB2312" w:eastAsia="仿宋_GB2312" w:cs="仿宋_GB2312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》第七条，《关于严格执行招标投标法规</w:t>
            </w:r>
            <w:r>
              <w:rPr>
                <w:rFonts w:ascii="仿宋_GB2312" w:hAnsi="仿宋_GB2312" w:eastAsia="仿宋_GB2312" w:cs="仿宋_GB2312"/>
                <w:spacing w:val="30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制度进一步规范招标投标主体行为的若干意见</w:t>
            </w:r>
            <w:r>
              <w:rPr>
                <w:rFonts w:ascii="仿宋_GB2312" w:hAnsi="仿宋_GB2312" w:eastAsia="仿宋_GB2312" w:cs="仿宋_GB2312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》(发改法规规〔2022〕</w:t>
            </w:r>
            <w:r>
              <w:rPr>
                <w:rFonts w:ascii="仿宋_GB2312" w:hAnsi="仿宋_GB2312" w:eastAsia="仿宋_GB2312" w:cs="仿宋_GB2312"/>
                <w:spacing w:val="29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1117号)第（七）点：加强对依法必须招标项目合同订立</w:t>
            </w:r>
            <w:r>
              <w:rPr>
                <w:rFonts w:ascii="仿宋_GB2312" w:hAnsi="仿宋_GB2312" w:eastAsia="仿宋_GB2312" w:cs="仿宋_GB2312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、履行及变更</w:t>
            </w:r>
            <w:r>
              <w:rPr>
                <w:rFonts w:ascii="仿宋_GB2312" w:hAnsi="仿宋_GB2312" w:eastAsia="仿宋_GB2312" w:cs="仿宋_GB2312"/>
                <w:spacing w:val="44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的行政监督，强化信用管理，防止“阴阳合同”“低中高结”等违法违</w:t>
            </w:r>
            <w:r>
              <w:rPr>
                <w:rFonts w:ascii="仿宋_GB2312" w:hAnsi="仿宋_GB2312" w:eastAsia="仿宋_GB2312" w:cs="仿宋_GB2312"/>
                <w:spacing w:val="58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规行为发生，及时依法查处违法违规行为</w:t>
            </w:r>
            <w:r>
              <w:rPr>
                <w:rFonts w:ascii="仿宋_GB2312" w:hAnsi="仿宋_GB2312" w:eastAsia="仿宋_GB2312" w:cs="仿宋_GB231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25" w:line="202" w:lineRule="exact"/>
              <w:ind w:left="349" w:right="105" w:hanging="25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区发改局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发改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股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31" w:lineRule="auto"/>
              <w:ind w:left="75" w:right="68"/>
              <w:jc w:val="both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工程建设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项目施工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单位，抽</w:t>
            </w:r>
            <w:r>
              <w:rPr>
                <w:rFonts w:ascii="仿宋_GB2312" w:hAnsi="仿宋_GB2312" w:eastAsia="仿宋_GB2312" w:cs="仿宋_GB2312"/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查比例3%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02" w:lineRule="exact"/>
              <w:ind w:left="23" w:right="13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1.合同备案情况；2.违规“三包”</w:t>
            </w:r>
            <w:r>
              <w:rPr>
                <w:rFonts w:ascii="仿宋_GB2312" w:hAnsi="仿宋_GB2312" w:eastAsia="仿宋_GB2312" w:cs="仿宋_GB2312"/>
                <w:spacing w:val="26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一挂情</w:t>
            </w:r>
            <w:r>
              <w:rPr>
                <w:rFonts w:ascii="仿宋_GB2312" w:hAnsi="仿宋_GB2312" w:eastAsia="仿宋_GB2312" w:cs="仿宋_GB2312"/>
                <w:spacing w:val="8"/>
                <w:sz w:val="16"/>
                <w:szCs w:val="16"/>
              </w:rPr>
              <w:t>况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；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3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.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关键人员到岗情</w:t>
            </w:r>
            <w:r>
              <w:rPr>
                <w:rFonts w:ascii="仿宋_GB2312" w:hAnsi="仿宋_GB2312" w:eastAsia="仿宋_GB2312" w:cs="仿宋_GB2312"/>
                <w:spacing w:val="18"/>
                <w:sz w:val="16"/>
                <w:szCs w:val="16"/>
              </w:rPr>
              <w:t>况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；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4.经济管理情况。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35" w:line="234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查</w:t>
            </w:r>
            <w:r>
              <w:rPr>
                <w:rFonts w:ascii="仿宋_GB2312" w:hAnsi="仿宋_GB2312" w:eastAsia="仿宋_GB2312" w:cs="仿宋_GB2312"/>
                <w:spacing w:val="2"/>
                <w:sz w:val="17"/>
                <w:szCs w:val="17"/>
              </w:rPr>
              <w:t>、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非</w:t>
            </w:r>
            <w:r>
              <w:rPr>
                <w:rFonts w:ascii="仿宋_GB2312" w:hAnsi="仿宋_GB2312" w:eastAsia="仿宋_GB2312" w:cs="仿宋_GB2312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查相结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/>
                <w:sz w:val="16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“双随机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一公开”抽查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16"/>
          <w:szCs w:val="16"/>
        </w:rPr>
        <w:sectPr>
          <w:pgSz w:w="16840" w:h="11910" w:orient="landscape"/>
          <w:pgMar w:top="1100" w:right="340" w:bottom="860" w:left="340" w:header="0" w:footer="676" w:gutter="0"/>
          <w:cols w:space="720" w:num="1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23" w:line="231" w:lineRule="auto"/>
              <w:ind w:left="27" w:right="33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对人民防空工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程维护管理的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行政检查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39" w:line="216" w:lineRule="exact"/>
              <w:ind w:left="291" w:right="22" w:hanging="269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31" w:lineRule="auto"/>
              <w:ind w:left="44" w:right="56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1.《中华人民共和国人民防空法</w:t>
            </w:r>
            <w:r>
              <w:rPr>
                <w:rFonts w:ascii="仿宋_GB2312" w:hAnsi="仿宋_GB2312" w:eastAsia="仿宋_GB2312" w:cs="仿宋_GB2312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》第二十五条：人民防空主管部门对人</w:t>
            </w:r>
            <w:r>
              <w:rPr>
                <w:rFonts w:ascii="仿宋_GB2312" w:hAnsi="仿宋_GB2312" w:eastAsia="仿宋_GB2312" w:cs="仿宋_GB2312"/>
                <w:spacing w:val="40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民防空工程的维护管理进行监督检查</w:t>
            </w:r>
            <w:r>
              <w:rPr>
                <w:rFonts w:ascii="仿宋_GB2312" w:hAnsi="仿宋_GB2312" w:eastAsia="仿宋_GB2312" w:cs="仿宋_GB231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2.《湖南省实施&lt;中华人民共和国人民防空法</w:t>
            </w:r>
            <w:r>
              <w:rPr>
                <w:rFonts w:ascii="仿宋_GB2312" w:hAnsi="仿宋_GB2312" w:eastAsia="仿宋_GB2312" w:cs="仿宋_GB2312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&gt;办法》第二十三条第三</w:t>
            </w:r>
            <w:r>
              <w:rPr>
                <w:rFonts w:ascii="仿宋_GB2312" w:hAnsi="仿宋_GB2312" w:eastAsia="仿宋_GB2312" w:cs="仿宋_GB2312"/>
                <w:spacing w:val="46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款：人民防空主管部门对人民防空工程的维护管理进行监督检查</w:t>
            </w:r>
            <w:r>
              <w:rPr>
                <w:rFonts w:ascii="仿宋_GB2312" w:hAnsi="仿宋_GB2312" w:eastAsia="仿宋_GB2312" w:cs="仿宋_GB2312"/>
                <w:spacing w:val="74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区国动办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“双随机</w:t>
            </w:r>
            <w:r>
              <w:rPr>
                <w:rFonts w:ascii="仿宋_GB2312" w:hAnsi="仿宋_GB2312" w:eastAsia="仿宋_GB2312" w:cs="仿宋_GB2312"/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一公开”</w:t>
            </w:r>
            <w:r>
              <w:rPr>
                <w:rFonts w:ascii="仿宋_GB2312" w:hAnsi="仿宋_GB2312" w:eastAsia="仿宋_GB2312" w:cs="仿宋_GB2312"/>
                <w:spacing w:val="23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抽查，总</w:t>
            </w:r>
            <w:r>
              <w:rPr>
                <w:rFonts w:ascii="仿宋_GB2312" w:hAnsi="仿宋_GB2312" w:eastAsia="仿宋_GB2312" w:cs="仿宋_GB2312"/>
                <w:spacing w:val="2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数按照实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际已建成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人民防空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工程建设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项目数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量，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抽查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比例5%。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1.维护管理监督检查</w:t>
            </w: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2.安全生产监督检查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查</w:t>
            </w:r>
            <w:r>
              <w:rPr>
                <w:rFonts w:ascii="仿宋_GB2312" w:hAnsi="仿宋_GB2312" w:eastAsia="仿宋_GB2312" w:cs="仿宋_GB2312"/>
                <w:spacing w:val="2"/>
                <w:sz w:val="17"/>
                <w:szCs w:val="17"/>
              </w:rPr>
              <w:t>、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非</w:t>
            </w:r>
            <w:r>
              <w:rPr>
                <w:rFonts w:ascii="仿宋_GB2312" w:hAnsi="仿宋_GB2312" w:eastAsia="仿宋_GB2312" w:cs="仿宋_GB231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查相结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/>
                <w:sz w:val="16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“双随机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一公开”抽查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16"/>
          <w:szCs w:val="16"/>
        </w:rPr>
        <w:sectPr>
          <w:pgSz w:w="16840" w:h="11910" w:orient="landscape"/>
          <w:pgMar w:top="1100" w:right="340" w:bottom="860" w:left="340" w:header="0" w:footer="676" w:gutter="0"/>
          <w:cols w:space="720" w:num="1"/>
        </w:sect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default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02" w:lineRule="exact"/>
              <w:ind w:left="27" w:leftChars="0" w:right="33" w:rightChars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对粮油收购活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动的行政检查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16" w:lineRule="exact"/>
              <w:ind w:left="291" w:leftChars="0" w:right="22" w:rightChars="0" w:hanging="269" w:firstLineChars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1.《粮食流通管理条例》第三十八条粮食和储备行政管理部门依照本条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例对粮食经营者从事粮食收购 、储存、运输活动和政策性粮食的购销活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动，以及执行国家粮食流通统计制度的情况进行监督检查 。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2.《粮食质量安全监管办法 》第三十七条县级以上粮食和储备行政管理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部门依法依规依职责对粮食经营者进行质量安全监督管理 ，制定粮食质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量安全监督抽查计划 ，采用普查、随机抽查、巡查、重点检查、交叉检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查、提级查办等方式，对本行政区域内收购 、储存、运输活动和政策性 粮食购销活动中的质量安全状况实施监督抽查 。 3.国家发改委、国家粮食和物资储备局 、财政部、农发行《关于进一步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强化国家政策性粮食日常管理和依法监管有关问题的通知 》（国粮执法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［2021］85号），第四款严格落实粮食和储备部门属地监管责任 。地方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各级粮食和储备部门要按照 《若干意见》关于“地方政府对辖区内承储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最低收购价粮、临时存储粮等其他中央事权粮食的企业 ，依法履行属地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监管责任”的规定，加强对政策性粮食的监督检查 ，切实履行好属地监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管责任。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区发改局粮食和物资储备股</w:t>
            </w: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粮食经营</w:t>
            </w: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者即辖区 内从事粮 油收购的</w:t>
            </w: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各类主体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政策性收储和市场化收购</w:t>
            </w:r>
            <w:r>
              <w:rPr>
                <w:rFonts w:ascii="仿宋_GB2312" w:hAnsi="仿宋_GB2312" w:eastAsia="仿宋_GB2312" w:cs="仿宋_GB2312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现场检</w:t>
            </w: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查、非</w:t>
            </w: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现场检 查相结</w:t>
            </w: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一般检查</w:t>
            </w:r>
          </w:p>
        </w:tc>
      </w:tr>
    </w:tbl>
    <w:p>
      <w:pPr>
        <w:pStyle w:val="2"/>
        <w:spacing w:before="24" w:line="216" w:lineRule="exact"/>
        <w:ind w:right="188"/>
        <w:jc w:val="left"/>
      </w:pPr>
    </w:p>
    <w:sectPr>
      <w:pgSz w:w="16840" w:h="11910" w:orient="landscape"/>
      <w:pgMar w:top="1100" w:right="340" w:bottom="860" w:left="340" w:header="0" w:footer="6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06.25pt;margin-top:549.45pt;height:9.45pt;width:2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69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15"/>
                    <w:szCs w:val="15"/>
                  </w:rPr>
                </w:pPr>
                <w:r>
                  <w:rPr>
                    <w:rFonts w:ascii="宋体" w:hAnsi="宋体" w:eastAsia="宋体" w:cs="宋体"/>
                    <w:spacing w:val="6"/>
                    <w:sz w:val="15"/>
                    <w:szCs w:val="15"/>
                  </w:rPr>
                  <w:t>第</w:t>
                </w:r>
                <w:r>
                  <w:rPr>
                    <w:rFonts w:ascii="宋体" w:hAnsi="宋体" w:eastAsia="宋体" w:cs="宋体"/>
                    <w:spacing w:val="-5"/>
                    <w:sz w:val="15"/>
                    <w:szCs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5"/>
                    <w:szCs w:val="15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7BD0229"/>
    <w:rsid w:val="3FF8D3DC"/>
    <w:rsid w:val="5BDFA064"/>
    <w:rsid w:val="71F55392"/>
    <w:rsid w:val="79E09855"/>
    <w:rsid w:val="7BBBE1A8"/>
    <w:rsid w:val="7DFEDB42"/>
    <w:rsid w:val="BFDDFE2F"/>
    <w:rsid w:val="D7F1B4A7"/>
    <w:rsid w:val="F7E79F36"/>
    <w:rsid w:val="FBBFC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2"/>
    </w:pPr>
    <w:rPr>
      <w:rFonts w:ascii="宋体" w:hAnsi="宋体" w:eastAsia="宋体"/>
      <w:sz w:val="17"/>
      <w:szCs w:val="17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2609</Words>
  <Characters>2708</Characters>
  <TotalTime>1</TotalTime>
  <ScaleCrop>false</ScaleCrop>
  <LinksUpToDate>false</LinksUpToDate>
  <CharactersWithSpaces>2902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2025-06-21T08:01:00Z</dcterms:created>
  <dc:creator>Administrator</dc:creator>
  <cp:lastModifiedBy>情殇</cp:lastModifiedBy>
  <dcterms:modified xsi:type="dcterms:W3CDTF">2025-08-01T15:16:27Z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2025-06-19T00:00:00Z</vt:filetime>
  </property>
  <property fmtid="{D5CDD505-2E9C-101B-9397-08002B2CF9AE}" pid="4" name="KSOTemplateDocerSaveRecord">
    <vt:lpwstr>eyJoZGlkIjoiZjYyNmEyNWY2YThkMmMzYjQ0NWE3YTc0NzNiYTU3NzUiLCJ1c2VySWQiOiI1ODE3OTU2MjgifQ==</vt:lpwstr>
  </property>
  <property fmtid="{D5CDD505-2E9C-101B-9397-08002B2CF9AE}" pid="5" name="KSOProductBuildVer">
    <vt:lpwstr>2052-11.1.0.11704</vt:lpwstr>
  </property>
  <property fmtid="{D5CDD505-2E9C-101B-9397-08002B2CF9AE}" pid="6" name="ICV">
    <vt:lpwstr>51A9F7CD770B4F28B3DA7CCEE5F846A8_12</vt:lpwstr>
  </property>
</Properties>
</file>