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200" w:lineRule="auto"/>
        <w:ind w:firstLine="408" w:firstLineChars="100"/>
        <w:rPr>
          <w:rFonts w:hint="eastAsia" w:ascii="宋体" w:hAnsi="宋体" w:eastAsia="宋体" w:cs="宋体"/>
          <w:spacing w:val="9"/>
          <w:sz w:val="39"/>
          <w:szCs w:val="39"/>
          <w:lang w:eastAsia="zh-CN"/>
        </w:rPr>
      </w:pPr>
    </w:p>
    <w:p>
      <w:pPr>
        <w:spacing w:before="79" w:line="200" w:lineRule="auto"/>
        <w:ind w:firstLine="1632" w:firstLineChars="400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spacing w:val="9"/>
          <w:sz w:val="39"/>
          <w:szCs w:val="39"/>
          <w:lang w:eastAsia="zh-CN"/>
        </w:rPr>
        <w:t>邵阳</w:t>
      </w:r>
      <w:r>
        <w:rPr>
          <w:rFonts w:ascii="宋体" w:hAnsi="宋体" w:eastAsia="宋体" w:cs="宋体"/>
          <w:spacing w:val="9"/>
          <w:sz w:val="39"/>
          <w:szCs w:val="39"/>
        </w:rPr>
        <w:t>市</w:t>
      </w:r>
      <w:r>
        <w:rPr>
          <w:rFonts w:hint="eastAsia" w:ascii="宋体" w:hAnsi="宋体" w:eastAsia="宋体" w:cs="宋体"/>
          <w:spacing w:val="9"/>
          <w:sz w:val="39"/>
          <w:szCs w:val="39"/>
          <w:lang w:eastAsia="zh-CN"/>
        </w:rPr>
        <w:t>北塔区</w:t>
      </w:r>
      <w:r>
        <w:rPr>
          <w:rFonts w:ascii="宋体" w:hAnsi="宋体" w:eastAsia="宋体" w:cs="宋体"/>
          <w:spacing w:val="9"/>
          <w:sz w:val="39"/>
          <w:szCs w:val="39"/>
        </w:rPr>
        <w:t>发展和改革局行政执法事项目录清单</w:t>
      </w:r>
    </w:p>
    <w:tbl>
      <w:tblPr>
        <w:tblStyle w:val="5"/>
        <w:tblpPr w:leftFromText="180" w:rightFromText="180" w:vertAnchor="text" w:horzAnchor="page" w:tblpX="1400" w:tblpY="390"/>
        <w:tblOverlap w:val="never"/>
        <w:tblW w:w="916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992"/>
        <w:gridCol w:w="1337"/>
        <w:gridCol w:w="4078"/>
        <w:gridCol w:w="1308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42" w:type="dxa"/>
            <w:gridSpan w:val="2"/>
            <w:vAlign w:val="top"/>
          </w:tcPr>
          <w:p>
            <w:pPr>
              <w:spacing w:before="164" w:line="219" w:lineRule="auto"/>
              <w:ind w:right="3"/>
              <w:jc w:val="center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b/>
                <w:bCs/>
                <w:color w:val="333333"/>
                <w:spacing w:val="-4"/>
                <w:sz w:val="24"/>
                <w:szCs w:val="24"/>
              </w:rPr>
              <w:t>执法类别</w:t>
            </w:r>
          </w:p>
        </w:tc>
        <w:tc>
          <w:tcPr>
            <w:tcW w:w="1337" w:type="dxa"/>
            <w:vAlign w:val="top"/>
          </w:tcPr>
          <w:p>
            <w:pPr>
              <w:spacing w:before="160" w:line="222" w:lineRule="auto"/>
              <w:ind w:left="19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b/>
                <w:bCs/>
                <w:color w:val="333333"/>
                <w:spacing w:val="-5"/>
                <w:sz w:val="24"/>
                <w:szCs w:val="24"/>
              </w:rPr>
              <w:t>事项名称</w:t>
            </w:r>
          </w:p>
        </w:tc>
        <w:tc>
          <w:tcPr>
            <w:tcW w:w="4078" w:type="dxa"/>
            <w:vAlign w:val="top"/>
          </w:tcPr>
          <w:p>
            <w:pPr>
              <w:spacing w:before="146" w:line="222" w:lineRule="auto"/>
              <w:ind w:left="128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b/>
                <w:bCs/>
                <w:color w:val="333333"/>
                <w:spacing w:val="-11"/>
                <w:sz w:val="24"/>
                <w:szCs w:val="24"/>
              </w:rPr>
              <w:t>实</w:t>
            </w:r>
            <w:r>
              <w:rPr>
                <w:rFonts w:ascii="SimHei" w:hAnsi="SimHei" w:eastAsia="SimHei" w:cs="SimHei"/>
                <w:color w:val="333333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color w:val="333333"/>
                <w:spacing w:val="-11"/>
                <w:sz w:val="24"/>
                <w:szCs w:val="24"/>
              </w:rPr>
              <w:t>施</w:t>
            </w:r>
            <w:r>
              <w:rPr>
                <w:rFonts w:ascii="SimHei" w:hAnsi="SimHei" w:eastAsia="SimHei" w:cs="SimHei"/>
                <w:color w:val="333333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color w:val="333333"/>
                <w:spacing w:val="-11"/>
                <w:sz w:val="24"/>
                <w:szCs w:val="24"/>
              </w:rPr>
              <w:t>依</w:t>
            </w:r>
            <w:r>
              <w:rPr>
                <w:rFonts w:ascii="SimHei" w:hAnsi="SimHei" w:eastAsia="SimHei" w:cs="SimHei"/>
                <w:color w:val="333333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color w:val="333333"/>
                <w:spacing w:val="-11"/>
                <w:sz w:val="24"/>
                <w:szCs w:val="24"/>
              </w:rPr>
              <w:t>据</w:t>
            </w:r>
          </w:p>
        </w:tc>
        <w:tc>
          <w:tcPr>
            <w:tcW w:w="1308" w:type="dxa"/>
            <w:vAlign w:val="top"/>
          </w:tcPr>
          <w:p>
            <w:pPr>
              <w:spacing w:before="160" w:line="222" w:lineRule="auto"/>
              <w:ind w:left="19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b/>
                <w:bCs/>
                <w:color w:val="333333"/>
                <w:spacing w:val="-5"/>
                <w:sz w:val="24"/>
                <w:szCs w:val="24"/>
              </w:rPr>
              <w:t>实施对象</w:t>
            </w:r>
          </w:p>
        </w:tc>
        <w:tc>
          <w:tcPr>
            <w:tcW w:w="1002" w:type="dxa"/>
            <w:vAlign w:val="top"/>
          </w:tcPr>
          <w:p>
            <w:pPr>
              <w:spacing w:before="164" w:line="221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b/>
                <w:bCs/>
                <w:color w:val="333333"/>
                <w:spacing w:val="-4"/>
                <w:sz w:val="24"/>
                <w:szCs w:val="24"/>
              </w:rPr>
              <w:t>承办机构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67" w:type="dxa"/>
            <w:gridSpan w:val="6"/>
            <w:vAlign w:val="top"/>
          </w:tcPr>
          <w:p>
            <w:pPr>
              <w:spacing w:before="101" w:line="222" w:lineRule="auto"/>
              <w:ind w:left="4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b/>
                <w:bCs/>
                <w:color w:val="333333"/>
                <w:spacing w:val="-4"/>
                <w:sz w:val="24"/>
                <w:szCs w:val="24"/>
              </w:rPr>
              <w:t>一、行政许可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45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15" w:lineRule="exact"/>
              <w:ind w:left="190"/>
            </w:pPr>
            <w:r>
              <w:rPr>
                <w:position w:val="1"/>
              </w:rPr>
              <w:t>1</w:t>
            </w:r>
          </w:p>
        </w:tc>
        <w:tc>
          <w:tcPr>
            <w:tcW w:w="9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jc w:val="right"/>
            </w:pPr>
            <w:r>
              <w:rPr>
                <w:color w:val="333333"/>
                <w:spacing w:val="-7"/>
              </w:rPr>
              <w:t>行政许可</w:t>
            </w:r>
          </w:p>
        </w:tc>
        <w:tc>
          <w:tcPr>
            <w:tcW w:w="133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43"/>
            </w:pPr>
            <w:r>
              <w:rPr>
                <w:spacing w:val="-4"/>
              </w:rPr>
              <w:t>权限内企业</w:t>
            </w:r>
          </w:p>
          <w:p>
            <w:pPr>
              <w:pStyle w:val="6"/>
              <w:spacing w:before="4" w:line="224" w:lineRule="auto"/>
              <w:ind w:left="46" w:right="93" w:hanging="3"/>
            </w:pPr>
            <w:r>
              <w:rPr>
                <w:spacing w:val="-4"/>
              </w:rPr>
              <w:t>投资项目核</w:t>
            </w:r>
            <w:r>
              <w:rPr>
                <w:spacing w:val="3"/>
              </w:rPr>
              <w:t xml:space="preserve"> </w:t>
            </w:r>
            <w:r>
              <w:t>准</w:t>
            </w:r>
          </w:p>
        </w:tc>
        <w:tc>
          <w:tcPr>
            <w:tcW w:w="4078" w:type="dxa"/>
            <w:vAlign w:val="top"/>
          </w:tcPr>
          <w:p>
            <w:pPr>
              <w:pStyle w:val="6"/>
              <w:spacing w:before="71" w:line="223" w:lineRule="auto"/>
              <w:ind w:left="45" w:right="72" w:firstLine="11"/>
            </w:pPr>
            <w:r>
              <w:rPr>
                <w:spacing w:val="-2"/>
              </w:rPr>
              <w:t>1.</w:t>
            </w:r>
            <w:r>
              <w:rPr>
                <w:color w:val="333333"/>
                <w:spacing w:val="-2"/>
              </w:rPr>
              <w:t>《企业投资项目核准和备案管理条</w:t>
            </w:r>
            <w:r>
              <w:rPr>
                <w:color w:val="333333"/>
                <w:spacing w:val="3"/>
              </w:rPr>
              <w:t xml:space="preserve">  </w:t>
            </w:r>
            <w:r>
              <w:rPr>
                <w:color w:val="333333"/>
                <w:spacing w:val="-1"/>
              </w:rPr>
              <w:t>例》（中华人民共和国国务院令第673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2"/>
              </w:rPr>
              <w:t>号）,</w:t>
            </w:r>
            <w:r>
              <w:rPr>
                <w:color w:val="333333"/>
                <w:spacing w:val="-38"/>
              </w:rPr>
              <w:t xml:space="preserve"> </w:t>
            </w:r>
            <w:r>
              <w:rPr>
                <w:color w:val="333333"/>
                <w:spacing w:val="-2"/>
              </w:rPr>
              <w:t>2.《企业投资项目核准和备案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1"/>
              </w:rPr>
              <w:t>管理办法》（国家发展和改革委员会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10"/>
              </w:rPr>
              <w:t>令第</w:t>
            </w:r>
            <w:r>
              <w:rPr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-10"/>
              </w:rPr>
              <w:t>2</w:t>
            </w:r>
            <w:r>
              <w:rPr>
                <w:color w:val="333333"/>
                <w:spacing w:val="21"/>
              </w:rPr>
              <w:t xml:space="preserve"> </w:t>
            </w:r>
            <w:r>
              <w:rPr>
                <w:color w:val="333333"/>
                <w:spacing w:val="-10"/>
              </w:rPr>
              <w:t>号）</w:t>
            </w:r>
          </w:p>
        </w:tc>
        <w:tc>
          <w:tcPr>
            <w:tcW w:w="13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438"/>
            </w:pPr>
            <w:r>
              <w:rPr>
                <w:color w:val="333333"/>
                <w:spacing w:val="-9"/>
              </w:rPr>
              <w:t>企业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line="224" w:lineRule="auto"/>
              <w:ind w:left="71" w:right="229" w:hanging="13"/>
              <w:rPr>
                <w:rFonts w:hint="eastAsia"/>
                <w:spacing w:val="-8"/>
                <w:lang w:eastAsia="zh-CN"/>
              </w:rPr>
            </w:pPr>
          </w:p>
          <w:p>
            <w:pPr>
              <w:pStyle w:val="6"/>
              <w:spacing w:line="224" w:lineRule="auto"/>
              <w:ind w:left="71" w:right="229" w:hanging="13"/>
              <w:rPr>
                <w:rFonts w:hint="eastAsia"/>
                <w:spacing w:val="-8"/>
                <w:lang w:eastAsia="zh-CN"/>
              </w:rPr>
            </w:pPr>
          </w:p>
          <w:p>
            <w:pPr>
              <w:pStyle w:val="6"/>
              <w:spacing w:line="224" w:lineRule="auto"/>
              <w:ind w:right="229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发改股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15" w:lineRule="exact"/>
              <w:ind w:left="175"/>
            </w:pPr>
            <w:r>
              <w:rPr>
                <w:position w:val="1"/>
              </w:rPr>
              <w:t>2</w:t>
            </w:r>
          </w:p>
        </w:tc>
        <w:tc>
          <w:tcPr>
            <w:tcW w:w="99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jc w:val="right"/>
            </w:pPr>
            <w:r>
              <w:rPr>
                <w:color w:val="333333"/>
                <w:spacing w:val="-7"/>
              </w:rPr>
              <w:t>行政许可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282" w:line="223" w:lineRule="auto"/>
              <w:ind w:left="45"/>
            </w:pPr>
            <w:r>
              <w:rPr>
                <w:spacing w:val="-4"/>
              </w:rPr>
              <w:t>依法必须进</w:t>
            </w:r>
          </w:p>
          <w:p>
            <w:pPr>
              <w:pStyle w:val="6"/>
              <w:spacing w:before="2" w:line="221" w:lineRule="auto"/>
              <w:ind w:left="46"/>
            </w:pPr>
            <w:r>
              <w:rPr>
                <w:spacing w:val="-4"/>
              </w:rPr>
              <w:t>行招标的相</w:t>
            </w:r>
          </w:p>
          <w:p>
            <w:pPr>
              <w:pStyle w:val="6"/>
              <w:spacing w:before="2" w:line="223" w:lineRule="auto"/>
              <w:ind w:left="51"/>
            </w:pPr>
            <w:r>
              <w:rPr>
                <w:spacing w:val="-5"/>
              </w:rPr>
              <w:t>关工程建设</w:t>
            </w:r>
          </w:p>
          <w:p>
            <w:pPr>
              <w:pStyle w:val="6"/>
              <w:spacing w:before="3" w:line="222" w:lineRule="auto"/>
              <w:ind w:left="45"/>
            </w:pPr>
            <w:r>
              <w:rPr>
                <w:spacing w:val="-4"/>
              </w:rPr>
              <w:t>项目招标范</w:t>
            </w:r>
          </w:p>
          <w:p>
            <w:pPr>
              <w:pStyle w:val="6"/>
              <w:spacing w:before="4" w:line="222" w:lineRule="auto"/>
              <w:ind w:left="68"/>
            </w:pPr>
            <w:r>
              <w:rPr>
                <w:spacing w:val="-9"/>
              </w:rPr>
              <w:t>围、招标方</w:t>
            </w:r>
          </w:p>
          <w:p>
            <w:pPr>
              <w:pStyle w:val="6"/>
              <w:spacing w:before="2" w:line="222" w:lineRule="auto"/>
              <w:ind w:left="50"/>
            </w:pPr>
            <w:r>
              <w:rPr>
                <w:spacing w:val="-5"/>
              </w:rPr>
              <w:t>式、招标组</w:t>
            </w:r>
          </w:p>
          <w:p>
            <w:pPr>
              <w:pStyle w:val="6"/>
              <w:spacing w:before="4" w:line="222" w:lineRule="auto"/>
              <w:ind w:left="48"/>
            </w:pPr>
            <w:r>
              <w:rPr>
                <w:spacing w:val="-4"/>
              </w:rPr>
              <w:t>织形式核准</w:t>
            </w:r>
          </w:p>
        </w:tc>
        <w:tc>
          <w:tcPr>
            <w:tcW w:w="4078" w:type="dxa"/>
            <w:vAlign w:val="top"/>
          </w:tcPr>
          <w:p>
            <w:pPr>
              <w:pStyle w:val="6"/>
              <w:spacing w:before="28" w:line="213" w:lineRule="auto"/>
              <w:ind w:left="45" w:right="192"/>
            </w:pPr>
            <w:r>
              <w:rPr>
                <w:color w:val="333333"/>
                <w:spacing w:val="-1"/>
              </w:rPr>
              <w:t>《中华人民共和国招标投标法实施条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例》第七条按照国家有关规定需要履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行项目审批、核准手续的依法必须进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行招标的项目，其招标范围、招标方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式、招标组织形式应当报项目审批、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核准部门审批、核准。项目审批、核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准部门应当及时将审批、核准确定的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招标范围、招标方式、招标组织形式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通报有关行政监督部门</w:t>
            </w:r>
          </w:p>
        </w:tc>
        <w:tc>
          <w:tcPr>
            <w:tcW w:w="13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2"/>
            </w:pPr>
            <w:r>
              <w:rPr>
                <w:color w:val="333333"/>
                <w:spacing w:val="-5"/>
              </w:rPr>
              <w:t>行政机关</w:t>
            </w:r>
          </w:p>
          <w:p>
            <w:pPr>
              <w:pStyle w:val="6"/>
              <w:spacing w:before="24" w:line="221" w:lineRule="auto"/>
              <w:ind w:left="197"/>
            </w:pPr>
            <w:r>
              <w:rPr>
                <w:color w:val="333333"/>
                <w:spacing w:val="-4"/>
              </w:rPr>
              <w:t>事业单位</w:t>
            </w:r>
          </w:p>
          <w:p>
            <w:pPr>
              <w:pStyle w:val="6"/>
              <w:spacing w:before="6" w:line="222" w:lineRule="auto"/>
              <w:ind w:left="197"/>
            </w:pPr>
            <w:r>
              <w:rPr>
                <w:color w:val="333333"/>
                <w:spacing w:val="-4"/>
              </w:rPr>
              <w:t>社会团体</w:t>
            </w:r>
          </w:p>
          <w:p>
            <w:pPr>
              <w:pStyle w:val="6"/>
              <w:spacing w:line="232" w:lineRule="auto"/>
              <w:ind w:left="438"/>
            </w:pPr>
            <w:r>
              <w:rPr>
                <w:color w:val="333333"/>
                <w:spacing w:val="-9"/>
              </w:rPr>
              <w:t>企业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line="223" w:lineRule="auto"/>
              <w:ind w:left="53"/>
              <w:rPr>
                <w:rFonts w:hint="eastAsia"/>
                <w:spacing w:val="-8"/>
                <w:lang w:eastAsia="zh-CN"/>
              </w:rPr>
            </w:pPr>
          </w:p>
          <w:p>
            <w:pPr>
              <w:pStyle w:val="6"/>
              <w:spacing w:line="223" w:lineRule="auto"/>
              <w:ind w:left="53"/>
              <w:rPr>
                <w:rFonts w:hint="eastAsia"/>
                <w:spacing w:val="-8"/>
                <w:lang w:eastAsia="zh-CN"/>
              </w:rPr>
            </w:pPr>
          </w:p>
          <w:p>
            <w:pPr>
              <w:pStyle w:val="6"/>
              <w:spacing w:line="223" w:lineRule="auto"/>
              <w:ind w:left="53"/>
              <w:rPr>
                <w:rFonts w:hint="eastAsia"/>
                <w:spacing w:val="-8"/>
                <w:lang w:eastAsia="zh-CN"/>
              </w:rPr>
            </w:pPr>
          </w:p>
          <w:p>
            <w:pPr>
              <w:pStyle w:val="6"/>
              <w:spacing w:line="223" w:lineRule="auto"/>
              <w:ind w:left="53"/>
              <w:rPr>
                <w:rFonts w:hint="eastAsia"/>
                <w:spacing w:val="-8"/>
                <w:lang w:eastAsia="zh-CN"/>
              </w:rPr>
            </w:pPr>
          </w:p>
          <w:p>
            <w:pPr>
              <w:pStyle w:val="6"/>
              <w:spacing w:line="223" w:lineRule="auto"/>
              <w:ind w:left="53"/>
            </w:pPr>
            <w:r>
              <w:rPr>
                <w:rFonts w:hint="eastAsia"/>
                <w:spacing w:val="-8"/>
                <w:lang w:eastAsia="zh-CN"/>
              </w:rPr>
              <w:t>发改股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167" w:type="dxa"/>
            <w:gridSpan w:val="6"/>
            <w:vAlign w:val="top"/>
          </w:tcPr>
          <w:p>
            <w:pPr>
              <w:spacing w:before="125" w:line="222" w:lineRule="auto"/>
              <w:ind w:left="4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hint="eastAsia" w:ascii="SimHei" w:hAnsi="SimHei" w:eastAsia="SimHei" w:cs="SimHei"/>
                <w:b/>
                <w:bCs/>
                <w:color w:val="333333"/>
                <w:spacing w:val="-3"/>
                <w:sz w:val="24"/>
                <w:szCs w:val="24"/>
                <w:lang w:eastAsia="zh-CN"/>
              </w:rPr>
              <w:t>二</w:t>
            </w:r>
            <w:r>
              <w:rPr>
                <w:rFonts w:ascii="SimHei" w:hAnsi="SimHei" w:eastAsia="SimHei" w:cs="SimHei"/>
                <w:b/>
                <w:bCs/>
                <w:color w:val="333333"/>
                <w:spacing w:val="-3"/>
                <w:sz w:val="24"/>
                <w:szCs w:val="24"/>
              </w:rPr>
              <w:t>、其它行政权力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4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1" w:lineRule="auto"/>
              <w:ind w:left="177"/>
            </w:pPr>
            <w:r>
              <w:t>3</w:t>
            </w:r>
          </w:p>
        </w:tc>
        <w:tc>
          <w:tcPr>
            <w:tcW w:w="9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color w:val="333333"/>
                <w:spacing w:val="-7"/>
              </w:rPr>
              <w:t>行政检查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312" w:line="220" w:lineRule="auto"/>
              <w:ind w:left="45"/>
            </w:pPr>
            <w:r>
              <w:rPr>
                <w:spacing w:val="-4"/>
              </w:rPr>
              <w:t>粮油安全生</w:t>
            </w:r>
          </w:p>
          <w:p>
            <w:pPr>
              <w:pStyle w:val="6"/>
              <w:spacing w:before="7" w:line="225" w:lineRule="auto"/>
              <w:ind w:left="46" w:right="93"/>
            </w:pPr>
            <w:r>
              <w:rPr>
                <w:spacing w:val="-4"/>
              </w:rPr>
              <w:t>产安全储粮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检查</w:t>
            </w:r>
          </w:p>
        </w:tc>
        <w:tc>
          <w:tcPr>
            <w:tcW w:w="4078" w:type="dxa"/>
            <w:vAlign w:val="top"/>
          </w:tcPr>
          <w:p>
            <w:pPr>
              <w:pStyle w:val="6"/>
              <w:spacing w:before="36" w:line="224" w:lineRule="auto"/>
              <w:ind w:left="56"/>
            </w:pPr>
            <w:r>
              <w:rPr>
                <w:spacing w:val="-3"/>
              </w:rPr>
              <w:t>1.《安全生产法》</w:t>
            </w:r>
          </w:p>
          <w:p>
            <w:pPr>
              <w:pStyle w:val="6"/>
              <w:spacing w:before="292" w:line="220" w:lineRule="auto"/>
              <w:ind w:left="41"/>
            </w:pPr>
            <w:r>
              <w:rPr>
                <w:spacing w:val="-1"/>
              </w:rPr>
              <w:t>2.《粮油仓储管理办法》</w:t>
            </w:r>
          </w:p>
          <w:p>
            <w:pPr>
              <w:pStyle w:val="6"/>
              <w:spacing w:before="298" w:line="160" w:lineRule="auto"/>
              <w:ind w:left="43"/>
            </w:pPr>
            <w:r>
              <w:rPr>
                <w:spacing w:val="-1"/>
              </w:rPr>
              <w:t>3.《政府储备粮食仓储管理办法》</w:t>
            </w:r>
          </w:p>
        </w:tc>
        <w:tc>
          <w:tcPr>
            <w:tcW w:w="13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438"/>
            </w:pPr>
            <w:r>
              <w:rPr>
                <w:color w:val="333333"/>
                <w:spacing w:val="-9"/>
              </w:rPr>
              <w:t>企业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6" w:line="227" w:lineRule="auto"/>
              <w:ind w:left="53" w:right="229"/>
              <w:rPr>
                <w:rFonts w:hint="eastAsia"/>
                <w:spacing w:val="-6"/>
                <w:lang w:eastAsia="zh-CN"/>
              </w:rPr>
            </w:pPr>
          </w:p>
          <w:p>
            <w:pPr>
              <w:pStyle w:val="6"/>
              <w:spacing w:before="6" w:line="227" w:lineRule="auto"/>
              <w:ind w:left="53" w:right="229"/>
              <w:rPr>
                <w:rFonts w:hint="eastAsia"/>
                <w:spacing w:val="-6"/>
                <w:lang w:eastAsia="zh-CN"/>
              </w:rPr>
            </w:pPr>
          </w:p>
          <w:p>
            <w:pPr>
              <w:pStyle w:val="6"/>
              <w:spacing w:before="6" w:line="227" w:lineRule="auto"/>
              <w:ind w:left="53" w:right="229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发改</w:t>
            </w:r>
            <w:r>
              <w:rPr>
                <w:rFonts w:hint="eastAsia"/>
                <w:spacing w:val="-14"/>
                <w:lang w:eastAsia="zh-CN"/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16" w:lineRule="exact"/>
              <w:ind w:left="172"/>
            </w:pPr>
            <w:r>
              <w:rPr>
                <w:position w:val="1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color w:val="333333"/>
                <w:spacing w:val="-7"/>
              </w:rPr>
              <w:t>行政检查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29" w:line="222" w:lineRule="auto"/>
              <w:ind w:left="46"/>
            </w:pPr>
            <w:r>
              <w:rPr>
                <w:spacing w:val="-4"/>
              </w:rPr>
              <w:t>对能源生产</w:t>
            </w:r>
          </w:p>
          <w:p>
            <w:pPr>
              <w:pStyle w:val="6"/>
              <w:spacing w:before="2" w:line="222" w:lineRule="auto"/>
              <w:ind w:left="62"/>
            </w:pPr>
            <w:r>
              <w:rPr>
                <w:spacing w:val="-4"/>
              </w:rPr>
              <w:t>、经营、使</w:t>
            </w:r>
          </w:p>
          <w:p>
            <w:pPr>
              <w:pStyle w:val="6"/>
              <w:spacing w:before="3" w:line="221" w:lineRule="auto"/>
              <w:ind w:left="44"/>
            </w:pPr>
            <w:r>
              <w:rPr>
                <w:spacing w:val="-4"/>
              </w:rPr>
              <w:t>用单位和其</w:t>
            </w:r>
          </w:p>
          <w:p>
            <w:pPr>
              <w:pStyle w:val="6"/>
              <w:spacing w:before="5" w:line="221" w:lineRule="auto"/>
              <w:ind w:left="45"/>
            </w:pPr>
            <w:r>
              <w:rPr>
                <w:spacing w:val="-4"/>
              </w:rPr>
              <w:t>他相关单位</w:t>
            </w:r>
          </w:p>
          <w:p>
            <w:pPr>
              <w:pStyle w:val="6"/>
              <w:spacing w:before="3" w:line="221" w:lineRule="auto"/>
              <w:ind w:left="43"/>
            </w:pPr>
            <w:r>
              <w:rPr>
                <w:spacing w:val="-4"/>
              </w:rPr>
              <w:t>执行节能法</w:t>
            </w:r>
          </w:p>
          <w:p>
            <w:pPr>
              <w:pStyle w:val="6"/>
              <w:spacing w:before="6" w:line="222" w:lineRule="auto"/>
              <w:ind w:left="43"/>
            </w:pPr>
            <w:r>
              <w:rPr>
                <w:spacing w:val="-4"/>
              </w:rPr>
              <w:t>律、法规、</w:t>
            </w:r>
          </w:p>
          <w:p>
            <w:pPr>
              <w:pStyle w:val="6"/>
              <w:spacing w:before="4" w:line="222" w:lineRule="auto"/>
              <w:ind w:left="43"/>
            </w:pPr>
            <w:r>
              <w:rPr>
                <w:spacing w:val="-4"/>
              </w:rPr>
              <w:t>规章和强制</w:t>
            </w:r>
          </w:p>
          <w:p>
            <w:pPr>
              <w:pStyle w:val="6"/>
              <w:spacing w:before="2" w:line="220" w:lineRule="auto"/>
              <w:ind w:left="48"/>
            </w:pPr>
            <w:r>
              <w:rPr>
                <w:spacing w:val="-4"/>
              </w:rPr>
              <w:t>性节能标准</w:t>
            </w:r>
          </w:p>
          <w:p>
            <w:pPr>
              <w:pStyle w:val="6"/>
              <w:spacing w:before="7" w:line="178" w:lineRule="auto"/>
              <w:ind w:left="51" w:right="93" w:firstLine="7"/>
            </w:pPr>
            <w:r>
              <w:rPr>
                <w:spacing w:val="-6"/>
              </w:rPr>
              <w:t>的情况进行</w:t>
            </w:r>
            <w:r>
              <w:t xml:space="preserve"> </w:t>
            </w:r>
            <w:r>
              <w:rPr>
                <w:spacing w:val="-6"/>
              </w:rPr>
              <w:t>监督检查</w:t>
            </w:r>
          </w:p>
        </w:tc>
        <w:tc>
          <w:tcPr>
            <w:tcW w:w="407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5" w:right="192"/>
            </w:pPr>
            <w:r>
              <w:rPr>
                <w:color w:val="333333"/>
                <w:spacing w:val="-1"/>
              </w:rPr>
              <w:t>《节能监察办法》第二条：依法开展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节能监察的机构对能源生产、经营、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使用单位单位和其他相关单位执行节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能法律、法规、规章和强制性节能标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准的情况进行监督检查，对违法违规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用能行为予以处理，并提出依法用能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、合理用能建议的行为。</w:t>
            </w:r>
          </w:p>
        </w:tc>
        <w:tc>
          <w:tcPr>
            <w:tcW w:w="13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97" w:right="31" w:hanging="119"/>
            </w:pPr>
            <w:r>
              <w:rPr>
                <w:color w:val="333333"/>
                <w:spacing w:val="-4"/>
              </w:rPr>
              <w:t>企业和其他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4"/>
              </w:rPr>
              <w:t>社会组织</w:t>
            </w:r>
          </w:p>
        </w:tc>
        <w:tc>
          <w:tcPr>
            <w:tcW w:w="10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line="226" w:lineRule="auto"/>
              <w:ind w:left="53" w:right="229" w:firstLine="1"/>
              <w:rPr>
                <w:rFonts w:hint="eastAsia"/>
                <w:spacing w:val="-14"/>
                <w:lang w:eastAsia="zh-CN"/>
              </w:rPr>
            </w:pPr>
          </w:p>
          <w:p>
            <w:pPr>
              <w:pStyle w:val="6"/>
              <w:spacing w:line="226" w:lineRule="auto"/>
              <w:ind w:left="53" w:right="229" w:firstLine="1"/>
              <w:rPr>
                <w:rFonts w:hint="eastAsia"/>
                <w:spacing w:val="-14"/>
                <w:lang w:eastAsia="zh-CN"/>
              </w:rPr>
            </w:pPr>
          </w:p>
          <w:p>
            <w:pPr>
              <w:pStyle w:val="6"/>
              <w:spacing w:line="226" w:lineRule="auto"/>
              <w:ind w:left="53" w:right="229" w:firstLine="1"/>
              <w:rPr>
                <w:rFonts w:hint="eastAsia" w:eastAsia="FangSong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-14"/>
                <w:lang w:eastAsia="zh-CN"/>
              </w:rPr>
              <w:t>发改股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50" w:type="dxa"/>
            <w:vAlign w:val="top"/>
          </w:tcPr>
          <w:p>
            <w:pPr>
              <w:pStyle w:val="6"/>
              <w:spacing w:before="281" w:line="241" w:lineRule="auto"/>
              <w:ind w:left="177"/>
            </w:pPr>
            <w:r>
              <w:t>5</w:t>
            </w:r>
          </w:p>
        </w:tc>
        <w:tc>
          <w:tcPr>
            <w:tcW w:w="992" w:type="dxa"/>
            <w:vAlign w:val="top"/>
          </w:tcPr>
          <w:p>
            <w:pPr>
              <w:pStyle w:val="6"/>
              <w:spacing w:before="281" w:line="221" w:lineRule="auto"/>
              <w:jc w:val="right"/>
            </w:pPr>
            <w:r>
              <w:rPr>
                <w:color w:val="333333"/>
                <w:spacing w:val="-7"/>
              </w:rPr>
              <w:t>行政确认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136" w:line="226" w:lineRule="auto"/>
              <w:ind w:left="45" w:right="93"/>
            </w:pPr>
            <w:r>
              <w:rPr>
                <w:spacing w:val="-4"/>
              </w:rPr>
              <w:t>对涉案物的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价格认定</w:t>
            </w:r>
          </w:p>
        </w:tc>
        <w:tc>
          <w:tcPr>
            <w:tcW w:w="4078" w:type="dxa"/>
            <w:vAlign w:val="top"/>
          </w:tcPr>
          <w:p>
            <w:pPr>
              <w:pStyle w:val="6"/>
              <w:spacing w:before="134" w:line="229" w:lineRule="auto"/>
              <w:ind w:left="45" w:right="72"/>
            </w:pPr>
            <w:r>
              <w:rPr>
                <w:spacing w:val="-1"/>
              </w:rPr>
              <w:t>《国家发改委关于印发&lt;价格认定规定</w:t>
            </w:r>
            <w:r>
              <w:t xml:space="preserve"> </w:t>
            </w:r>
            <w:r>
              <w:rPr>
                <w:spacing w:val="-4"/>
              </w:rPr>
              <w:t>&gt;的通知》</w:t>
            </w:r>
          </w:p>
        </w:tc>
        <w:tc>
          <w:tcPr>
            <w:tcW w:w="1308" w:type="dxa"/>
            <w:vAlign w:val="top"/>
          </w:tcPr>
          <w:p>
            <w:pPr>
              <w:pStyle w:val="6"/>
              <w:spacing w:before="135" w:line="222" w:lineRule="auto"/>
              <w:ind w:left="74"/>
            </w:pPr>
            <w:r>
              <w:rPr>
                <w:color w:val="333333"/>
                <w:spacing w:val="-3"/>
              </w:rPr>
              <w:t>有关国家机</w:t>
            </w:r>
          </w:p>
          <w:p>
            <w:pPr>
              <w:pStyle w:val="6"/>
              <w:spacing w:before="4" w:line="224" w:lineRule="auto"/>
              <w:ind w:left="564"/>
            </w:pPr>
            <w:r>
              <w:rPr>
                <w:color w:val="333333"/>
              </w:rPr>
              <w:t>关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34" w:line="227" w:lineRule="auto"/>
              <w:ind w:left="54" w:right="229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发改股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167" w:type="dxa"/>
            <w:gridSpan w:val="6"/>
            <w:vAlign w:val="top"/>
          </w:tcPr>
          <w:p>
            <w:pPr>
              <w:spacing w:before="163" w:line="221" w:lineRule="auto"/>
              <w:ind w:left="5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hint="eastAsia" w:ascii="SimHei" w:hAnsi="SimHei" w:eastAsia="SimHei" w:cs="SimHei"/>
                <w:b/>
                <w:bCs/>
                <w:color w:val="333333"/>
                <w:spacing w:val="-4"/>
                <w:sz w:val="24"/>
                <w:szCs w:val="24"/>
                <w:lang w:eastAsia="zh-CN"/>
              </w:rPr>
              <w:t>三</w:t>
            </w:r>
            <w:r>
              <w:rPr>
                <w:rFonts w:ascii="SimHei" w:hAnsi="SimHei" w:eastAsia="SimHei" w:cs="SimHei"/>
                <w:b/>
                <w:bCs/>
                <w:color w:val="333333"/>
                <w:spacing w:val="-4"/>
                <w:sz w:val="24"/>
                <w:szCs w:val="24"/>
              </w:rPr>
              <w:t>、公共服务事项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5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15" w:lineRule="exact"/>
              <w:ind w:left="190"/>
            </w:pPr>
            <w:r>
              <w:rPr>
                <w:position w:val="1"/>
              </w:rPr>
              <w:t>1</w:t>
            </w:r>
          </w:p>
        </w:tc>
        <w:tc>
          <w:tcPr>
            <w:tcW w:w="99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jc w:val="right"/>
            </w:pPr>
            <w:r>
              <w:rPr>
                <w:color w:val="333333"/>
                <w:spacing w:val="-8"/>
              </w:rPr>
              <w:t>公共服务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39" w:line="224" w:lineRule="auto"/>
              <w:ind w:left="45"/>
            </w:pPr>
            <w:r>
              <w:rPr>
                <w:spacing w:val="-4"/>
              </w:rPr>
              <w:t>企业投资建</w:t>
            </w:r>
          </w:p>
          <w:p>
            <w:pPr>
              <w:pStyle w:val="6"/>
              <w:spacing w:before="1" w:line="223" w:lineRule="auto"/>
              <w:ind w:left="43"/>
            </w:pPr>
            <w:r>
              <w:rPr>
                <w:spacing w:val="-4"/>
              </w:rPr>
              <w:t>设的固定资</w:t>
            </w:r>
          </w:p>
          <w:p>
            <w:pPr>
              <w:pStyle w:val="6"/>
              <w:spacing w:before="2" w:line="199" w:lineRule="auto"/>
              <w:ind w:left="46" w:right="93"/>
            </w:pPr>
            <w:r>
              <w:rPr>
                <w:spacing w:val="-4"/>
              </w:rPr>
              <w:t>产投资项目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备案</w:t>
            </w:r>
          </w:p>
        </w:tc>
        <w:tc>
          <w:tcPr>
            <w:tcW w:w="4078" w:type="dxa"/>
            <w:vAlign w:val="top"/>
          </w:tcPr>
          <w:p>
            <w:pPr>
              <w:pStyle w:val="6"/>
              <w:spacing w:before="38" w:line="212" w:lineRule="auto"/>
              <w:ind w:left="45" w:right="72" w:firstLine="11"/>
              <w:jc w:val="both"/>
              <w:rPr>
                <w:rFonts w:hint="eastAsia" w:eastAsia="FangSong"/>
                <w:lang w:eastAsia="zh-CN"/>
              </w:rPr>
            </w:pPr>
            <w:r>
              <w:rPr>
                <w:spacing w:val="-2"/>
              </w:rPr>
              <w:t>1.《企业投资项目核准和备案管理条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例》（中华人民共和国国务院令第673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号）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2.《企业投资项目核准和备案管</w:t>
            </w:r>
            <w:r>
              <w:t xml:space="preserve"> </w:t>
            </w:r>
            <w:r>
              <w:rPr>
                <w:spacing w:val="-1"/>
              </w:rPr>
              <w:t>理办法》（国家发展和改革委员会令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</w:tc>
        <w:tc>
          <w:tcPr>
            <w:tcW w:w="130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438"/>
            </w:pPr>
            <w:r>
              <w:rPr>
                <w:color w:val="333333"/>
                <w:spacing w:val="-9"/>
              </w:rPr>
              <w:t>企业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" w:line="225" w:lineRule="auto"/>
              <w:ind w:left="54" w:right="229"/>
              <w:rPr>
                <w:rFonts w:hint="eastAsia"/>
                <w:lang w:eastAsia="zh-CN"/>
              </w:rPr>
            </w:pPr>
          </w:p>
          <w:p>
            <w:pPr>
              <w:pStyle w:val="6"/>
              <w:spacing w:before="1" w:line="225" w:lineRule="auto"/>
              <w:ind w:right="229"/>
              <w:rPr>
                <w:rFonts w:hint="eastAsia"/>
                <w:lang w:eastAsia="zh-CN"/>
              </w:rPr>
            </w:pPr>
          </w:p>
          <w:p>
            <w:pPr>
              <w:pStyle w:val="6"/>
              <w:spacing w:before="1" w:line="225" w:lineRule="auto"/>
              <w:ind w:right="229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lang w:eastAsia="zh-CN"/>
              </w:rPr>
              <w:t>发改股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5" w:h="16837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AF637E"/>
    <w:rsid w:val="2B8E0338"/>
    <w:rsid w:val="7FBBB31F"/>
    <w:rsid w:val="BEFF4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2025-04-09T02:42:00Z</dcterms:created>
  <dc:creator>jiau3</dc:creator>
  <cp:lastModifiedBy>jiau3</cp:lastModifiedBy>
  <dcterms:modified xsi:type="dcterms:W3CDTF">2025-06-20T12:06:48Z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2025-06-19T16:59:08Z</vt:filetime>
  </property>
  <property fmtid="{D5CDD505-2E9C-101B-9397-08002B2CF9AE}" pid="4" name="KSOProductBuildVer">
    <vt:lpwstr>2052-11.8.2.1122</vt:lpwstr>
  </property>
  <property fmtid="{D5CDD505-2E9C-101B-9397-08002B2CF9AE}" pid="5" name="ICV">
    <vt:lpwstr>0B1F4144C8BC1B39C8B1546800EB80B1</vt:lpwstr>
  </property>
</Properties>
</file>