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i w:val="0"/>
          <w:iCs w:val="0"/>
          <w:caps w:val="0"/>
          <w:color w:val="000000"/>
          <w:spacing w:val="0"/>
          <w:sz w:val="44"/>
          <w:szCs w:val="44"/>
          <w:shd w:val="clear" w:fill="FFFFFF"/>
        </w:rPr>
      </w:pPr>
      <w:r>
        <w:rPr>
          <w:rFonts w:hint="eastAsia" w:cs="宋体"/>
          <w:sz w:val="44"/>
          <w:szCs w:val="44"/>
          <w:lang w:eastAsia="zh-CN"/>
        </w:rPr>
        <w:t>北塔区新滩镇街道办事处</w:t>
      </w:r>
      <w:r>
        <w:rPr>
          <w:rFonts w:hint="eastAsia" w:ascii="宋体" w:hAnsi="宋体" w:eastAsia="宋体" w:cs="宋体"/>
          <w:i w:val="0"/>
          <w:iCs w:val="0"/>
          <w:caps w:val="0"/>
          <w:color w:val="000000"/>
          <w:spacing w:val="0"/>
          <w:sz w:val="44"/>
          <w:szCs w:val="44"/>
          <w:shd w:val="clear" w:fill="FFFFFF"/>
        </w:rPr>
        <w:t>202</w:t>
      </w:r>
      <w:r>
        <w:rPr>
          <w:rFonts w:hint="eastAsia" w:ascii="宋体" w:hAnsi="宋体" w:eastAsia="宋体" w:cs="宋体"/>
          <w:i w:val="0"/>
          <w:iCs w:val="0"/>
          <w:caps w:val="0"/>
          <w:color w:val="000000"/>
          <w:spacing w:val="0"/>
          <w:sz w:val="44"/>
          <w:szCs w:val="44"/>
          <w:shd w:val="clear" w:fill="FFFFFF"/>
          <w:lang w:val="en-US" w:eastAsia="zh-CN"/>
        </w:rPr>
        <w:t>2</w:t>
      </w:r>
      <w:r>
        <w:rPr>
          <w:rFonts w:hint="eastAsia" w:ascii="宋体" w:hAnsi="宋体" w:eastAsia="宋体" w:cs="宋体"/>
          <w:i w:val="0"/>
          <w:iCs w:val="0"/>
          <w:caps w:val="0"/>
          <w:color w:val="000000"/>
          <w:spacing w:val="0"/>
          <w:sz w:val="44"/>
          <w:szCs w:val="44"/>
          <w:shd w:val="clear" w:fill="FFFFFF"/>
        </w:rPr>
        <w:t>年度部门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i w:val="0"/>
          <w:iCs w:val="0"/>
          <w:caps w:val="0"/>
          <w:color w:val="666666"/>
          <w:spacing w:val="0"/>
          <w:sz w:val="44"/>
          <w:szCs w:val="44"/>
          <w:lang w:val="en-US" w:eastAsia="zh-CN"/>
        </w:rPr>
      </w:pPr>
      <w:r>
        <w:rPr>
          <w:rFonts w:hint="eastAsia" w:ascii="宋体" w:hAnsi="宋体" w:eastAsia="宋体" w:cs="宋体"/>
          <w:i w:val="0"/>
          <w:iCs w:val="0"/>
          <w:caps w:val="0"/>
          <w:color w:val="000000"/>
          <w:spacing w:val="0"/>
          <w:sz w:val="44"/>
          <w:szCs w:val="44"/>
          <w:shd w:val="clear" w:fill="FFFFFF"/>
        </w:rPr>
        <w:t>整体支出绩效评价报</w:t>
      </w:r>
      <w:r>
        <w:rPr>
          <w:rFonts w:hint="eastAsia" w:ascii="宋体" w:hAnsi="宋体" w:eastAsia="宋体" w:cs="宋体"/>
          <w:i w:val="0"/>
          <w:iCs w:val="0"/>
          <w:caps w:val="0"/>
          <w:color w:val="000000"/>
          <w:spacing w:val="0"/>
          <w:sz w:val="44"/>
          <w:szCs w:val="44"/>
          <w:shd w:val="clear" w:fill="FFFFFF"/>
          <w:lang w:val="en-US" w:eastAsia="zh-CN"/>
        </w:rPr>
        <w:t>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600" w:firstLineChars="200"/>
        <w:jc w:val="left"/>
        <w:rPr>
          <w:rFonts w:hint="eastAsia" w:ascii="宋体" w:hAnsi="宋体" w:eastAsia="宋体" w:cs="宋体"/>
          <w:i w:val="0"/>
          <w:iCs w:val="0"/>
          <w:caps w:val="0"/>
          <w:color w:val="1E1E1E"/>
          <w:spacing w:val="0"/>
          <w:sz w:val="30"/>
          <w:szCs w:val="30"/>
          <w:shd w:val="clear" w:fill="FFFFFF"/>
        </w:rPr>
      </w:pPr>
      <w:r>
        <w:rPr>
          <w:rFonts w:hint="eastAsia" w:ascii="宋体" w:hAnsi="宋体" w:eastAsia="宋体" w:cs="宋体"/>
          <w:i w:val="0"/>
          <w:iCs w:val="0"/>
          <w:caps w:val="0"/>
          <w:color w:val="1E1E1E"/>
          <w:spacing w:val="0"/>
          <w:sz w:val="30"/>
          <w:szCs w:val="30"/>
          <w:shd w:val="clear" w:fill="FFFFFF"/>
        </w:rPr>
        <w:t>机构设置:根据编办核定，新滩镇街道机关本级，内设机构7个，分别是:党政综合办公室、党建办公室、经济发展办公室、公共服务办公室、城市管理办公室、公共安全办公室、财政所。下设1个执法机构为：综合行政执法大队。下设3个直属事业单位为：1、综合执法大队2、网格化综合服务中心3、文化综合服务中心4、政务服务中心（党群服务中心）5、退役军人事务服务站。5个基层群众性自治组织:新滩社区、新渡社区、磨石社区、江北社区、资新社区。</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600" w:firstLineChars="200"/>
        <w:jc w:val="left"/>
        <w:rPr>
          <w:rFonts w:hint="eastAsia" w:ascii="宋体" w:hAnsi="宋体" w:eastAsia="宋体" w:cs="宋体"/>
          <w:i w:val="0"/>
          <w:iCs w:val="0"/>
          <w:caps w:val="0"/>
          <w:color w:val="1E1E1E"/>
          <w:spacing w:val="0"/>
          <w:sz w:val="30"/>
          <w:szCs w:val="30"/>
          <w:shd w:val="clear" w:fill="FFFFFF"/>
        </w:rPr>
      </w:pPr>
      <w:r>
        <w:rPr>
          <w:rFonts w:hint="eastAsia" w:ascii="宋体" w:hAnsi="宋体" w:eastAsia="宋体" w:cs="宋体"/>
          <w:i w:val="0"/>
          <w:iCs w:val="0"/>
          <w:caps w:val="0"/>
          <w:color w:val="1E1E1E"/>
          <w:spacing w:val="0"/>
          <w:sz w:val="30"/>
          <w:szCs w:val="30"/>
          <w:shd w:val="clear" w:fill="FFFFFF"/>
        </w:rPr>
        <w:t>街道编制人数41人，实际人数</w:t>
      </w:r>
      <w:r>
        <w:rPr>
          <w:rFonts w:hint="eastAsia" w:ascii="宋体" w:hAnsi="宋体" w:eastAsia="宋体" w:cs="宋体"/>
          <w:i w:val="0"/>
          <w:iCs w:val="0"/>
          <w:caps w:val="0"/>
          <w:color w:val="1E1E1E"/>
          <w:spacing w:val="0"/>
          <w:sz w:val="30"/>
          <w:szCs w:val="30"/>
          <w:shd w:val="clear" w:fill="FFFFFF"/>
          <w:lang w:val="en-US" w:eastAsia="zh-CN"/>
        </w:rPr>
        <w:t xml:space="preserve"> 60</w:t>
      </w:r>
      <w:r>
        <w:rPr>
          <w:rFonts w:hint="eastAsia" w:ascii="宋体" w:hAnsi="宋体" w:eastAsia="宋体" w:cs="宋体"/>
          <w:i w:val="0"/>
          <w:iCs w:val="0"/>
          <w:caps w:val="0"/>
          <w:color w:val="1E1E1E"/>
          <w:spacing w:val="0"/>
          <w:sz w:val="30"/>
          <w:szCs w:val="30"/>
          <w:shd w:val="clear" w:fill="FFFFFF"/>
        </w:rPr>
        <w:t>人，离退休1</w:t>
      </w:r>
      <w:r>
        <w:rPr>
          <w:rFonts w:hint="eastAsia" w:ascii="宋体" w:hAnsi="宋体" w:eastAsia="宋体" w:cs="宋体"/>
          <w:i w:val="0"/>
          <w:iCs w:val="0"/>
          <w:caps w:val="0"/>
          <w:color w:val="1E1E1E"/>
          <w:spacing w:val="0"/>
          <w:sz w:val="30"/>
          <w:szCs w:val="30"/>
          <w:shd w:val="clear" w:fill="FFFFFF"/>
          <w:lang w:val="en-US" w:eastAsia="zh-CN"/>
        </w:rPr>
        <w:t>3</w:t>
      </w:r>
      <w:r>
        <w:rPr>
          <w:rFonts w:hint="eastAsia" w:ascii="宋体" w:hAnsi="宋体" w:eastAsia="宋体" w:cs="宋体"/>
          <w:i w:val="0"/>
          <w:iCs w:val="0"/>
          <w:caps w:val="0"/>
          <w:color w:val="1E1E1E"/>
          <w:spacing w:val="0"/>
          <w:sz w:val="30"/>
          <w:szCs w:val="30"/>
          <w:shd w:val="clear" w:fill="FFFFFF"/>
        </w:rPr>
        <w:t>人，遗属补助人数0人，小车编制数0台，实际</w:t>
      </w:r>
      <w:r>
        <w:rPr>
          <w:rFonts w:hint="eastAsia" w:ascii="宋体" w:hAnsi="宋体" w:eastAsia="宋体" w:cs="宋体"/>
          <w:i w:val="0"/>
          <w:iCs w:val="0"/>
          <w:caps w:val="0"/>
          <w:color w:val="1E1E1E"/>
          <w:spacing w:val="0"/>
          <w:sz w:val="30"/>
          <w:szCs w:val="30"/>
          <w:shd w:val="clear" w:fill="FFFFFF"/>
          <w:lang w:eastAsia="zh-CN"/>
        </w:rPr>
        <w:t>其他用车</w:t>
      </w:r>
      <w:r>
        <w:rPr>
          <w:rFonts w:hint="eastAsia" w:ascii="宋体" w:hAnsi="宋体" w:eastAsia="宋体" w:cs="宋体"/>
          <w:i w:val="0"/>
          <w:iCs w:val="0"/>
          <w:caps w:val="0"/>
          <w:color w:val="1E1E1E"/>
          <w:spacing w:val="0"/>
          <w:sz w:val="30"/>
          <w:szCs w:val="30"/>
          <w:shd w:val="clear" w:fill="FFFFFF"/>
          <w:lang w:val="en-US" w:eastAsia="zh-CN"/>
        </w:rPr>
        <w:t>3</w:t>
      </w:r>
      <w:r>
        <w:rPr>
          <w:rFonts w:hint="eastAsia" w:ascii="宋体" w:hAnsi="宋体" w:eastAsia="宋体" w:cs="宋体"/>
          <w:i w:val="0"/>
          <w:iCs w:val="0"/>
          <w:caps w:val="0"/>
          <w:color w:val="1E1E1E"/>
          <w:spacing w:val="0"/>
          <w:sz w:val="30"/>
          <w:szCs w:val="30"/>
          <w:shd w:val="clear" w:fill="FFFFFF"/>
        </w:rPr>
        <w:t>辆</w:t>
      </w:r>
      <w:r>
        <w:rPr>
          <w:rFonts w:hint="eastAsia" w:ascii="宋体" w:hAnsi="宋体" w:eastAsia="宋体" w:cs="宋体"/>
          <w:i w:val="0"/>
          <w:iCs w:val="0"/>
          <w:caps w:val="0"/>
          <w:color w:val="1E1E1E"/>
          <w:spacing w:val="0"/>
          <w:sz w:val="30"/>
          <w:szCs w:val="30"/>
          <w:shd w:val="clear" w:fill="FFFFFF"/>
          <w:lang w:eastAsia="zh-CN"/>
        </w:rPr>
        <w:t>（拆违办巡逻用车</w:t>
      </w:r>
      <w:r>
        <w:rPr>
          <w:rFonts w:hint="eastAsia" w:ascii="宋体" w:hAnsi="宋体" w:eastAsia="宋体" w:cs="宋体"/>
          <w:i w:val="0"/>
          <w:iCs w:val="0"/>
          <w:caps w:val="0"/>
          <w:color w:val="1E1E1E"/>
          <w:spacing w:val="0"/>
          <w:sz w:val="30"/>
          <w:szCs w:val="30"/>
          <w:shd w:val="clear" w:fill="FFFFFF"/>
          <w:lang w:val="en-US" w:eastAsia="zh-CN"/>
        </w:rPr>
        <w:t>1台，清洁卫生车辆2台</w:t>
      </w:r>
      <w:r>
        <w:rPr>
          <w:rFonts w:hint="eastAsia" w:ascii="宋体" w:hAnsi="宋体" w:eastAsia="宋体" w:cs="宋体"/>
          <w:i w:val="0"/>
          <w:iCs w:val="0"/>
          <w:caps w:val="0"/>
          <w:color w:val="1E1E1E"/>
          <w:spacing w:val="0"/>
          <w:sz w:val="30"/>
          <w:szCs w:val="30"/>
          <w:shd w:val="clear" w:fill="FFFFFF"/>
          <w:lang w:eastAsia="zh-CN"/>
        </w:rPr>
        <w:t>）</w:t>
      </w:r>
      <w:r>
        <w:rPr>
          <w:rFonts w:hint="eastAsia" w:ascii="宋体" w:hAnsi="宋体" w:eastAsia="宋体" w:cs="宋体"/>
          <w:i w:val="0"/>
          <w:iCs w:val="0"/>
          <w:caps w:val="0"/>
          <w:color w:val="1E1E1E"/>
          <w:spacing w:val="0"/>
          <w:sz w:val="30"/>
          <w:szCs w:val="30"/>
          <w:shd w:val="clear" w:fill="FFFFFF"/>
        </w:rPr>
        <w:t>，办公房屋面积900平方米，办公楼为租用。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firstLine="600"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i w:val="0"/>
          <w:iCs w:val="0"/>
          <w:caps w:val="0"/>
          <w:color w:val="1E1E1E"/>
          <w:spacing w:val="0"/>
          <w:sz w:val="30"/>
          <w:szCs w:val="30"/>
          <w:shd w:val="clear" w:fill="FFFFFF"/>
          <w:lang w:val="en-US" w:eastAsia="zh-CN"/>
        </w:rPr>
        <w:t>(二)</w:t>
      </w: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30"/>
          <w:szCs w:val="30"/>
          <w:shd w:val="clear" w:fill="FFFFFF"/>
        </w:rPr>
      </w:pPr>
      <w:r>
        <w:rPr>
          <w:rFonts w:hint="eastAsia" w:ascii="宋体" w:hAnsi="宋体" w:eastAsia="宋体" w:cs="宋体"/>
          <w:color w:val="444444"/>
          <w:kern w:val="0"/>
          <w:sz w:val="30"/>
          <w:szCs w:val="30"/>
          <w:shd w:val="clear" w:fill="FFFFFF"/>
        </w:rPr>
        <w:t>1．主要职能。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sz w:val="30"/>
          <w:szCs w:val="30"/>
          <w:lang w:val="en-US" w:eastAsia="zh-CN"/>
        </w:rPr>
      </w:pPr>
      <w:r>
        <w:rPr>
          <w:rFonts w:hint="eastAsia" w:ascii="宋体" w:hAnsi="宋体" w:eastAsia="宋体" w:cs="宋体"/>
          <w:i w:val="0"/>
          <w:iCs w:val="0"/>
          <w:caps w:val="0"/>
          <w:color w:val="1E1E1E"/>
          <w:spacing w:val="0"/>
          <w:kern w:val="0"/>
          <w:sz w:val="30"/>
          <w:szCs w:val="30"/>
          <w:shd w:val="clear" w:fill="FFFFFF"/>
          <w:lang w:val="en-US" w:eastAsia="zh-CN" w:bidi="ar"/>
        </w:rPr>
        <w:t>（</w:t>
      </w:r>
      <w:r>
        <w:rPr>
          <w:rFonts w:hint="eastAsia" w:ascii="宋体" w:hAnsi="宋体" w:cs="宋体"/>
          <w:i w:val="0"/>
          <w:iCs w:val="0"/>
          <w:caps w:val="0"/>
          <w:color w:val="1E1E1E"/>
          <w:spacing w:val="0"/>
          <w:kern w:val="0"/>
          <w:sz w:val="30"/>
          <w:szCs w:val="30"/>
          <w:shd w:val="clear" w:fill="FFFFFF"/>
          <w:lang w:val="en-US" w:eastAsia="zh-CN" w:bidi="ar"/>
        </w:rPr>
        <w:t>1)</w:t>
      </w:r>
      <w:r>
        <w:rPr>
          <w:rFonts w:hint="eastAsia"/>
          <w:sz w:val="30"/>
          <w:szCs w:val="30"/>
          <w:lang w:val="en-US" w:eastAsia="zh-CN"/>
        </w:rPr>
        <w:t>宣传和贯彻执行党的路线方针政策和法律法规；制定地方经济社会发展规划和年度计划并组织实施；坚持依法行政，推进民主政治，加强基层政权建设。</w:t>
      </w:r>
    </w:p>
    <w:p>
      <w:pPr>
        <w:numPr>
          <w:ilvl w:val="0"/>
          <w:numId w:val="0"/>
        </w:numPr>
        <w:rPr>
          <w:rFonts w:hint="eastAsia"/>
          <w:sz w:val="30"/>
          <w:szCs w:val="30"/>
          <w:lang w:val="en-US" w:eastAsia="zh-CN"/>
        </w:rPr>
      </w:pPr>
      <w:r>
        <w:rPr>
          <w:rFonts w:hint="eastAsia" w:ascii="宋体" w:hAnsi="宋体" w:eastAsia="宋体" w:cs="宋体"/>
          <w:i w:val="0"/>
          <w:iCs w:val="0"/>
          <w:caps w:val="0"/>
          <w:color w:val="1E1E1E"/>
          <w:spacing w:val="0"/>
          <w:kern w:val="0"/>
          <w:sz w:val="30"/>
          <w:szCs w:val="30"/>
          <w:shd w:val="clear" w:fill="FFFFFF"/>
          <w:lang w:val="en-US" w:eastAsia="zh-CN" w:bidi="ar"/>
        </w:rPr>
        <w:t>（</w:t>
      </w:r>
      <w:r>
        <w:rPr>
          <w:rFonts w:hint="eastAsia" w:ascii="宋体" w:hAnsi="宋体" w:cs="宋体"/>
          <w:i w:val="0"/>
          <w:iCs w:val="0"/>
          <w:caps w:val="0"/>
          <w:color w:val="1E1E1E"/>
          <w:spacing w:val="0"/>
          <w:kern w:val="0"/>
          <w:sz w:val="30"/>
          <w:szCs w:val="30"/>
          <w:shd w:val="clear" w:fill="FFFFFF"/>
          <w:lang w:val="en-US" w:eastAsia="zh-CN" w:bidi="ar"/>
        </w:rPr>
        <w:t>2)</w:t>
      </w:r>
      <w:r>
        <w:rPr>
          <w:rFonts w:hint="eastAsia"/>
          <w:sz w:val="30"/>
          <w:szCs w:val="30"/>
          <w:lang w:val="en-US" w:eastAsia="zh-CN"/>
        </w:rPr>
        <w:t>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w:t>
      </w:r>
    </w:p>
    <w:p>
      <w:pPr>
        <w:numPr>
          <w:ilvl w:val="0"/>
          <w:numId w:val="0"/>
        </w:numPr>
        <w:rPr>
          <w:rFonts w:hint="eastAsia"/>
          <w:sz w:val="30"/>
          <w:szCs w:val="30"/>
          <w:lang w:val="en-US" w:eastAsia="zh-CN"/>
        </w:rPr>
      </w:pPr>
      <w:r>
        <w:rPr>
          <w:rFonts w:hint="eastAsia" w:ascii="宋体" w:hAnsi="宋体" w:eastAsia="宋体" w:cs="宋体"/>
          <w:i w:val="0"/>
          <w:iCs w:val="0"/>
          <w:caps w:val="0"/>
          <w:color w:val="1E1E1E"/>
          <w:spacing w:val="0"/>
          <w:kern w:val="0"/>
          <w:sz w:val="30"/>
          <w:szCs w:val="30"/>
          <w:shd w:val="clear" w:fill="FFFFFF"/>
          <w:lang w:val="en-US" w:eastAsia="zh-CN" w:bidi="ar"/>
        </w:rPr>
        <w:t>（</w:t>
      </w:r>
      <w:r>
        <w:rPr>
          <w:rFonts w:hint="eastAsia" w:ascii="宋体" w:hAnsi="宋体" w:cs="宋体"/>
          <w:i w:val="0"/>
          <w:iCs w:val="0"/>
          <w:caps w:val="0"/>
          <w:color w:val="1E1E1E"/>
          <w:spacing w:val="0"/>
          <w:kern w:val="0"/>
          <w:sz w:val="30"/>
          <w:szCs w:val="30"/>
          <w:shd w:val="clear" w:fill="FFFFFF"/>
          <w:lang w:val="en-US" w:eastAsia="zh-CN" w:bidi="ar"/>
        </w:rPr>
        <w:t>3)</w:t>
      </w:r>
      <w:r>
        <w:rPr>
          <w:rFonts w:hint="eastAsia"/>
          <w:sz w:val="30"/>
          <w:szCs w:val="30"/>
          <w:lang w:val="en-US" w:eastAsia="zh-CN"/>
        </w:rPr>
        <w:t>规范经济管理，组织指导经济发展和经济结构调整；加强综合生产能力建设；健全社会化服务体系，完善产业支持保护体系，推进产业现代化；着力提升经济发展的质量和水平，增加居民收入，不断提高人民生活水平。</w:t>
      </w:r>
    </w:p>
    <w:p>
      <w:pPr>
        <w:numPr>
          <w:ilvl w:val="0"/>
          <w:numId w:val="0"/>
        </w:numPr>
        <w:rPr>
          <w:rFonts w:hint="eastAsia"/>
          <w:sz w:val="30"/>
          <w:szCs w:val="30"/>
          <w:lang w:val="en-US" w:eastAsia="zh-CN"/>
        </w:rPr>
      </w:pPr>
      <w:r>
        <w:rPr>
          <w:rFonts w:hint="eastAsia" w:ascii="宋体" w:hAnsi="宋体" w:eastAsia="宋体" w:cs="宋体"/>
          <w:i w:val="0"/>
          <w:iCs w:val="0"/>
          <w:caps w:val="0"/>
          <w:color w:val="1E1E1E"/>
          <w:spacing w:val="0"/>
          <w:kern w:val="0"/>
          <w:sz w:val="30"/>
          <w:szCs w:val="30"/>
          <w:shd w:val="clear" w:fill="FFFFFF"/>
          <w:lang w:val="en-US" w:eastAsia="zh-CN" w:bidi="ar"/>
        </w:rPr>
        <w:t>（</w:t>
      </w:r>
      <w:r>
        <w:rPr>
          <w:rFonts w:hint="eastAsia" w:ascii="宋体" w:hAnsi="宋体" w:cs="宋体"/>
          <w:i w:val="0"/>
          <w:iCs w:val="0"/>
          <w:caps w:val="0"/>
          <w:color w:val="1E1E1E"/>
          <w:spacing w:val="0"/>
          <w:kern w:val="0"/>
          <w:sz w:val="30"/>
          <w:szCs w:val="30"/>
          <w:shd w:val="clear" w:fill="FFFFFF"/>
          <w:lang w:val="en-US" w:eastAsia="zh-CN" w:bidi="ar"/>
        </w:rPr>
        <w:t>4)</w:t>
      </w:r>
      <w:r>
        <w:rPr>
          <w:rFonts w:hint="eastAsia"/>
          <w:sz w:val="30"/>
          <w:szCs w:val="30"/>
          <w:lang w:val="en-US" w:eastAsia="zh-CN"/>
        </w:rPr>
        <w:t>加强社会管理和基础设施建设，创造良好的环境。推进政务、居务公开；抓好卫生健康、人口计划生育工作，保障妇女儿童合法权益；加强自然资源管理，生态环境保护和修复等工作；加强人民武装、民族宗教等工作；加强安全生产和公共安全，组织抢险救灾，优抚救助，及时上报和处置重大社情、疫情、险情等保护人民群众的生命财产安全。</w:t>
      </w:r>
    </w:p>
    <w:p>
      <w:pPr>
        <w:numPr>
          <w:ilvl w:val="0"/>
          <w:numId w:val="0"/>
        </w:numPr>
        <w:rPr>
          <w:rFonts w:hint="eastAsia"/>
          <w:sz w:val="30"/>
          <w:szCs w:val="30"/>
          <w:lang w:val="en-US" w:eastAsia="zh-CN"/>
        </w:rPr>
      </w:pPr>
      <w:r>
        <w:rPr>
          <w:rFonts w:hint="eastAsia" w:ascii="宋体" w:hAnsi="宋体" w:eastAsia="宋体" w:cs="宋体"/>
          <w:i w:val="0"/>
          <w:iCs w:val="0"/>
          <w:caps w:val="0"/>
          <w:color w:val="1E1E1E"/>
          <w:spacing w:val="0"/>
          <w:kern w:val="0"/>
          <w:sz w:val="30"/>
          <w:szCs w:val="30"/>
          <w:shd w:val="clear" w:fill="FFFFFF"/>
          <w:lang w:val="en-US" w:eastAsia="zh-CN" w:bidi="ar"/>
        </w:rPr>
        <w:t>（</w:t>
      </w:r>
      <w:r>
        <w:rPr>
          <w:rFonts w:hint="eastAsia" w:ascii="宋体" w:hAnsi="宋体" w:cs="宋体"/>
          <w:i w:val="0"/>
          <w:iCs w:val="0"/>
          <w:caps w:val="0"/>
          <w:color w:val="1E1E1E"/>
          <w:spacing w:val="0"/>
          <w:kern w:val="0"/>
          <w:sz w:val="30"/>
          <w:szCs w:val="30"/>
          <w:shd w:val="clear" w:fill="FFFFFF"/>
          <w:lang w:val="en-US" w:eastAsia="zh-CN" w:bidi="ar"/>
        </w:rPr>
        <w:t>5)</w:t>
      </w:r>
      <w:r>
        <w:rPr>
          <w:rFonts w:hint="eastAsia"/>
          <w:sz w:val="30"/>
          <w:szCs w:val="30"/>
          <w:lang w:val="en-US" w:eastAsia="zh-CN"/>
        </w:rPr>
        <w:t>发展公益事业，强化公共服务。搞好公共设施建设，开展社会保障服务，着力解决群众生产生活中的问题；发展科教文卫事业，促进精神文明建设；制订公共服务事项目录清单，加强公共服务体系建设。</w:t>
      </w:r>
    </w:p>
    <w:p>
      <w:pPr>
        <w:numPr>
          <w:ilvl w:val="0"/>
          <w:numId w:val="0"/>
        </w:numPr>
        <w:rPr>
          <w:rFonts w:hint="eastAsia"/>
          <w:sz w:val="30"/>
          <w:szCs w:val="30"/>
          <w:lang w:val="en-US" w:eastAsia="zh-CN"/>
        </w:rPr>
      </w:pPr>
      <w:r>
        <w:rPr>
          <w:rFonts w:hint="eastAsia" w:ascii="宋体" w:hAnsi="宋体" w:cs="宋体"/>
          <w:i w:val="0"/>
          <w:iCs w:val="0"/>
          <w:caps w:val="0"/>
          <w:color w:val="1E1E1E"/>
          <w:spacing w:val="0"/>
          <w:kern w:val="0"/>
          <w:sz w:val="30"/>
          <w:szCs w:val="30"/>
          <w:shd w:val="clear" w:fill="FFFFFF"/>
          <w:lang w:val="en-US" w:eastAsia="zh-CN" w:bidi="ar"/>
        </w:rPr>
        <w:t>（6)</w:t>
      </w:r>
      <w:r>
        <w:rPr>
          <w:rFonts w:hint="eastAsia"/>
          <w:sz w:val="30"/>
          <w:szCs w:val="30"/>
          <w:lang w:val="en-US" w:eastAsia="zh-CN"/>
        </w:rPr>
        <w:t>加强综合治理，维护社会稳定。调解民事纠纷，化解社会矛盾，接待上访群众，处理群众性突发事件，保证社会公正，维护社会秩序和稳定。指导居民自治，推动基层社会建设，促进社会组织健康发展，增强社会自治功能。</w:t>
      </w:r>
    </w:p>
    <w:p>
      <w:pPr>
        <w:numPr>
          <w:ilvl w:val="0"/>
          <w:numId w:val="0"/>
        </w:numPr>
        <w:ind w:leftChars="0"/>
        <w:rPr>
          <w:rFonts w:hint="eastAsia"/>
          <w:sz w:val="30"/>
          <w:szCs w:val="30"/>
          <w:lang w:val="en-US" w:eastAsia="zh-CN"/>
        </w:rPr>
      </w:pPr>
      <w:r>
        <w:rPr>
          <w:rFonts w:hint="eastAsia"/>
          <w:sz w:val="30"/>
          <w:szCs w:val="30"/>
          <w:lang w:val="en-US" w:eastAsia="zh-CN"/>
        </w:rPr>
        <w:t>（7）按照管理权限，负责机关和事业单位工作人员的教育、培养、选拔和监督工作，协助管理好派驻单位人员。</w:t>
      </w:r>
    </w:p>
    <w:p>
      <w:pPr>
        <w:numPr>
          <w:ilvl w:val="0"/>
          <w:numId w:val="0"/>
        </w:numPr>
        <w:ind w:leftChars="0"/>
        <w:rPr>
          <w:rFonts w:hint="eastAsia"/>
          <w:sz w:val="30"/>
          <w:szCs w:val="30"/>
          <w:lang w:val="en-US" w:eastAsia="zh-CN"/>
        </w:rPr>
      </w:pPr>
      <w:r>
        <w:rPr>
          <w:rFonts w:hint="eastAsia"/>
          <w:sz w:val="30"/>
          <w:szCs w:val="30"/>
          <w:lang w:val="en-US" w:eastAsia="zh-CN"/>
        </w:rPr>
        <w:t>（8）依法依规承担下放的经济社会管理权限和行政执法事项。</w:t>
      </w:r>
    </w:p>
    <w:p>
      <w:pPr>
        <w:numPr>
          <w:ilvl w:val="0"/>
          <w:numId w:val="0"/>
        </w:numPr>
        <w:ind w:leftChars="0"/>
        <w:rPr>
          <w:rFonts w:hint="eastAsia"/>
          <w:sz w:val="30"/>
          <w:szCs w:val="30"/>
          <w:lang w:val="en-US" w:eastAsia="zh-CN"/>
        </w:rPr>
      </w:pPr>
      <w:r>
        <w:rPr>
          <w:rFonts w:hint="eastAsia"/>
          <w:sz w:val="30"/>
          <w:szCs w:val="30"/>
          <w:lang w:val="en-US" w:eastAsia="zh-CN"/>
        </w:rPr>
        <w:t>（9）行使《中华人民共和国地方各级人民代表大会和地方各级人民政府组织法》等法律法规赋予的职权。</w:t>
      </w:r>
    </w:p>
    <w:p>
      <w:pPr>
        <w:numPr>
          <w:ilvl w:val="0"/>
          <w:numId w:val="0"/>
        </w:numPr>
        <w:ind w:leftChars="0"/>
        <w:rPr>
          <w:rFonts w:hint="eastAsia"/>
          <w:sz w:val="30"/>
          <w:szCs w:val="30"/>
          <w:lang w:val="en-US" w:eastAsia="zh-CN"/>
        </w:rPr>
      </w:pPr>
      <w:r>
        <w:rPr>
          <w:rFonts w:hint="eastAsia"/>
          <w:sz w:val="30"/>
          <w:szCs w:val="30"/>
          <w:lang w:val="en-US" w:eastAsia="zh-CN"/>
        </w:rPr>
        <w:t>（10）完成区委、区政府交办的其他事项。</w:t>
      </w:r>
    </w:p>
    <w:p>
      <w:pPr>
        <w:numPr>
          <w:ilvl w:val="0"/>
          <w:numId w:val="0"/>
        </w:numPr>
        <w:ind w:leftChars="0"/>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b w:val="0"/>
          <w:bCs w:val="0"/>
          <w:i w:val="0"/>
          <w:iCs w:val="0"/>
          <w:caps w:val="0"/>
          <w:color w:val="444444"/>
          <w:spacing w:val="0"/>
          <w:sz w:val="28"/>
          <w:szCs w:val="28"/>
          <w:shd w:val="clear" w:fill="FFFFFF"/>
          <w:lang w:val="en-US" w:eastAsia="zh-CN"/>
        </w:rPr>
      </w:pPr>
      <w:r>
        <w:rPr>
          <w:rFonts w:hint="eastAsia" w:ascii="宋体" w:hAnsi="宋体" w:eastAsia="宋体" w:cs="宋体"/>
          <w:b w:val="0"/>
          <w:bCs w:val="0"/>
          <w:i w:val="0"/>
          <w:iCs w:val="0"/>
          <w:caps w:val="0"/>
          <w:color w:val="444444"/>
          <w:spacing w:val="0"/>
          <w:sz w:val="28"/>
          <w:szCs w:val="28"/>
          <w:shd w:val="clear" w:fill="FFFFFF"/>
          <w:lang w:val="en-US" w:eastAsia="zh-CN"/>
        </w:rPr>
        <w:t>2022年，在街道党委的正确领导和街道人大的监督支持下，认真贯彻落实新预算法，严格预算执行，依法行政、依法理财，有力地促进了经济发展、结构调整、民生改善，财政运行总体平稳，很好地服务了全街道经济社会发展大局。</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w:t>
      </w:r>
      <w:r>
        <w:rPr>
          <w:rFonts w:hint="eastAsia" w:cs="宋体"/>
          <w:sz w:val="28"/>
          <w:szCs w:val="28"/>
          <w:lang w:eastAsia="zh-CN"/>
        </w:rPr>
        <w:t>新滩镇街道办事处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基本支出年初预算安排为634.98万元，本年实际支出为1345.94万元，主要为人员经费支出和公用经费支出，其中人员经费支出819.65万元、公用经费支出526.29万元。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本年项目支出年初预算安排为0万元，本年实际支出为803.83万元，主要为充分调动项目区群众生产积极性，改善交通环境在优化产业结构，增强发展后劲，促进经济发展的基础上，极大改善项目区群众的生产生活条件，促进共同发展营造出稳定、团结、和谐的社会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1、预算执行情况。</w:t>
      </w:r>
      <w:r>
        <w:rPr>
          <w:rFonts w:hint="eastAsia" w:ascii="宋体" w:hAnsi="宋体" w:eastAsia="宋体" w:cs="宋体"/>
          <w:i w:val="0"/>
          <w:iCs w:val="0"/>
          <w:caps w:val="0"/>
          <w:color w:val="auto"/>
          <w:spacing w:val="0"/>
          <w:kern w:val="2"/>
          <w:sz w:val="28"/>
          <w:szCs w:val="28"/>
          <w:highlight w:val="none"/>
          <w:shd w:val="clear" w:fill="FFFFFF"/>
          <w:lang w:val="en-US" w:eastAsia="zh-CN" w:bidi="ar-SA"/>
        </w:rPr>
        <w:t>⑴2022年财政拨款预算执行数1235.1万元，预算安排数634.98万元，预算执行率为2%，当年预算有超支600.12万元；⑵公用经费预算52.35万元，实际支出526.29万元，公用经费控制率为 10 %；（3）“三公经费”年初预算安排0万元，实际支出0万元，“三公经费”控制率为100%。（4）政府采购年初预算0万元，实际政府采购金额0万元，政府采购执行率100%。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cs="宋体"/>
          <w:sz w:val="28"/>
          <w:szCs w:val="28"/>
          <w:lang w:eastAsia="zh-CN"/>
        </w:rPr>
        <w:t>新滩镇街道办事处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cs="宋体"/>
          <w:sz w:val="28"/>
          <w:szCs w:val="28"/>
          <w:lang w:eastAsia="zh-CN"/>
        </w:rPr>
        <w:t>新滩镇街道办事处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拥有各类资产总额88.11万元，其中流动资产49.53万元，固定资产38.58万元。单位为加强资产管理，内部制定了资产管理制度，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sz w:val="30"/>
          <w:szCs w:val="30"/>
        </w:rPr>
      </w:pPr>
      <w:r>
        <w:rPr>
          <w:rFonts w:hint="eastAsia" w:ascii="宋体" w:hAnsi="宋体" w:eastAsia="宋体" w:cs="宋体"/>
          <w:kern w:val="2"/>
          <w:sz w:val="30"/>
          <w:szCs w:val="30"/>
          <w:lang w:val="en-US" w:eastAsia="zh-CN" w:bidi="ar"/>
        </w:rPr>
        <w:t>1.财政、财务人员基本上是半路出家，真正会计专业人员不足。</w:t>
      </w:r>
    </w:p>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sz w:val="30"/>
          <w:szCs w:val="30"/>
        </w:rPr>
      </w:pPr>
      <w:r>
        <w:rPr>
          <w:rFonts w:hint="eastAsia" w:ascii="宋体" w:hAnsi="宋体" w:eastAsia="宋体" w:cs="宋体"/>
          <w:kern w:val="2"/>
          <w:sz w:val="30"/>
          <w:szCs w:val="30"/>
          <w:lang w:val="en-US" w:eastAsia="zh-CN" w:bidi="ar"/>
        </w:rPr>
        <w:t>2.涉农补贴发放涉及多个部门，在统筹和形成工作合力上存在较大压力。</w:t>
      </w:r>
    </w:p>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sz w:val="30"/>
          <w:szCs w:val="30"/>
        </w:rPr>
      </w:pPr>
      <w:r>
        <w:rPr>
          <w:rFonts w:hint="eastAsia" w:ascii="宋体" w:hAnsi="宋体" w:eastAsia="宋体" w:cs="宋体"/>
          <w:kern w:val="2"/>
          <w:sz w:val="30"/>
          <w:szCs w:val="30"/>
          <w:lang w:val="en-US" w:eastAsia="zh-CN" w:bidi="ar"/>
        </w:rPr>
        <w:t>3.街道财力不足，难以满足现实工作需要。如今年的疫情防控、</w:t>
      </w:r>
      <w:r>
        <w:rPr>
          <w:rFonts w:hint="eastAsia" w:ascii="宋体" w:hAnsi="宋体" w:eastAsia="宋体" w:cs="宋体"/>
          <w:b w:val="0"/>
          <w:bCs w:val="0"/>
          <w:color w:val="000000"/>
          <w:sz w:val="30"/>
          <w:szCs w:val="30"/>
          <w:lang w:val="en-US" w:eastAsia="zh-CN"/>
        </w:rPr>
        <w:t>创建全国文明城市</w:t>
      </w:r>
      <w:r>
        <w:rPr>
          <w:rFonts w:hint="eastAsia" w:ascii="宋体" w:hAnsi="宋体" w:eastAsia="宋体" w:cs="宋体"/>
          <w:kern w:val="2"/>
          <w:sz w:val="30"/>
          <w:szCs w:val="30"/>
          <w:lang w:val="en-US" w:eastAsia="zh-CN" w:bidi="ar"/>
        </w:rPr>
        <w:t>、农村综合环境整治、基层居民自治等中心工作，上级安排资金严重不足，财政所在资金的调度使用上心有余力不足。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keepNext w:val="0"/>
        <w:keepLines w:val="0"/>
        <w:widowControl w:val="0"/>
        <w:suppressLineNumbers w:val="0"/>
        <w:spacing w:before="0" w:beforeAutospacing="1" w:after="0" w:afterAutospacing="1" w:line="480" w:lineRule="exact"/>
        <w:ind w:left="0" w:right="0" w:firstLine="602" w:firstLineChars="200"/>
        <w:jc w:val="left"/>
        <w:rPr>
          <w:rFonts w:hint="eastAsia" w:ascii="宋体" w:hAnsi="宋体" w:eastAsia="宋体" w:cs="宋体"/>
          <w:sz w:val="30"/>
          <w:szCs w:val="30"/>
        </w:rPr>
      </w:pPr>
      <w:r>
        <w:rPr>
          <w:rFonts w:hint="eastAsia" w:ascii="宋体" w:hAnsi="宋体" w:eastAsia="宋体" w:cs="宋体"/>
          <w:b/>
          <w:bCs/>
          <w:kern w:val="2"/>
          <w:sz w:val="30"/>
          <w:szCs w:val="30"/>
          <w:lang w:val="en-US" w:eastAsia="zh-CN" w:bidi="ar"/>
        </w:rPr>
        <w:t>（一）进一步加强项目资金管理</w:t>
      </w:r>
    </w:p>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sz w:val="30"/>
          <w:szCs w:val="30"/>
        </w:rPr>
      </w:pPr>
      <w:r>
        <w:rPr>
          <w:rFonts w:hint="eastAsia" w:ascii="宋体" w:hAnsi="宋体" w:eastAsia="宋体" w:cs="宋体"/>
          <w:kern w:val="2"/>
          <w:sz w:val="30"/>
          <w:szCs w:val="30"/>
          <w:lang w:val="en-US" w:eastAsia="zh-CN" w:bidi="ar"/>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keepNext w:val="0"/>
        <w:keepLines w:val="0"/>
        <w:widowControl w:val="0"/>
        <w:suppressLineNumbers w:val="0"/>
        <w:spacing w:before="0" w:beforeAutospacing="1" w:after="0" w:afterAutospacing="1" w:line="480" w:lineRule="exact"/>
        <w:ind w:left="0" w:right="0" w:firstLine="602" w:firstLineChars="200"/>
        <w:jc w:val="left"/>
        <w:rPr>
          <w:rFonts w:hint="eastAsia" w:ascii="宋体" w:hAnsi="宋体" w:eastAsia="宋体" w:cs="宋体"/>
          <w:sz w:val="30"/>
          <w:szCs w:val="30"/>
        </w:rPr>
      </w:pPr>
      <w:r>
        <w:rPr>
          <w:rFonts w:hint="eastAsia" w:ascii="宋体" w:hAnsi="宋体" w:eastAsia="宋体" w:cs="宋体"/>
          <w:b/>
          <w:bCs/>
          <w:kern w:val="2"/>
          <w:sz w:val="30"/>
          <w:szCs w:val="30"/>
          <w:lang w:val="en-US" w:eastAsia="zh-CN" w:bidi="ar"/>
        </w:rPr>
        <w:t>（二）进一步提高绩效管理水平</w:t>
      </w:r>
    </w:p>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加强预算执行的准确性，开展好支出绩效管理工作，运用好绩效评价结果，不断提升绩效管理水平。</w:t>
      </w:r>
    </w:p>
    <w:p>
      <w:pPr>
        <w:spacing w:line="600" w:lineRule="exact"/>
        <w:rPr>
          <w:rFonts w:hint="eastAsia" w:ascii="宋体" w:hAnsi="宋体" w:eastAsia="宋体" w:cs="宋体"/>
          <w:kern w:val="0"/>
          <w:sz w:val="30"/>
          <w:szCs w:val="30"/>
        </w:rPr>
      </w:pPr>
      <w:r>
        <w:rPr>
          <w:rFonts w:hint="eastAsia" w:ascii="宋体" w:hAnsi="宋体" w:eastAsia="宋体" w:cs="宋体"/>
          <w:kern w:val="0"/>
          <w:sz w:val="30"/>
          <w:szCs w:val="30"/>
        </w:rPr>
        <w:t>附件1</w:t>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r>
        <w:rPr>
          <w:rFonts w:hint="eastAsia" w:ascii="宋体" w:hAnsi="宋体" w:eastAsia="宋体" w:cs="宋体"/>
          <w:kern w:val="0"/>
          <w:sz w:val="30"/>
          <w:szCs w:val="30"/>
        </w:rPr>
        <w:tab/>
      </w:r>
    </w:p>
    <w:p>
      <w:pPr>
        <w:widowControl/>
        <w:ind w:left="93"/>
        <w:jc w:val="center"/>
        <w:rPr>
          <w:rFonts w:hint="eastAsia" w:ascii="宋体" w:hAnsi="宋体" w:eastAsia="宋体" w:cs="宋体"/>
          <w:bCs/>
          <w:kern w:val="0"/>
          <w:sz w:val="30"/>
          <w:szCs w:val="30"/>
        </w:rPr>
      </w:pPr>
      <w:r>
        <w:rPr>
          <w:rFonts w:hint="eastAsia" w:ascii="宋体" w:hAnsi="宋体" w:eastAsia="宋体" w:cs="宋体"/>
          <w:bCs/>
          <w:kern w:val="0"/>
          <w:sz w:val="30"/>
          <w:szCs w:val="30"/>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2821"/>
        <w:gridCol w:w="352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一级指标</w:t>
            </w:r>
          </w:p>
        </w:tc>
        <w:tc>
          <w:tcPr>
            <w:tcW w:w="429"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二级指标</w:t>
            </w:r>
          </w:p>
        </w:tc>
        <w:tc>
          <w:tcPr>
            <w:tcW w:w="56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85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三级   指标</w:t>
            </w:r>
          </w:p>
        </w:tc>
        <w:tc>
          <w:tcPr>
            <w:tcW w:w="56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282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评价标准</w:t>
            </w:r>
          </w:p>
        </w:tc>
        <w:tc>
          <w:tcPr>
            <w:tcW w:w="3525"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c>
          <w:tcPr>
            <w:tcW w:w="86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投    入</w:t>
            </w:r>
          </w:p>
        </w:tc>
        <w:tc>
          <w:tcPr>
            <w:tcW w:w="429"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预算配置</w:t>
            </w:r>
          </w:p>
        </w:tc>
        <w:tc>
          <w:tcPr>
            <w:tcW w:w="567"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“三公经费”变动率≤0,计3分；“三公经费”＞0，每超过一个百分点扣0.3分，扣完为止。</w:t>
            </w:r>
          </w:p>
        </w:tc>
        <w:tc>
          <w:tcPr>
            <w:tcW w:w="3525"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“三公经费”变动率=[（本年度“三公经费”总额-上年度“三公经费”总额）/上年度“三公经费”总额]×100%。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“三公经费”：指政府部门人员因公出国（境）经费、公务车购置及运行费、公务招待费产生的消费。</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“三公经费”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①招待费用明确招待标准和招待人数,1分;②车辆维护、燃油使用政府定点，1分。③制定“三公经费”管理办法，1分，每少一项扣1分，扣完为止。</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公务</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招待费变动率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“公务招待费”变动率≤0,计2分；“公务招待费变动率”＞0，每超过一个百分点扣0.2分，扣完为止。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公务招待费变动率=[（本年度“公务招待费”总额-上年度“公务招待费”总额）/上年度“公务招待费”总额]×100%。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公务用车购置</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运行费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“公务用车购置运行费”变动率≤0,计2分；“公务用车购置运行费变动率”＞0，每超过一个百分点扣0.2分，扣完为止。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公务用车购置运行费变动率=[（本年度“公务用车购置运行费”总额-上年度“公务用车购置运行费”总额）/上年度“公务用车购置运行费”总额]×100%。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商品 和服务支出 变动率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“商品和服务支出”变动率≤0,计2分；“商品和服务支出”变动率＞0，每超过一个百分点扣0.2分，扣完为止。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“商品和服务支出”变动率=[（本年度“商品和服务支出”总额-上年度“商品和服务支出”总额）/上年度“商品和服务支出”总额]×100%。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重点  支出  安排率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重点支出安排率≥90%，计2分；80%（含）-90%，计1分；70%（含）-80%，计0.5分；低于70%不得分。</w:t>
            </w:r>
          </w:p>
        </w:tc>
        <w:tc>
          <w:tcPr>
            <w:tcW w:w="3525"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重点支出安排率=（重点项目支出/项目总支出）×100%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重点项目支出：市政府确定的为民办实事和部门重点工程与重点工作支出。项目总支出：部门（单位）年度预算安排的项目支出总额。</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非税 收入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①实行收支两条线，1分；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②未发生截留、坐支或转移，1分。以上每发现一次违规现象扣1分，扣完为止。</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noWrap w:val="0"/>
            <w:vAlign w:val="center"/>
          </w:tcPr>
          <w:p>
            <w:pPr>
              <w:widowControl/>
              <w:jc w:val="center"/>
              <w:rPr>
                <w:rFonts w:hint="eastAsia" w:ascii="宋体" w:hAnsi="宋体" w:eastAsia="宋体" w:cs="宋体"/>
                <w:kern w:val="0"/>
                <w:sz w:val="24"/>
                <w:szCs w:val="24"/>
              </w:rPr>
            </w:pPr>
          </w:p>
        </w:tc>
        <w:tc>
          <w:tcPr>
            <w:tcW w:w="567" w:type="dxa"/>
            <w:vMerge w:val="continue"/>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非税 收入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非税收入完成率100%，2分，每少一个百分点，扣0.1分，扣完为止。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非税收入完成率=（</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年度非税实际收入完成数/</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年度非税收入预算数）×100%，有减免因素的，以非税局确定的为准。</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p>
            <w:pPr>
              <w:widowControl/>
              <w:ind w:left="113" w:right="113"/>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widowControl/>
              <w:jc w:val="center"/>
              <w:rPr>
                <w:rFonts w:hint="eastAsia" w:ascii="宋体" w:hAnsi="宋体" w:eastAsia="宋体" w:cs="宋体"/>
                <w:kern w:val="0"/>
                <w:sz w:val="24"/>
                <w:szCs w:val="24"/>
              </w:rPr>
            </w:pPr>
          </w:p>
          <w:p>
            <w:pPr>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9" w:type="dxa"/>
            <w:vMerge w:val="restart"/>
            <w:tcBorders>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预算执行</w:t>
            </w:r>
          </w:p>
        </w:tc>
        <w:tc>
          <w:tcPr>
            <w:tcW w:w="567" w:type="dxa"/>
            <w:vMerge w:val="restart"/>
            <w:tcBorders>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预算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完成率&lt;1，计2分，</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完成率=1，计1分，</w:t>
            </w:r>
          </w:p>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完成率&gt;1，不得分。</w:t>
            </w:r>
          </w:p>
          <w:p>
            <w:pPr>
              <w:widowControl/>
              <w:jc w:val="left"/>
              <w:rPr>
                <w:rFonts w:hint="eastAsia" w:ascii="宋体" w:hAnsi="宋体" w:eastAsia="宋体" w:cs="宋体"/>
                <w:kern w:val="0"/>
                <w:sz w:val="24"/>
                <w:szCs w:val="24"/>
                <w:highlight w:val="none"/>
              </w:rPr>
            </w:pPr>
          </w:p>
        </w:tc>
        <w:tc>
          <w:tcPr>
            <w:tcW w:w="3525" w:type="dxa"/>
            <w:noWrap w:val="0"/>
            <w:vAlign w:val="center"/>
          </w:tcPr>
          <w:p>
            <w:pPr>
              <w:autoSpaceDN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预算完成率=（预算完成数/预算数）×100%。预算完成数：部门（单位）本年度实际完成的预算数；预算数：财政部门批复的本年度部门（单位）预算数。</w:t>
            </w:r>
          </w:p>
        </w:tc>
        <w:tc>
          <w:tcPr>
            <w:tcW w:w="861"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资金  结余</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结余超过10%（不含），2分；结余在0-10%（含）的，1分；本年超支不得分。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本项结余不含未完工项目资金的结转数。</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“三公经费”</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控制率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以100%为标准。三公经费控制率≤100%，计2分；每超过一个百分点扣0.2分，扣完为止。单位没有制定“三公”经费预算，该项不得分。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“三公经费”控制率=（“三公经费”实际支出数/“三公经费”预算安排数）×100%。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政府</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采购</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①编制政府采购年度预算并上报的，0.5分；②追加并编制政府采购预算的，0.5分；③政府采购执行率=100%，计1分；每少一个百分点扣0.1分，扣完为止。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政府采购执行率=（实际实行政府采购金额/应实行政府采购金额）×100%。应实行政府采金额以《湘财购[2012]27号》文件为标准。</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restart"/>
            <w:tcBorders>
              <w:top w:val="single" w:color="auto" w:sz="4" w:space="0"/>
              <w:righ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851" w:type="dxa"/>
            <w:tcBorders>
              <w:top w:val="single" w:color="auto" w:sz="4" w:space="0"/>
            </w:tcBorders>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管理  制度</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健全性</w:t>
            </w:r>
          </w:p>
        </w:tc>
        <w:tc>
          <w:tcPr>
            <w:tcW w:w="567" w:type="dxa"/>
            <w:tcBorders>
              <w:top w:val="single" w:color="auto" w:sz="4" w:space="0"/>
            </w:tcBorders>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6</w:t>
            </w:r>
          </w:p>
          <w:p>
            <w:pPr>
              <w:widowControl/>
              <w:jc w:val="both"/>
              <w:rPr>
                <w:rFonts w:hint="eastAsia" w:ascii="宋体" w:hAnsi="宋体" w:eastAsia="宋体" w:cs="宋体"/>
                <w:kern w:val="0"/>
                <w:sz w:val="24"/>
                <w:szCs w:val="24"/>
              </w:rPr>
            </w:pPr>
          </w:p>
        </w:tc>
        <w:tc>
          <w:tcPr>
            <w:tcW w:w="2821" w:type="dxa"/>
            <w:tcBorders>
              <w:top w:val="single" w:color="auto" w:sz="4" w:space="0"/>
            </w:tcBorders>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①已制定资金管理办法、内部财务管理制度、会计核算制度等管理制度，1分；</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②建立健全单位内部控制制度，1分；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③会计人员、机构按规定设置，1分；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④会计基础工作健全，1分；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⑤会计档案符合规定要求，1分；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⑥项目管理规范（包括项目立项、申报、招投标、制度建立、按时完工等），1分，每发现少一项扣0.2分，扣完为止。</w:t>
            </w:r>
          </w:p>
        </w:tc>
        <w:tc>
          <w:tcPr>
            <w:tcW w:w="3525" w:type="dxa"/>
            <w:tcBorders>
              <w:top w:val="single" w:color="auto" w:sz="4" w:space="0"/>
            </w:tcBorders>
            <w:noWrap w:val="0"/>
            <w:vAlign w:val="center"/>
          </w:tcPr>
          <w:p>
            <w:pPr>
              <w:widowControl/>
              <w:jc w:val="left"/>
              <w:rPr>
                <w:rFonts w:hint="eastAsia" w:ascii="宋体" w:hAnsi="宋体" w:eastAsia="宋体" w:cs="宋体"/>
                <w:kern w:val="0"/>
                <w:sz w:val="24"/>
                <w:szCs w:val="24"/>
              </w:rPr>
            </w:pPr>
          </w:p>
        </w:tc>
        <w:tc>
          <w:tcPr>
            <w:tcW w:w="861"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p>
        </w:tc>
        <w:tc>
          <w:tcPr>
            <w:tcW w:w="851" w:type="dxa"/>
            <w:tcBorders>
              <w:top w:val="single" w:color="auto" w:sz="4" w:space="0"/>
            </w:tcBorders>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内控制度情况</w:t>
            </w:r>
          </w:p>
        </w:tc>
        <w:tc>
          <w:tcPr>
            <w:tcW w:w="567" w:type="dxa"/>
            <w:tcBorders>
              <w:top w:val="single" w:color="auto" w:sz="4" w:space="0"/>
            </w:tcBorders>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4分</w:t>
            </w:r>
          </w:p>
        </w:tc>
        <w:tc>
          <w:tcPr>
            <w:tcW w:w="2821" w:type="dxa"/>
            <w:tcBorders>
              <w:top w:val="single" w:color="auto" w:sz="4" w:space="0"/>
            </w:tcBorders>
            <w:noWrap w:val="0"/>
            <w:vAlign w:val="center"/>
          </w:tcPr>
          <w:p>
            <w:pPr>
              <w:jc w:val="left"/>
              <w:rPr>
                <w:rFonts w:hint="eastAsia" w:ascii="宋体" w:hAnsi="宋体" w:eastAsia="宋体" w:cs="宋体"/>
                <w:kern w:val="0"/>
                <w:sz w:val="24"/>
                <w:szCs w:val="24"/>
              </w:rPr>
            </w:pPr>
            <w:r>
              <w:rPr>
                <w:rFonts w:hint="eastAsia" w:ascii="宋体" w:hAnsi="宋体" w:eastAsia="宋体" w:cs="宋体"/>
                <w:kern w:val="0"/>
                <w:sz w:val="24"/>
                <w:szCs w:val="24"/>
              </w:rPr>
              <w:t>内部控制制度完全执行，4分，执行过程中，某个环节（节点）执行不到位的，每个环节（节点）扣1分，扣完为止。</w:t>
            </w:r>
          </w:p>
        </w:tc>
        <w:tc>
          <w:tcPr>
            <w:tcW w:w="3525" w:type="dxa"/>
            <w:tcBorders>
              <w:top w:val="single" w:color="auto" w:sz="4" w:space="0"/>
            </w:tcBorders>
            <w:noWrap w:val="0"/>
            <w:vAlign w:val="center"/>
          </w:tcPr>
          <w:p>
            <w:pPr>
              <w:widowControl/>
              <w:jc w:val="left"/>
              <w:rPr>
                <w:rFonts w:hint="eastAsia" w:ascii="宋体" w:hAnsi="宋体" w:eastAsia="宋体" w:cs="宋体"/>
                <w:kern w:val="0"/>
                <w:sz w:val="24"/>
                <w:szCs w:val="24"/>
              </w:rPr>
            </w:pPr>
          </w:p>
        </w:tc>
        <w:tc>
          <w:tcPr>
            <w:tcW w:w="861"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过程</w:t>
            </w:r>
          </w:p>
        </w:tc>
        <w:tc>
          <w:tcPr>
            <w:tcW w:w="429" w:type="dxa"/>
            <w:vMerge w:val="continue"/>
            <w:tcBorders>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tcBorders>
            <w:noWrap w:val="0"/>
            <w:vAlign w:val="center"/>
          </w:tcPr>
          <w:p>
            <w:pPr>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资金  使用</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合规性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①支出符合国家财经法规和财务管理制度规定以及有关专项资金管理办法的规定；</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②资金（开支）拨付有完整的审批程序和手续；</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③支出符合部门预算批复的用途；</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④资金使用无截留、挤占、挪用、虚列支出、随意借用、大额现金支付等情况。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⑤重大财务事项经由集体研究决策；</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⑥专项资金做到专款专用；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⑦原始凭证的取得真实有效；</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⑧无超范围、超预算开支；</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⑨无超标准发放津补贴、奖金，无用公款支付应由个人支付的款项。</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以上情况每出现一例不符合要求的扣2分，扣完为止。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部门（单位）使用预算资金是否符合相关的预算财务管理制度的规定，用以反映和考核部门（单位）预算资金的规范运行情况。</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预决算信息公开性和完善性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①按规定内容公开预决算信息，1分；②按规定时限公开预决算信息，1分；③基础数据信息和会计信息资料真实、完整，1分；④基础数据信息和汇集信息资料准确，1分。                                           </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预决算信息是指与部门预算、执行、决算、监督、绩效等管理相关的信息。</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管理  制度</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健全性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①已制定资产管理制度，1分；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②相关资产管理制度得到有效执行，1分。                                           </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部门（单位）为加强资产管理，规范资产管理行为而制定的管理制度是否健全完整、用以反映和考核部门（单位）资产管理制度对完成主要职责或促进社会发展的保障情况</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资产  管理</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安全性</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①资产保存完整；②资产配置合理；③资产处置规范； </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④资产账务管理合规，帐实帐卡、账账、账表（决算报表等）相符；⑤资产有偿使用及处置收入及时足额上缴；⑥清查盘点：每年至少清查盘点一次；⑦产权明晰，权证齐全；⑧按标准购置固定资产。</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以上情况每出现一例不符合要求的扣2分；⑨未按时报送2018年行政事业单位资产报表的，每延迟一天，扣1分，扣完为止。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部门（单位）的资产是否保存完整，使用合规、配置合理、处置规范、收入及时足额上缴，用以反映和考核部门（单位）资产安全运行情况。</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rPr>
              <w:t>固定  资产</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利用率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固定资产利用率,100%,2分,每低于一个百分点扣0.2分，扣完为止。</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固定资产利用率=（实际在用固定资产总额/所有固定资产总额）×100%</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hint="eastAsia" w:ascii="宋体" w:hAnsi="宋体" w:eastAsia="宋体" w:cs="宋体"/>
                <w:kern w:val="0"/>
                <w:sz w:val="24"/>
                <w:szCs w:val="24"/>
              </w:rPr>
            </w:pPr>
          </w:p>
        </w:tc>
        <w:tc>
          <w:tcPr>
            <w:tcW w:w="429" w:type="dxa"/>
            <w:vMerge w:val="restart"/>
            <w:tcBorders>
              <w:right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目标 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①本单位所有专项、项目资金均实行目标管理的，各2分,每少一个专项、项目的，扣1分，扣完为止；②编制并报送</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年度部门整体支出绩效目标的，2分；③在规定时间内报送、公开以上目标的，2分，否则不得分。</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绩效 评价</w:t>
            </w:r>
          </w:p>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管理</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525" w:type="dxa"/>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tcBorders>
              <w:top w:val="nil"/>
              <w:bottom w:val="single" w:color="auto" w:sz="4" w:space="0"/>
              <w:right w:val="single" w:color="auto" w:sz="4" w:space="0"/>
            </w:tcBorders>
            <w:noWrap w:val="0"/>
            <w:vAlign w:val="center"/>
          </w:tcPr>
          <w:p>
            <w:pPr>
              <w:jc w:val="center"/>
              <w:rPr>
                <w:rFonts w:hint="eastAsia" w:ascii="宋体" w:hAnsi="宋体" w:eastAsia="宋体" w:cs="宋体"/>
                <w:kern w:val="0"/>
                <w:sz w:val="24"/>
                <w:szCs w:val="24"/>
              </w:rPr>
            </w:pPr>
          </w:p>
        </w:tc>
        <w:tc>
          <w:tcPr>
            <w:tcW w:w="567" w:type="dxa"/>
            <w:tcBorders>
              <w:top w:val="nil"/>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评价 结果 运用</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根据2019年度财政重点绩效评价和单位自评情况，向财政报送整改结果并整改到位的，2分，否则不得分。</w:t>
            </w:r>
          </w:p>
        </w:tc>
        <w:tc>
          <w:tcPr>
            <w:tcW w:w="3525" w:type="dxa"/>
            <w:noWrap w:val="0"/>
            <w:vAlign w:val="center"/>
          </w:tcPr>
          <w:p>
            <w:pPr>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重点　工作　完成率</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该项得分=重点工作完成率×2</w:t>
            </w:r>
          </w:p>
        </w:tc>
        <w:tc>
          <w:tcPr>
            <w:tcW w:w="3525" w:type="dxa"/>
            <w:noWrap w:val="0"/>
            <w:vAlign w:val="center"/>
          </w:tcPr>
          <w:p>
            <w:pPr>
              <w:autoSpaceDN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重点工作为市政府确定的为民办实事和部门重点工程与重点工作。</w:t>
            </w:r>
          </w:p>
        </w:tc>
        <w:tc>
          <w:tcPr>
            <w:tcW w:w="861"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宋体" w:hAnsi="宋体" w:eastAsia="宋体" w:cs="宋体"/>
                <w:kern w:val="0"/>
                <w:sz w:val="24"/>
                <w:szCs w:val="24"/>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工作</w:t>
            </w:r>
          </w:p>
          <w:p>
            <w:pPr>
              <w:jc w:val="both"/>
              <w:rPr>
                <w:rFonts w:hint="eastAsia" w:ascii="宋体" w:hAnsi="宋体" w:eastAsia="宋体" w:cs="宋体"/>
                <w:kern w:val="0"/>
                <w:sz w:val="24"/>
                <w:szCs w:val="24"/>
              </w:rPr>
            </w:pPr>
            <w:r>
              <w:rPr>
                <w:rFonts w:hint="eastAsia" w:ascii="宋体" w:hAnsi="宋体" w:eastAsia="宋体" w:cs="宋体"/>
                <w:kern w:val="0"/>
                <w:sz w:val="24"/>
                <w:szCs w:val="24"/>
              </w:rPr>
              <w:t>质量</w:t>
            </w:r>
          </w:p>
        </w:tc>
        <w:tc>
          <w:tcPr>
            <w:tcW w:w="567" w:type="dxa"/>
            <w:noWrap w:val="0"/>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1" w:type="dxa"/>
            <w:noWrap w:val="0"/>
            <w:vAlign w:val="center"/>
          </w:tcPr>
          <w:p>
            <w:pPr>
              <w:jc w:val="left"/>
              <w:rPr>
                <w:rFonts w:hint="eastAsia" w:ascii="宋体" w:hAnsi="宋体" w:eastAsia="宋体" w:cs="宋体"/>
                <w:kern w:val="0"/>
                <w:sz w:val="24"/>
                <w:szCs w:val="24"/>
              </w:rPr>
            </w:pPr>
            <w:r>
              <w:rPr>
                <w:rFonts w:hint="eastAsia" w:ascii="宋体" w:hAnsi="宋体" w:eastAsia="宋体" w:cs="宋体"/>
                <w:kern w:val="0"/>
                <w:sz w:val="24"/>
                <w:szCs w:val="24"/>
              </w:rPr>
              <w:t>以绩效考核评估结果为标准，优秀，计3分；良好，2分；合格，1分；不合格，0分。</w:t>
            </w:r>
          </w:p>
        </w:tc>
        <w:tc>
          <w:tcPr>
            <w:tcW w:w="3525" w:type="dxa"/>
            <w:noWrap w:val="0"/>
            <w:vAlign w:val="center"/>
          </w:tcPr>
          <w:p>
            <w:pPr>
              <w:autoSpaceDN w:val="0"/>
              <w:jc w:val="left"/>
              <w:textAlignment w:val="center"/>
              <w:rPr>
                <w:rFonts w:hint="eastAsia" w:ascii="宋体" w:hAnsi="宋体" w:eastAsia="宋体" w:cs="宋体"/>
                <w:kern w:val="0"/>
                <w:sz w:val="24"/>
                <w:szCs w:val="24"/>
              </w:rPr>
            </w:pPr>
          </w:p>
        </w:tc>
        <w:tc>
          <w:tcPr>
            <w:tcW w:w="861"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经济  效益</w:t>
            </w:r>
          </w:p>
        </w:tc>
        <w:tc>
          <w:tcPr>
            <w:tcW w:w="567" w:type="dxa"/>
            <w:vMerge w:val="restart"/>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346" w:type="dxa"/>
            <w:gridSpan w:val="2"/>
            <w:vMerge w:val="restar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此三项指标可根据部门实际并结合</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年度部门整体支出绩效目标设立情况有选择的进行评价。</w:t>
            </w:r>
          </w:p>
        </w:tc>
        <w:tc>
          <w:tcPr>
            <w:tcW w:w="861"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社会  效益</w:t>
            </w:r>
          </w:p>
        </w:tc>
        <w:tc>
          <w:tcPr>
            <w:tcW w:w="567" w:type="dxa"/>
            <w:vMerge w:val="continue"/>
            <w:noWrap w:val="0"/>
            <w:vAlign w:val="center"/>
          </w:tcPr>
          <w:p>
            <w:pPr>
              <w:widowControl/>
              <w:jc w:val="both"/>
              <w:rPr>
                <w:rFonts w:hint="eastAsia" w:ascii="宋体" w:hAnsi="宋体" w:eastAsia="宋体" w:cs="宋体"/>
                <w:kern w:val="0"/>
                <w:sz w:val="24"/>
                <w:szCs w:val="24"/>
              </w:rPr>
            </w:pPr>
          </w:p>
        </w:tc>
        <w:tc>
          <w:tcPr>
            <w:tcW w:w="6346" w:type="dxa"/>
            <w:gridSpan w:val="2"/>
            <w:vMerge w:val="continue"/>
            <w:noWrap w:val="0"/>
            <w:vAlign w:val="center"/>
          </w:tcPr>
          <w:p>
            <w:pPr>
              <w:widowControl/>
              <w:jc w:val="left"/>
              <w:rPr>
                <w:rFonts w:hint="eastAsia" w:ascii="宋体" w:hAnsi="宋体" w:eastAsia="宋体" w:cs="宋体"/>
                <w:kern w:val="0"/>
                <w:sz w:val="24"/>
                <w:szCs w:val="24"/>
              </w:rPr>
            </w:pPr>
          </w:p>
        </w:tc>
        <w:tc>
          <w:tcPr>
            <w:tcW w:w="861"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生态  效益</w:t>
            </w:r>
          </w:p>
        </w:tc>
        <w:tc>
          <w:tcPr>
            <w:tcW w:w="567" w:type="dxa"/>
            <w:vMerge w:val="continue"/>
            <w:noWrap w:val="0"/>
            <w:vAlign w:val="center"/>
          </w:tcPr>
          <w:p>
            <w:pPr>
              <w:widowControl/>
              <w:jc w:val="both"/>
              <w:rPr>
                <w:rFonts w:hint="eastAsia" w:ascii="宋体" w:hAnsi="宋体" w:eastAsia="宋体" w:cs="宋体"/>
                <w:kern w:val="0"/>
                <w:sz w:val="24"/>
                <w:szCs w:val="24"/>
              </w:rPr>
            </w:pPr>
          </w:p>
        </w:tc>
        <w:tc>
          <w:tcPr>
            <w:tcW w:w="6346" w:type="dxa"/>
            <w:gridSpan w:val="2"/>
            <w:vMerge w:val="continue"/>
            <w:noWrap w:val="0"/>
            <w:vAlign w:val="center"/>
          </w:tcPr>
          <w:p>
            <w:pPr>
              <w:widowControl/>
              <w:jc w:val="left"/>
              <w:rPr>
                <w:rFonts w:hint="eastAsia" w:ascii="宋体" w:hAnsi="宋体" w:eastAsia="宋体" w:cs="宋体"/>
                <w:kern w:val="0"/>
                <w:sz w:val="24"/>
                <w:szCs w:val="24"/>
              </w:rPr>
            </w:pPr>
          </w:p>
        </w:tc>
        <w:tc>
          <w:tcPr>
            <w:tcW w:w="861"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宋体" w:hAnsi="宋体" w:eastAsia="宋体" w:cs="宋体"/>
                <w:kern w:val="0"/>
                <w:sz w:val="24"/>
                <w:szCs w:val="24"/>
              </w:rPr>
            </w:pPr>
          </w:p>
        </w:tc>
        <w:tc>
          <w:tcPr>
            <w:tcW w:w="851"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567" w:type="dxa"/>
            <w:noWrap w:val="0"/>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1"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90%（含）以上计2分；</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80%（含）-90%，计1分；70%（含）-80%，计0.5分；低于70%,计0分。</w:t>
            </w:r>
          </w:p>
        </w:tc>
        <w:tc>
          <w:tcPr>
            <w:tcW w:w="352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社会公众或服务对象是指部门（单位）履行职责而影响到的部门，群体或个人，一般采取社会调查的方式(不少于30份)。</w:t>
            </w: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8331" w:type="dxa"/>
            <w:gridSpan w:val="5"/>
            <w:noWrap w:val="0"/>
            <w:vAlign w:val="center"/>
          </w:tcPr>
          <w:p>
            <w:pPr>
              <w:widowControl/>
              <w:jc w:val="left"/>
              <w:rPr>
                <w:rFonts w:hint="eastAsia" w:ascii="宋体" w:hAnsi="宋体" w:eastAsia="宋体" w:cs="宋体"/>
                <w:kern w:val="0"/>
                <w:sz w:val="24"/>
                <w:szCs w:val="24"/>
              </w:rPr>
            </w:pPr>
          </w:p>
        </w:tc>
        <w:tc>
          <w:tcPr>
            <w:tcW w:w="86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90.2</w:t>
            </w:r>
          </w:p>
        </w:tc>
      </w:tr>
    </w:tbl>
    <w:p>
      <w:pPr>
        <w:keepNext w:val="0"/>
        <w:keepLines w:val="0"/>
        <w:widowControl w:val="0"/>
        <w:suppressLineNumbers w:val="0"/>
        <w:spacing w:before="0" w:beforeAutospacing="1" w:after="0" w:afterAutospacing="1" w:line="480" w:lineRule="exact"/>
        <w:ind w:left="0" w:right="0" w:firstLine="600" w:firstLineChars="200"/>
        <w:jc w:val="left"/>
        <w:rPr>
          <w:rFonts w:hint="eastAsia" w:ascii="宋体" w:hAnsi="宋体" w:eastAsia="宋体" w:cs="宋体"/>
          <w:kern w:val="2"/>
          <w:sz w:val="30"/>
          <w:szCs w:val="30"/>
          <w:lang w:val="en-US" w:eastAsia="zh-CN" w:bidi="ar"/>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jc w:val="both"/>
        <w:rPr>
          <w:rFonts w:hint="eastAsia" w:ascii="宋体" w:hAnsi="宋体" w:eastAsia="宋体" w:cs="宋体"/>
          <w:b/>
          <w:bCs/>
          <w:i w:val="0"/>
          <w:iCs w:val="0"/>
          <w:caps w:val="0"/>
          <w:color w:val="444444"/>
          <w:spacing w:val="0"/>
          <w:sz w:val="32"/>
          <w:szCs w:val="32"/>
          <w:shd w:val="clear" w:fill="FFFFFF"/>
          <w:lang w:val="en-US" w:eastAsia="zh-CN"/>
        </w:rPr>
      </w:pPr>
    </w:p>
    <w:p>
      <w:pPr>
        <w:pStyle w:val="6"/>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AF2831"/>
    <w:rsid w:val="00D51644"/>
    <w:rsid w:val="025D08EA"/>
    <w:rsid w:val="02A74CAA"/>
    <w:rsid w:val="05213482"/>
    <w:rsid w:val="09E17252"/>
    <w:rsid w:val="0D5E3707"/>
    <w:rsid w:val="11E84674"/>
    <w:rsid w:val="126C42B4"/>
    <w:rsid w:val="162963D7"/>
    <w:rsid w:val="17042185"/>
    <w:rsid w:val="1F010C8F"/>
    <w:rsid w:val="20F63895"/>
    <w:rsid w:val="26166273"/>
    <w:rsid w:val="2B032004"/>
    <w:rsid w:val="2C7529D1"/>
    <w:rsid w:val="2D6C05C8"/>
    <w:rsid w:val="3619015E"/>
    <w:rsid w:val="36E22B02"/>
    <w:rsid w:val="375D57E3"/>
    <w:rsid w:val="37A26170"/>
    <w:rsid w:val="383860BF"/>
    <w:rsid w:val="3B9303B2"/>
    <w:rsid w:val="3C8416D7"/>
    <w:rsid w:val="3F285800"/>
    <w:rsid w:val="3F496D4E"/>
    <w:rsid w:val="3FAB09ED"/>
    <w:rsid w:val="44AF5D78"/>
    <w:rsid w:val="44C63AF1"/>
    <w:rsid w:val="45833892"/>
    <w:rsid w:val="45CB4E15"/>
    <w:rsid w:val="4ACA7AAB"/>
    <w:rsid w:val="4B991F60"/>
    <w:rsid w:val="4D113C42"/>
    <w:rsid w:val="4E582F9D"/>
    <w:rsid w:val="4E58558A"/>
    <w:rsid w:val="4F3501F1"/>
    <w:rsid w:val="52C04276"/>
    <w:rsid w:val="53202F66"/>
    <w:rsid w:val="55C776C9"/>
    <w:rsid w:val="57081E0D"/>
    <w:rsid w:val="575435C3"/>
    <w:rsid w:val="58CA4CA4"/>
    <w:rsid w:val="59A70B1E"/>
    <w:rsid w:val="59E60318"/>
    <w:rsid w:val="5CBC5F90"/>
    <w:rsid w:val="5E6D1153"/>
    <w:rsid w:val="5F83500A"/>
    <w:rsid w:val="5FCA364B"/>
    <w:rsid w:val="60745B56"/>
    <w:rsid w:val="641F097E"/>
    <w:rsid w:val="65236940"/>
    <w:rsid w:val="664A41B0"/>
    <w:rsid w:val="66D16D4F"/>
    <w:rsid w:val="66FE6113"/>
    <w:rsid w:val="6B874FA2"/>
    <w:rsid w:val="6F5245DF"/>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cp:lastPrinted>2023-09-20T08:01:00Z</cp:lastPrinted>
  <dcterms:modified xsi:type="dcterms:W3CDTF">2023-12-13T09:29:39Z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