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A7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w:t>
      </w:r>
    </w:p>
    <w:p w14:paraId="722B78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北塔区委网信办</w:t>
      </w:r>
    </w:p>
    <w:p w14:paraId="60A9DA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2023年</w:t>
      </w:r>
      <w:r>
        <w:rPr>
          <w:rFonts w:hint="eastAsia" w:ascii="方正小标宋_GBK" w:hAnsi="方正小标宋_GBK" w:eastAsia="方正小标宋_GBK" w:cs="方正小标宋_GBK"/>
          <w:i w:val="0"/>
          <w:iCs w:val="0"/>
          <w:caps w:val="0"/>
          <w:color w:val="000000"/>
          <w:spacing w:val="0"/>
          <w:sz w:val="44"/>
          <w:szCs w:val="44"/>
          <w:shd w:val="clear" w:fill="FFFFFF"/>
        </w:rPr>
        <w:t>项目支出绩效自评报告</w:t>
      </w:r>
    </w:p>
    <w:p w14:paraId="68E409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24"/>
          <w:szCs w:val="24"/>
        </w:rPr>
      </w:pPr>
      <w:r>
        <w:rPr>
          <w:rFonts w:ascii="仿宋_GB2312" w:hAnsi="方正小标宋_GBK" w:eastAsia="仿宋_GB2312" w:cs="仿宋_GB2312"/>
          <w:i w:val="0"/>
          <w:iCs w:val="0"/>
          <w:caps w:val="0"/>
          <w:color w:val="000000"/>
          <w:spacing w:val="0"/>
          <w:sz w:val="24"/>
          <w:szCs w:val="24"/>
          <w:shd w:val="clear" w:fill="FFFFFF"/>
        </w:rPr>
        <w:t> </w:t>
      </w:r>
      <w:bookmarkStart w:id="22" w:name="_GoBack"/>
      <w:bookmarkEnd w:id="22"/>
    </w:p>
    <w:p w14:paraId="154588B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一、项目基本情况</w:t>
      </w:r>
    </w:p>
    <w:p w14:paraId="32EF665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楷体" w:hAnsi="楷体" w:eastAsia="楷体" w:cs="楷体"/>
          <w:b w:val="0"/>
          <w:bCs w:val="0"/>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（一）项目概况</w:t>
      </w:r>
    </w:p>
    <w:p w14:paraId="1ECFA9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1.项目决策背景</w:t>
      </w:r>
    </w:p>
    <w:p w14:paraId="73A2D8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随着网络技术的不断更新换代，网络犯罪手段也日益智能化和隐蔽化。需要一个专业的应急指挥中心来整合各方资源，加强技术研发和应用，提升对网络违法犯罪的打击和防范能力。</w:t>
      </w:r>
    </w:p>
    <w:p w14:paraId="64D1A776">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2.项目主要内容</w:t>
      </w:r>
    </w:p>
    <w:p w14:paraId="48580D3E">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涉密不予公开。</w:t>
      </w:r>
    </w:p>
    <w:p w14:paraId="7D77DB01">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3.项目组织管理机构</w:t>
      </w:r>
    </w:p>
    <w:p w14:paraId="326413FB">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邵阳市北塔区委网信办。</w:t>
      </w:r>
    </w:p>
    <w:p w14:paraId="158C35E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楷体" w:hAnsi="楷体" w:eastAsia="楷体" w:cs="楷体"/>
          <w:b w:val="0"/>
          <w:bCs w:val="0"/>
          <w:i w:val="0"/>
          <w:iCs w:val="0"/>
          <w:caps w:val="0"/>
          <w:color w:val="000000"/>
          <w:spacing w:val="0"/>
          <w:sz w:val="32"/>
          <w:szCs w:val="32"/>
          <w:shd w:val="clear" w:fill="FFFFFF"/>
        </w:rPr>
      </w:pPr>
      <w:r>
        <w:rPr>
          <w:rFonts w:hint="default" w:ascii="楷体" w:hAnsi="楷体" w:eastAsia="楷体" w:cs="楷体"/>
          <w:b w:val="0"/>
          <w:bCs w:val="0"/>
          <w:i w:val="0"/>
          <w:iCs w:val="0"/>
          <w:caps w:val="0"/>
          <w:color w:val="000000"/>
          <w:spacing w:val="0"/>
          <w:sz w:val="32"/>
          <w:szCs w:val="32"/>
          <w:shd w:val="clear" w:fill="FFFFFF"/>
        </w:rPr>
        <w:t>（二）预算资金使用管理情况</w:t>
      </w:r>
    </w:p>
    <w:p w14:paraId="556661B3">
      <w:pPr>
        <w:keepNext w:val="0"/>
        <w:keepLines w:val="0"/>
        <w:pageBreakBefore w:val="0"/>
        <w:widowControl w:val="0"/>
        <w:kinsoku/>
        <w:wordWrap/>
        <w:overflowPunct/>
        <w:topLinePunct w:val="0"/>
        <w:autoSpaceDE/>
        <w:autoSpaceDN/>
        <w:bidi w:val="0"/>
        <w:adjustRightInd/>
        <w:snapToGrid/>
        <w:spacing w:beforeAutospacing="0" w:line="240" w:lineRule="auto"/>
        <w:ind w:leftChars="0" w:firstLine="640" w:firstLineChars="200"/>
        <w:textAlignment w:val="auto"/>
        <w:outlineLvl w:val="1"/>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bookmarkStart w:id="0" w:name="_Toc10810"/>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1.预算资金安排及管理情况</w:t>
      </w:r>
      <w:bookmarkEnd w:id="0"/>
    </w:p>
    <w:p w14:paraId="4A04854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（1）资金来源及拨付流程</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：资金全部来源于一般公共预算拨款收入，并已按照项目审批拨付流程拨付到位。</w:t>
      </w:r>
    </w:p>
    <w:p w14:paraId="1ED8F2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（2）资金到位情况</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：项目经费已于2023年拨付到位。</w:t>
      </w:r>
    </w:p>
    <w:p w14:paraId="4DEF6EC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3</w:t>
      </w: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）资金使用情况</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：主要用于应急指挥中心专项工作各项支出。</w:t>
      </w:r>
    </w:p>
    <w:p w14:paraId="2015430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4</w:t>
      </w: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）资金管理制度及执行情况</w:t>
      </w: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：本年度该项目已按照相应的资金管理和财务管理制度进行相应的经费支出。</w:t>
      </w:r>
    </w:p>
    <w:p w14:paraId="7AB3925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2</w:t>
      </w:r>
      <w:r>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t>.项目组织实施管理情况</w:t>
      </w:r>
    </w:p>
    <w:p w14:paraId="072DE48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本绩效目标开始时间为2023年1月1日，完成时间2023年12月31日。我办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专项资金，加强专项资金使用过程的控制和追踪问效，进一频推进专项资金申请和使用中监督。</w:t>
      </w:r>
    </w:p>
    <w:p w14:paraId="310C2D6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楷体" w:hAnsi="楷体" w:eastAsia="楷体" w:cs="楷体"/>
          <w:b w:val="0"/>
          <w:bCs w:val="0"/>
          <w:i w:val="0"/>
          <w:iCs w:val="0"/>
          <w:caps w:val="0"/>
          <w:color w:val="000000"/>
          <w:spacing w:val="0"/>
          <w:sz w:val="32"/>
          <w:szCs w:val="32"/>
          <w:shd w:val="clear" w:fill="FFFFFF"/>
        </w:rPr>
      </w:pPr>
      <w:r>
        <w:rPr>
          <w:rFonts w:hint="eastAsia" w:ascii="楷体" w:hAnsi="楷体" w:eastAsia="楷体" w:cs="楷体"/>
          <w:b w:val="0"/>
          <w:bCs w:val="0"/>
          <w:i w:val="0"/>
          <w:iCs w:val="0"/>
          <w:caps w:val="0"/>
          <w:color w:val="000000"/>
          <w:spacing w:val="0"/>
          <w:sz w:val="32"/>
          <w:szCs w:val="32"/>
          <w:shd w:val="clear" w:fill="FFFFFF"/>
        </w:rPr>
        <w:t>（三）预算绩效目标情况</w:t>
      </w:r>
    </w:p>
    <w:p w14:paraId="65EA3D9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1.绩效目标</w:t>
      </w:r>
    </w:p>
    <w:p w14:paraId="60530C0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firstLine="640" w:firstLineChars="200"/>
        <w:jc w:val="both"/>
        <w:textAlignment w:val="auto"/>
        <w:rPr>
          <w:rFonts w:hint="default" w:asci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网络安全保障、舆情监测与引导、信息化建设与发展、法规政策执行效果、应急响应能力、公众服务满意度等这些绩效目标的设定旨在衡量网信办工作的成效和效益，提高资源利用效率，更好地服务于网络信息领域的发展和管理。</w:t>
      </w:r>
    </w:p>
    <w:p w14:paraId="21620997">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t>2.绩效指标</w:t>
      </w:r>
    </w:p>
    <w:p w14:paraId="78907E0E">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仿宋_GB2312" w:eastAsia="仿宋_GB2312" w:cs="仿宋_GB2312"/>
          <w:b w:val="0"/>
          <w:bCs w:val="0"/>
          <w:i w:val="0"/>
          <w:iCs w:val="0"/>
          <w:caps w:val="0"/>
          <w:color w:val="000000"/>
          <w:spacing w:val="0"/>
          <w:kern w:val="0"/>
          <w:sz w:val="32"/>
          <w:szCs w:val="32"/>
          <w:shd w:val="clear" w:fill="FFFFFF"/>
          <w:lang w:val="en-US" w:eastAsia="zh-CN" w:bidi="ar"/>
        </w:rPr>
        <w:t>接到通知后，领导高度重视，立即组织人员召开会议，传达文件精神，成立了工作绩效考核评估小组，主要包括数量指标、质量指标、时效指标、成本指标、社会效益指标、可持续性发展指标、满意度指标。</w:t>
      </w:r>
    </w:p>
    <w:p w14:paraId="223FB76A">
      <w:pPr>
        <w:pStyle w:val="7"/>
        <w:keepNext w:val="0"/>
        <w:keepLines w:val="0"/>
        <w:pageBreakBefore w:val="0"/>
        <w:widowControl w:val="0"/>
        <w:kinsoku/>
        <w:wordWrap/>
        <w:overflowPunct/>
        <w:topLinePunct w:val="0"/>
        <w:autoSpaceDE/>
        <w:autoSpaceDN/>
        <w:bidi w:val="0"/>
        <w:adjustRightInd/>
        <w:snapToGrid/>
        <w:spacing w:beforeLines="0" w:beforeAutospacing="0" w:afterLines="0" w:line="240" w:lineRule="auto"/>
        <w:ind w:left="0" w:leftChars="0" w:firstLine="640" w:firstLineChars="200"/>
        <w:textAlignment w:val="auto"/>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二、绩效评价工作情况</w:t>
      </w:r>
    </w:p>
    <w:p w14:paraId="42087BB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（一）绩效评价目的</w:t>
      </w:r>
    </w:p>
    <w:p w14:paraId="44780431">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全面总结资金项目实施情况、真实、客观、完整评估绩效目标任务完成情况。</w:t>
      </w:r>
    </w:p>
    <w:p w14:paraId="752A5E2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1" w:name="_Toc11844"/>
      <w:r>
        <w:rPr>
          <w:rFonts w:hint="eastAsia" w:ascii="楷体" w:hAnsi="楷体" w:eastAsia="楷体" w:cs="楷体"/>
          <w:b w:val="0"/>
          <w:bCs w:val="0"/>
          <w:i w:val="0"/>
          <w:iCs w:val="0"/>
          <w:caps w:val="0"/>
          <w:color w:val="000000"/>
          <w:spacing w:val="0"/>
          <w:kern w:val="0"/>
          <w:sz w:val="32"/>
          <w:szCs w:val="32"/>
          <w:shd w:val="clear" w:fill="FFFFFF"/>
          <w:lang w:val="en-US" w:eastAsia="zh-CN" w:bidi="ar"/>
        </w:rPr>
        <w:t>（二）被评价单位、绩效评价范围与时段</w:t>
      </w:r>
      <w:bookmarkEnd w:id="1"/>
    </w:p>
    <w:p w14:paraId="785780E8">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单位:北塔区委网信办</w:t>
      </w:r>
    </w:p>
    <w:p w14:paraId="2D280D35">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范围：应急指挥中心</w:t>
      </w:r>
    </w:p>
    <w:p w14:paraId="08B29614">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i w:val="0"/>
          <w:iCs w:val="0"/>
          <w:caps w:val="0"/>
          <w:color w:val="000000"/>
          <w:spacing w:val="0"/>
          <w:kern w:val="0"/>
          <w:sz w:val="32"/>
          <w:szCs w:val="32"/>
          <w:shd w:val="clear" w:fill="FFFFFF"/>
          <w:lang w:val="en-US" w:eastAsia="zh-CN" w:bidi="ar"/>
        </w:rPr>
        <w:t>时段：2023年1-12月</w:t>
      </w:r>
    </w:p>
    <w:p w14:paraId="00D08A1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2" w:name="_Toc31835"/>
      <w:r>
        <w:rPr>
          <w:rFonts w:hint="eastAsia" w:ascii="楷体" w:hAnsi="楷体" w:eastAsia="楷体" w:cs="楷体"/>
          <w:b w:val="0"/>
          <w:bCs w:val="0"/>
          <w:i w:val="0"/>
          <w:iCs w:val="0"/>
          <w:caps w:val="0"/>
          <w:color w:val="000000"/>
          <w:spacing w:val="0"/>
          <w:kern w:val="0"/>
          <w:sz w:val="32"/>
          <w:szCs w:val="32"/>
          <w:shd w:val="clear" w:fill="FFFFFF"/>
          <w:lang w:val="en-US" w:eastAsia="zh-CN" w:bidi="ar"/>
        </w:rPr>
        <w:t>（三）绩效评价原则、评价指标体系、评价方法</w:t>
      </w:r>
      <w:bookmarkEnd w:id="2"/>
    </w:p>
    <w:p w14:paraId="2864C26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仿宋" w:hAnsi="仿宋" w:eastAsia="仿宋" w:cs="仿宋"/>
          <w:b w:val="0"/>
          <w:bCs w:val="0"/>
          <w:color w:val="000000"/>
          <w:sz w:val="32"/>
          <w:szCs w:val="32"/>
          <w:shd w:val="clear" w:fill="FFFFFF"/>
          <w:lang w:val="en-US" w:eastAsia="zh-CN"/>
        </w:rPr>
      </w:pPr>
      <w:r>
        <w:rPr>
          <w:rFonts w:ascii="仿宋" w:hAnsi="仿宋" w:eastAsia="仿宋" w:cs="仿宋"/>
          <w:b w:val="0"/>
          <w:bCs w:val="0"/>
          <w:color w:val="000000"/>
          <w:sz w:val="32"/>
          <w:szCs w:val="32"/>
          <w:shd w:val="clear" w:fill="FFFFFF"/>
        </w:rPr>
        <w:t>1</w:t>
      </w:r>
      <w:r>
        <w:rPr>
          <w:rFonts w:hint="eastAsia" w:ascii="仿宋" w:hAnsi="仿宋" w:eastAsia="仿宋" w:cs="仿宋"/>
          <w:b w:val="0"/>
          <w:bCs w:val="0"/>
          <w:color w:val="000000"/>
          <w:sz w:val="32"/>
          <w:szCs w:val="32"/>
          <w:shd w:val="clear" w:fill="FFFFFF"/>
          <w:lang w:val="en-US" w:eastAsia="zh-CN"/>
        </w:rPr>
        <w:t>.</w:t>
      </w:r>
      <w:r>
        <w:rPr>
          <w:rFonts w:ascii="仿宋" w:hAnsi="仿宋" w:eastAsia="仿宋" w:cs="仿宋"/>
          <w:b w:val="0"/>
          <w:bCs w:val="0"/>
          <w:color w:val="000000"/>
          <w:sz w:val="32"/>
          <w:szCs w:val="32"/>
          <w:shd w:val="clear" w:fill="FFFFFF"/>
        </w:rPr>
        <w:t>评估</w:t>
      </w:r>
      <w:r>
        <w:rPr>
          <w:rFonts w:hint="eastAsia" w:ascii="仿宋" w:hAnsi="仿宋" w:eastAsia="仿宋" w:cs="仿宋"/>
          <w:b w:val="0"/>
          <w:bCs w:val="0"/>
          <w:color w:val="000000"/>
          <w:sz w:val="32"/>
          <w:szCs w:val="32"/>
          <w:shd w:val="clear" w:fill="FFFFFF"/>
          <w:lang w:val="en-US" w:eastAsia="zh-CN"/>
        </w:rPr>
        <w:t>方式</w:t>
      </w:r>
    </w:p>
    <w:p w14:paraId="7DA4EA9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宋体" w:hAnsi="宋体" w:eastAsia="宋体" w:cs="宋体"/>
          <w:b w:val="0"/>
          <w:bCs w:val="0"/>
          <w:sz w:val="24"/>
          <w:szCs w:val="24"/>
        </w:rPr>
      </w:pPr>
      <w:r>
        <w:rPr>
          <w:rFonts w:ascii="仿宋" w:hAnsi="仿宋" w:eastAsia="仿宋" w:cs="仿宋"/>
          <w:b w:val="0"/>
          <w:bCs w:val="0"/>
          <w:color w:val="000000"/>
          <w:sz w:val="32"/>
          <w:szCs w:val="32"/>
          <w:shd w:val="clear" w:fill="FFFFFF"/>
        </w:rPr>
        <w:t>采取论证评审、咨询座谈方式。</w:t>
      </w:r>
    </w:p>
    <w:p w14:paraId="530F2DB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宋体" w:hAnsi="宋体" w:eastAsia="宋体" w:cs="宋体"/>
          <w:b w:val="0"/>
          <w:bCs w:val="0"/>
          <w:sz w:val="24"/>
          <w:szCs w:val="24"/>
        </w:rPr>
      </w:pPr>
      <w:r>
        <w:rPr>
          <w:rFonts w:hint="eastAsia" w:ascii="仿宋" w:hAnsi="仿宋" w:eastAsia="仿宋" w:cs="仿宋"/>
          <w:b w:val="0"/>
          <w:bCs w:val="0"/>
          <w:color w:val="000000"/>
          <w:sz w:val="32"/>
          <w:szCs w:val="32"/>
          <w:shd w:val="clear" w:fill="FFFFFF"/>
        </w:rPr>
        <w:t>2</w:t>
      </w:r>
      <w:r>
        <w:rPr>
          <w:rFonts w:hint="eastAsia" w:ascii="仿宋" w:hAnsi="仿宋" w:eastAsia="仿宋" w:cs="仿宋"/>
          <w:b w:val="0"/>
          <w:bCs w:val="0"/>
          <w:color w:val="000000"/>
          <w:sz w:val="32"/>
          <w:szCs w:val="32"/>
          <w:shd w:val="clear" w:fill="FFFFFF"/>
          <w:lang w:val="en-US" w:eastAsia="zh-CN"/>
        </w:rPr>
        <w:t>.</w:t>
      </w:r>
      <w:r>
        <w:rPr>
          <w:rFonts w:hint="eastAsia" w:ascii="仿宋" w:hAnsi="仿宋" w:eastAsia="仿宋" w:cs="仿宋"/>
          <w:b w:val="0"/>
          <w:bCs w:val="0"/>
          <w:color w:val="000000"/>
          <w:sz w:val="32"/>
          <w:szCs w:val="32"/>
          <w:shd w:val="clear" w:fill="FFFFFF"/>
        </w:rPr>
        <w:t>评估方法</w:t>
      </w:r>
    </w:p>
    <w:p w14:paraId="62554FC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宋体" w:hAnsi="宋体" w:eastAsia="宋体" w:cs="宋体"/>
          <w:b w:val="0"/>
          <w:bCs w:val="0"/>
          <w:sz w:val="24"/>
          <w:szCs w:val="24"/>
        </w:rPr>
      </w:pP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1</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成本效益分析法,是指将政策和项目存续期内的支出与效益进行对比分析,以评估政策和项目的资金及管理效率。</w:t>
      </w:r>
    </w:p>
    <w:p w14:paraId="7A16546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仿宋" w:hAnsi="仿宋" w:eastAsia="仿宋" w:cs="仿宋"/>
          <w:b w:val="0"/>
          <w:bCs w:val="0"/>
          <w:color w:val="000000"/>
          <w:sz w:val="32"/>
          <w:szCs w:val="32"/>
          <w:shd w:val="clear" w:fill="FFFFFF"/>
        </w:rPr>
      </w:pP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2</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比较法,是指通过对绩效目标与预期实施效果、历史与当期情况、不同部门与地区同类政策和项目安排的比较,综合分析政策和项目的绩效情况。</w:t>
      </w:r>
    </w:p>
    <w:p w14:paraId="00AF361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ascii="Calibri" w:hAnsi="Calibri" w:cs="Calibri"/>
          <w:b w:val="0"/>
          <w:bCs w:val="0"/>
          <w:sz w:val="21"/>
          <w:szCs w:val="21"/>
        </w:rPr>
      </w:pPr>
      <w:r>
        <w:rPr>
          <w:rFonts w:hint="eastAsia" w:ascii="仿宋_GB2312" w:hAnsi="Calibri" w:eastAsia="仿宋_GB2312" w:cs="仿宋_GB2312"/>
          <w:b w:val="0"/>
          <w:bCs w:val="0"/>
          <w:sz w:val="32"/>
          <w:szCs w:val="32"/>
          <w:lang w:val="en-US" w:eastAsia="zh-CN"/>
        </w:rPr>
        <w:t>3.</w:t>
      </w:r>
      <w:r>
        <w:rPr>
          <w:rFonts w:ascii="仿宋_GB2312" w:hAnsi="Calibri" w:eastAsia="仿宋_GB2312" w:cs="仿宋_GB2312"/>
          <w:b w:val="0"/>
          <w:bCs w:val="0"/>
          <w:sz w:val="32"/>
          <w:szCs w:val="32"/>
        </w:rPr>
        <w:t>评价过程</w:t>
      </w:r>
    </w:p>
    <w:p w14:paraId="03876A7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宋体" w:hAnsi="宋体" w:eastAsia="宋体" w:cs="宋体"/>
          <w:b w:val="0"/>
          <w:bCs w:val="0"/>
          <w:sz w:val="24"/>
          <w:szCs w:val="24"/>
        </w:rPr>
      </w:pP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1</w:t>
      </w:r>
      <w:r>
        <w:rPr>
          <w:rFonts w:hint="eastAsia" w:ascii="仿宋" w:hAnsi="仿宋" w:eastAsia="仿宋" w:cs="仿宋"/>
          <w:b w:val="0"/>
          <w:bCs w:val="0"/>
          <w:color w:val="000000"/>
          <w:sz w:val="32"/>
          <w:szCs w:val="32"/>
          <w:shd w:val="clear" w:fill="FFFFFF"/>
          <w:lang w:eastAsia="zh-CN"/>
        </w:rPr>
        <w:t>）</w:t>
      </w:r>
      <w:r>
        <w:rPr>
          <w:rFonts w:ascii="仿宋" w:hAnsi="仿宋" w:eastAsia="仿宋" w:cs="仿宋"/>
          <w:b w:val="0"/>
          <w:bCs w:val="0"/>
          <w:color w:val="000000"/>
          <w:sz w:val="32"/>
          <w:szCs w:val="32"/>
          <w:shd w:val="clear" w:fill="FFFFFF"/>
        </w:rPr>
        <w:t>组建专家组。绩效评估组织专家参与，原则上专家组成员数量为不少于3人的奇数，包括业务专家、管理专家。绩效评估工作组应与专家签署《专家承诺书》，并适时对专家进行业务培训。</w:t>
      </w:r>
    </w:p>
    <w:p w14:paraId="06F4EDC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宋体" w:hAnsi="宋体" w:eastAsia="宋体" w:cs="宋体"/>
          <w:b w:val="0"/>
          <w:bCs w:val="0"/>
          <w:sz w:val="24"/>
          <w:szCs w:val="24"/>
        </w:rPr>
      </w:pP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lang w:val="en-US" w:eastAsia="zh-CN"/>
        </w:rPr>
        <w:t>2</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收集审核资料。申报单位按要求提供相关材料;绩效评估工作组对资料进行审核、整理。此外，绩效评估工作组应通过咨询专业人士、查阅资料、集中座谈等方式，多渠道获取相关信息。</w:t>
      </w:r>
    </w:p>
    <w:p w14:paraId="1DFA9B0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240" w:lineRule="auto"/>
        <w:ind w:left="0" w:leftChars="0" w:firstLine="640" w:firstLineChars="200"/>
        <w:jc w:val="left"/>
        <w:textAlignment w:val="auto"/>
        <w:rPr>
          <w:rFonts w:hint="eastAsia" w:ascii="仿宋" w:hAnsi="仿宋" w:eastAsia="仿宋" w:cs="仿宋"/>
          <w:b w:val="0"/>
          <w:bCs w:val="0"/>
          <w:color w:val="000000"/>
          <w:sz w:val="32"/>
          <w:szCs w:val="32"/>
          <w:shd w:val="clear" w:fill="FFFFFF"/>
          <w:lang w:val="en-US" w:eastAsia="zh-CN"/>
        </w:rPr>
      </w:pP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lang w:val="en-US" w:eastAsia="zh-CN"/>
        </w:rPr>
        <w:t>3</w:t>
      </w:r>
      <w:r>
        <w:rPr>
          <w:rFonts w:hint="eastAsia" w:ascii="仿宋" w:hAnsi="仿宋" w:eastAsia="仿宋" w:cs="仿宋"/>
          <w:b w:val="0"/>
          <w:bCs w:val="0"/>
          <w:color w:val="000000"/>
          <w:sz w:val="32"/>
          <w:szCs w:val="32"/>
          <w:shd w:val="clear" w:fill="FFFFFF"/>
          <w:lang w:eastAsia="zh-CN"/>
        </w:rPr>
        <w:t>）</w:t>
      </w:r>
      <w:r>
        <w:rPr>
          <w:rFonts w:hint="eastAsia" w:ascii="仿宋" w:hAnsi="仿宋" w:eastAsia="仿宋" w:cs="仿宋"/>
          <w:b w:val="0"/>
          <w:bCs w:val="0"/>
          <w:color w:val="000000"/>
          <w:sz w:val="32"/>
          <w:szCs w:val="32"/>
          <w:shd w:val="clear" w:fill="FFFFFF"/>
        </w:rPr>
        <w:t>开展正式评估。绩效评估工作组在充分收集分析资料等基础上，召开正式评估会。申报单位汇报绩效目标、实施方案、预算编制等情况;绩效评估工作组组织专家组就项目完成具体情况和申报单位进行沟通交流。在此基础上，专家组对绩效评估对象进行打分，讨论形成绩效评估报告。</w:t>
      </w:r>
    </w:p>
    <w:p w14:paraId="6084B168">
      <w:pPr>
        <w:keepNext w:val="0"/>
        <w:keepLines w:val="0"/>
        <w:pageBreakBefore w:val="0"/>
        <w:widowControl w:val="0"/>
        <w:kinsoku/>
        <w:wordWrap/>
        <w:overflowPunct/>
        <w:topLinePunct w:val="0"/>
        <w:autoSpaceDE/>
        <w:autoSpaceDN/>
        <w:bidi w:val="0"/>
        <w:adjustRightInd/>
        <w:snapToGrid/>
        <w:spacing w:beforeAutospacing="0" w:line="240" w:lineRule="auto"/>
        <w:ind w:leftChars="0" w:firstLine="640" w:firstLineChars="200"/>
        <w:textAlignment w:val="auto"/>
        <w:outlineLvl w:val="0"/>
        <w:rPr>
          <w:rFonts w:hint="eastAsia" w:ascii="黑体" w:hAnsi="黑体" w:eastAsia="黑体" w:cs="黑体"/>
          <w:b w:val="0"/>
          <w:bCs w:val="0"/>
          <w:i w:val="0"/>
          <w:iCs w:val="0"/>
          <w:caps w:val="0"/>
          <w:color w:val="000000"/>
          <w:spacing w:val="0"/>
          <w:kern w:val="0"/>
          <w:sz w:val="32"/>
          <w:szCs w:val="32"/>
          <w:shd w:val="clear" w:fill="FFFFFF"/>
          <w:lang w:val="en-US" w:eastAsia="zh-CN" w:bidi="ar"/>
        </w:rPr>
      </w:pPr>
      <w:bookmarkStart w:id="3" w:name="_Toc7615"/>
      <w:bookmarkStart w:id="4" w:name="_Toc32076"/>
      <w:r>
        <w:rPr>
          <w:rFonts w:hint="eastAsia" w:ascii="黑体" w:hAnsi="黑体" w:eastAsia="黑体" w:cs="黑体"/>
          <w:b w:val="0"/>
          <w:bCs w:val="0"/>
          <w:i w:val="0"/>
          <w:iCs w:val="0"/>
          <w:caps w:val="0"/>
          <w:color w:val="000000"/>
          <w:spacing w:val="0"/>
          <w:kern w:val="0"/>
          <w:sz w:val="32"/>
          <w:szCs w:val="32"/>
          <w:shd w:val="clear" w:fill="FFFFFF"/>
          <w:lang w:val="en-US" w:eastAsia="zh-CN" w:bidi="ar"/>
        </w:rPr>
        <w:t>三、主要绩效及评价结论</w:t>
      </w:r>
      <w:bookmarkEnd w:id="3"/>
      <w:bookmarkEnd w:id="4"/>
    </w:p>
    <w:p w14:paraId="026EAED9">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（一）社会效益</w:t>
      </w:r>
    </w:p>
    <w:p w14:paraId="12C5FB98">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ascii="仿宋_GB2312" w:hAnsi="Calibri" w:eastAsia="仿宋_GB2312" w:cs="仿宋_GB2312"/>
          <w:b w:val="0"/>
          <w:bCs w:val="0"/>
          <w:sz w:val="32"/>
          <w:szCs w:val="32"/>
        </w:rPr>
        <w:t>该项目具有良好的社会效益</w:t>
      </w:r>
      <w:r>
        <w:rPr>
          <w:rFonts w:hint="default" w:ascii="仿宋_GB2312" w:hAnsi="Calibri" w:eastAsia="仿宋_GB2312" w:cs="仿宋_GB2312"/>
          <w:b w:val="0"/>
          <w:bCs w:val="0"/>
          <w:sz w:val="32"/>
          <w:szCs w:val="32"/>
        </w:rPr>
        <w:t>。</w:t>
      </w:r>
    </w:p>
    <w:p w14:paraId="58E90D5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（二）生态效益</w:t>
      </w:r>
    </w:p>
    <w:p w14:paraId="222147C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color w:val="auto"/>
          <w:sz w:val="32"/>
          <w:szCs w:val="32"/>
          <w:lang w:val="en-US" w:eastAsia="zh-CN"/>
        </w:rPr>
        <w:t>紧紧围绕区委、区政府中心工作，</w:t>
      </w:r>
      <w:r>
        <w:rPr>
          <w:rFonts w:hint="eastAsia" w:ascii="仿宋" w:hAnsi="仿宋" w:eastAsia="仿宋" w:cs="仿宋"/>
          <w:b w:val="0"/>
          <w:bCs w:val="0"/>
          <w:color w:val="auto"/>
          <w:sz w:val="32"/>
          <w:szCs w:val="32"/>
          <w:lang w:eastAsia="zh-CN"/>
        </w:rPr>
        <w:t>以人民生命安全和身体健康为己任，以初心践行使命，把握“大市场、大监管、大质量”要求，促改革、强监督、优服务、守底线、保民生。</w:t>
      </w:r>
    </w:p>
    <w:p w14:paraId="34A939E7">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（三）可持续影响</w:t>
      </w:r>
    </w:p>
    <w:p w14:paraId="794D7CE8">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color w:val="auto"/>
          <w:sz w:val="32"/>
          <w:szCs w:val="32"/>
          <w:lang w:val="en-US" w:eastAsia="zh-CN"/>
        </w:rPr>
        <w:t>社会经济可持续发展。</w:t>
      </w:r>
    </w:p>
    <w:p w14:paraId="1D989E84">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（四）满意度情况</w:t>
      </w:r>
    </w:p>
    <w:p w14:paraId="73122EDA">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color w:val="auto"/>
          <w:sz w:val="32"/>
          <w:szCs w:val="32"/>
          <w:lang w:eastAsia="zh-CN"/>
        </w:rPr>
        <w:t>各项工作落实落细落地，</w:t>
      </w:r>
      <w:r>
        <w:rPr>
          <w:rFonts w:hint="eastAsia" w:ascii="仿宋" w:hAnsi="仿宋" w:eastAsia="仿宋" w:cs="仿宋"/>
          <w:b w:val="0"/>
          <w:bCs w:val="0"/>
          <w:color w:val="auto"/>
          <w:sz w:val="32"/>
          <w:szCs w:val="32"/>
          <w:lang w:val="en-US" w:eastAsia="zh-CN"/>
        </w:rPr>
        <w:t>群众和市场满意度得到提升。</w:t>
      </w:r>
    </w:p>
    <w:p w14:paraId="19A70EB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（五）评价结论</w:t>
      </w:r>
    </w:p>
    <w:p w14:paraId="28F4CBB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楷体" w:hAnsi="楷体" w:eastAsia="楷体" w:cs="楷体"/>
          <w:b w:val="0"/>
          <w:bCs w:val="0"/>
          <w:i w:val="0"/>
          <w:iCs w:val="0"/>
          <w:caps w:val="0"/>
          <w:color w:val="000000"/>
          <w:spacing w:val="0"/>
          <w:kern w:val="0"/>
          <w:sz w:val="32"/>
          <w:szCs w:val="32"/>
          <w:shd w:val="clear" w:fill="FFFFFF"/>
          <w:lang w:val="en-US" w:eastAsia="zh-CN" w:bidi="ar"/>
        </w:rPr>
      </w:pPr>
      <w:r>
        <w:rPr>
          <w:rFonts w:ascii="仿宋_GB2312" w:hAnsi="Calibri" w:eastAsia="仿宋_GB2312" w:cs="仿宋_GB2312"/>
          <w:b w:val="0"/>
          <w:bCs w:val="0"/>
          <w:sz w:val="32"/>
          <w:szCs w:val="32"/>
        </w:rPr>
        <w:t>本单位</w:t>
      </w:r>
      <w:r>
        <w:rPr>
          <w:rFonts w:hint="default" w:ascii="仿宋_GB2312" w:hAnsi="Calibri" w:eastAsia="仿宋_GB2312" w:cs="仿宋_GB2312"/>
          <w:b w:val="0"/>
          <w:bCs w:val="0"/>
          <w:sz w:val="32"/>
          <w:szCs w:val="32"/>
        </w:rPr>
        <w:t>2023年自评项目1个，项目基本完成预定目标，达到了预期效果，项目效益明显。</w:t>
      </w:r>
    </w:p>
    <w:p w14:paraId="56DB4CF3">
      <w:pPr>
        <w:keepNext w:val="0"/>
        <w:keepLines w:val="0"/>
        <w:pageBreakBefore w:val="0"/>
        <w:widowControl w:val="0"/>
        <w:kinsoku/>
        <w:wordWrap/>
        <w:overflowPunct/>
        <w:topLinePunct w:val="0"/>
        <w:autoSpaceDE/>
        <w:autoSpaceDN/>
        <w:bidi w:val="0"/>
        <w:adjustRightInd/>
        <w:snapToGrid/>
        <w:spacing w:beforeAutospacing="0" w:line="240" w:lineRule="auto"/>
        <w:ind w:leftChars="0" w:firstLine="640" w:firstLineChars="200"/>
        <w:textAlignment w:val="auto"/>
        <w:outlineLvl w:val="0"/>
        <w:rPr>
          <w:rFonts w:hint="eastAsia" w:ascii="黑体" w:hAnsi="黑体" w:eastAsia="黑体" w:cs="黑体"/>
          <w:b w:val="0"/>
          <w:bCs w:val="0"/>
          <w:i w:val="0"/>
          <w:iCs w:val="0"/>
          <w:caps w:val="0"/>
          <w:color w:val="000000"/>
          <w:spacing w:val="0"/>
          <w:kern w:val="0"/>
          <w:sz w:val="32"/>
          <w:szCs w:val="32"/>
          <w:shd w:val="clear" w:fill="FFFFFF"/>
          <w:lang w:val="en-US" w:eastAsia="zh-CN" w:bidi="ar"/>
        </w:rPr>
      </w:pPr>
      <w:bookmarkStart w:id="5" w:name="_Toc16332"/>
      <w:bookmarkStart w:id="6" w:name="_Toc27541"/>
      <w:r>
        <w:rPr>
          <w:rFonts w:hint="eastAsia" w:ascii="黑体" w:hAnsi="黑体" w:eastAsia="黑体" w:cs="黑体"/>
          <w:b w:val="0"/>
          <w:bCs w:val="0"/>
          <w:i w:val="0"/>
          <w:iCs w:val="0"/>
          <w:caps w:val="0"/>
          <w:color w:val="000000"/>
          <w:spacing w:val="0"/>
          <w:kern w:val="0"/>
          <w:sz w:val="32"/>
          <w:szCs w:val="32"/>
          <w:shd w:val="clear" w:fill="FFFFFF"/>
          <w:lang w:val="en-US" w:eastAsia="zh-CN" w:bidi="ar"/>
        </w:rPr>
        <w:t>四、绩效评价指标分析</w:t>
      </w:r>
      <w:bookmarkEnd w:id="5"/>
      <w:bookmarkEnd w:id="6"/>
    </w:p>
    <w:p w14:paraId="6797AC8E">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7" w:name="_Toc17679"/>
      <w:r>
        <w:rPr>
          <w:rFonts w:hint="eastAsia" w:ascii="楷体" w:hAnsi="楷体" w:eastAsia="楷体" w:cs="楷体"/>
          <w:b w:val="0"/>
          <w:bCs w:val="0"/>
          <w:i w:val="0"/>
          <w:iCs w:val="0"/>
          <w:caps w:val="0"/>
          <w:color w:val="000000"/>
          <w:spacing w:val="0"/>
          <w:kern w:val="0"/>
          <w:sz w:val="32"/>
          <w:szCs w:val="32"/>
          <w:shd w:val="clear" w:fill="FFFFFF"/>
          <w:lang w:val="en-US" w:eastAsia="zh-CN" w:bidi="ar"/>
        </w:rPr>
        <w:t>（一）项目决策情况</w:t>
      </w:r>
      <w:bookmarkEnd w:id="7"/>
    </w:p>
    <w:p w14:paraId="7CFB666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ascii="Calibri" w:hAnsi="Calibri" w:cs="Calibri"/>
          <w:b w:val="0"/>
          <w:bCs w:val="0"/>
          <w:sz w:val="21"/>
          <w:szCs w:val="21"/>
        </w:rPr>
      </w:pPr>
      <w:r>
        <w:rPr>
          <w:rFonts w:ascii="仿宋_GB2312" w:hAnsi="Calibri" w:eastAsia="仿宋_GB2312" w:cs="仿宋_GB2312"/>
          <w:b w:val="0"/>
          <w:bCs w:val="0"/>
          <w:sz w:val="32"/>
          <w:szCs w:val="32"/>
        </w:rPr>
        <w:t>1</w:t>
      </w:r>
      <w:r>
        <w:rPr>
          <w:rFonts w:hint="eastAsia" w:ascii="仿宋_GB2312" w:hAnsi="Calibri" w:eastAsia="仿宋_GB2312" w:cs="仿宋_GB2312"/>
          <w:b w:val="0"/>
          <w:bCs w:val="0"/>
          <w:sz w:val="32"/>
          <w:szCs w:val="32"/>
          <w:lang w:val="en-US" w:eastAsia="zh-CN"/>
        </w:rPr>
        <w:t>.</w:t>
      </w:r>
      <w:r>
        <w:rPr>
          <w:rFonts w:ascii="仿宋_GB2312" w:hAnsi="Calibri" w:eastAsia="仿宋_GB2312" w:cs="仿宋_GB2312"/>
          <w:b w:val="0"/>
          <w:bCs w:val="0"/>
          <w:sz w:val="32"/>
          <w:szCs w:val="32"/>
        </w:rPr>
        <w:t>项目立项规范性情况分析</w:t>
      </w:r>
    </w:p>
    <w:p w14:paraId="10FCBA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根据我</w:t>
      </w:r>
      <w:r>
        <w:rPr>
          <w:rFonts w:hint="eastAsia" w:ascii="仿宋_GB2312" w:hAnsi="Calibri" w:eastAsia="仿宋_GB2312" w:cs="仿宋_GB2312"/>
          <w:b w:val="0"/>
          <w:bCs w:val="0"/>
          <w:sz w:val="32"/>
          <w:szCs w:val="32"/>
          <w:lang w:val="en-US" w:eastAsia="zh-CN"/>
        </w:rPr>
        <w:t>办</w:t>
      </w:r>
      <w:r>
        <w:rPr>
          <w:rFonts w:hint="default" w:ascii="仿宋_GB2312" w:hAnsi="Calibri" w:eastAsia="仿宋_GB2312" w:cs="仿宋_GB2312"/>
          <w:b w:val="0"/>
          <w:bCs w:val="0"/>
          <w:sz w:val="32"/>
          <w:szCs w:val="32"/>
        </w:rPr>
        <w:t>规定的职责，开展</w:t>
      </w:r>
      <w:r>
        <w:rPr>
          <w:rFonts w:hint="eastAsia" w:ascii="仿宋_GB2312" w:hAnsi="Calibri" w:eastAsia="仿宋_GB2312" w:cs="仿宋_GB2312"/>
          <w:b w:val="0"/>
          <w:bCs w:val="0"/>
          <w:sz w:val="32"/>
          <w:szCs w:val="32"/>
          <w:lang w:eastAsia="zh-CN"/>
        </w:rPr>
        <w:t>项目决策</w:t>
      </w:r>
      <w:r>
        <w:rPr>
          <w:rFonts w:hint="default" w:ascii="仿宋_GB2312" w:hAnsi="Calibri" w:eastAsia="仿宋_GB2312" w:cs="仿宋_GB2312"/>
          <w:b w:val="0"/>
          <w:bCs w:val="0"/>
          <w:sz w:val="32"/>
          <w:szCs w:val="32"/>
        </w:rPr>
        <w:t>工作。因此，项目立项有据可依，项目立项具有规范性。</w:t>
      </w:r>
    </w:p>
    <w:p w14:paraId="65923F8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2</w:t>
      </w:r>
      <w:r>
        <w:rPr>
          <w:rFonts w:hint="eastAsia" w:ascii="仿宋_GB2312" w:hAnsi="Calibri" w:eastAsia="仿宋_GB2312" w:cs="仿宋_GB2312"/>
          <w:b w:val="0"/>
          <w:bCs w:val="0"/>
          <w:sz w:val="32"/>
          <w:szCs w:val="32"/>
          <w:lang w:val="en-US" w:eastAsia="zh-CN"/>
        </w:rPr>
        <w:t>.</w:t>
      </w:r>
      <w:r>
        <w:rPr>
          <w:rFonts w:hint="default" w:ascii="仿宋_GB2312" w:hAnsi="Calibri" w:eastAsia="仿宋_GB2312" w:cs="仿宋_GB2312"/>
          <w:b w:val="0"/>
          <w:bCs w:val="0"/>
          <w:sz w:val="32"/>
          <w:szCs w:val="32"/>
        </w:rPr>
        <w:t>预算资金执行率指标情况分析</w:t>
      </w:r>
    </w:p>
    <w:p w14:paraId="5277B383">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firstLine="640" w:firstLineChars="200"/>
        <w:jc w:val="both"/>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default" w:ascii="仿宋_GB2312" w:hAnsi="Calibri" w:eastAsia="仿宋_GB2312" w:cs="仿宋_GB2312"/>
          <w:b w:val="0"/>
          <w:bCs w:val="0"/>
          <w:sz w:val="32"/>
          <w:szCs w:val="32"/>
        </w:rPr>
        <w:t>2023年项目工作经费已足额到位，执行率为100%。</w:t>
      </w:r>
    </w:p>
    <w:p w14:paraId="74FF41FA">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640" w:firstLineChars="200"/>
        <w:textAlignment w:val="auto"/>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8" w:name="_Toc28411"/>
      <w:r>
        <w:rPr>
          <w:rFonts w:hint="eastAsia" w:ascii="楷体" w:hAnsi="楷体" w:eastAsia="楷体" w:cs="楷体"/>
          <w:b w:val="0"/>
          <w:bCs w:val="0"/>
          <w:i w:val="0"/>
          <w:iCs w:val="0"/>
          <w:caps w:val="0"/>
          <w:color w:val="000000"/>
          <w:spacing w:val="0"/>
          <w:kern w:val="0"/>
          <w:sz w:val="32"/>
          <w:szCs w:val="32"/>
          <w:shd w:val="clear" w:fill="FFFFFF"/>
          <w:lang w:val="en-US" w:eastAsia="zh-CN" w:bidi="ar"/>
        </w:rPr>
        <w:t>（二）项目过程情况</w:t>
      </w:r>
      <w:bookmarkEnd w:id="8"/>
    </w:p>
    <w:p w14:paraId="063FD48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ascii="Calibri" w:hAnsi="Calibri" w:cs="Calibri"/>
          <w:b w:val="0"/>
          <w:bCs w:val="0"/>
          <w:sz w:val="21"/>
          <w:szCs w:val="21"/>
        </w:rPr>
      </w:pPr>
      <w:bookmarkStart w:id="9" w:name="_Toc6604"/>
      <w:r>
        <w:rPr>
          <w:rFonts w:ascii="仿宋_GB2312" w:hAnsi="Calibri" w:eastAsia="仿宋_GB2312" w:cs="仿宋_GB2312"/>
          <w:b w:val="0"/>
          <w:bCs w:val="0"/>
          <w:sz w:val="32"/>
          <w:szCs w:val="32"/>
        </w:rPr>
        <w:t>1</w:t>
      </w:r>
      <w:r>
        <w:rPr>
          <w:rFonts w:hint="eastAsia" w:ascii="仿宋_GB2312" w:hAnsi="Calibri" w:eastAsia="仿宋_GB2312" w:cs="仿宋_GB2312"/>
          <w:b w:val="0"/>
          <w:bCs w:val="0"/>
          <w:sz w:val="32"/>
          <w:szCs w:val="32"/>
          <w:lang w:val="en-US" w:eastAsia="zh-CN"/>
        </w:rPr>
        <w:t>.项目实施情况</w:t>
      </w:r>
      <w:r>
        <w:rPr>
          <w:rFonts w:ascii="仿宋_GB2312" w:hAnsi="Calibri" w:eastAsia="仿宋_GB2312" w:cs="仿宋_GB2312"/>
          <w:b w:val="0"/>
          <w:bCs w:val="0"/>
          <w:sz w:val="32"/>
          <w:szCs w:val="32"/>
        </w:rPr>
        <w:t>分析</w:t>
      </w:r>
    </w:p>
    <w:p w14:paraId="6642D4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成了指挥中心的场地规划，确定了指挥大厅、监控室、会议室等功能区域的布局。制定了详细的技术方案，选定了先进的服务器、存储设备、网络设备和显示大屏等硬件设备。按照设计方案，完成了场地装修和基础设施建设。顺利采购并安装了硬件设备，进行了系统集成和调试。加强对工作人员的培训，包括系统操作、应急处置流程和相关法律法规等内容。通过模拟演练，提高了工作人员的实际操作能力和应急响应水平。</w:t>
      </w:r>
    </w:p>
    <w:p w14:paraId="5635BB2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Calibri" w:hAnsi="Calibri" w:eastAsia="仿宋_GB2312" w:cs="Calibri"/>
          <w:b w:val="0"/>
          <w:bCs w:val="0"/>
          <w:sz w:val="21"/>
          <w:szCs w:val="21"/>
          <w:lang w:eastAsia="zh-CN"/>
        </w:rPr>
      </w:pPr>
      <w:r>
        <w:rPr>
          <w:rFonts w:hint="default" w:ascii="仿宋_GB2312" w:hAnsi="Calibri" w:eastAsia="仿宋_GB2312" w:cs="仿宋_GB2312"/>
          <w:b w:val="0"/>
          <w:bCs w:val="0"/>
          <w:sz w:val="32"/>
          <w:szCs w:val="32"/>
        </w:rPr>
        <w:t>2</w:t>
      </w:r>
      <w:r>
        <w:rPr>
          <w:rFonts w:hint="eastAsia" w:ascii="仿宋_GB2312" w:hAnsi="Calibri" w:eastAsia="仿宋_GB2312" w:cs="仿宋_GB2312"/>
          <w:b w:val="0"/>
          <w:bCs w:val="0"/>
          <w:sz w:val="32"/>
          <w:szCs w:val="32"/>
          <w:lang w:val="en-US" w:eastAsia="zh-CN"/>
        </w:rPr>
        <w:t>.</w:t>
      </w:r>
      <w:r>
        <w:rPr>
          <w:rFonts w:hint="default" w:ascii="仿宋_GB2312" w:hAnsi="Calibri" w:eastAsia="仿宋_GB2312" w:cs="仿宋_GB2312"/>
          <w:b w:val="0"/>
          <w:bCs w:val="0"/>
          <w:sz w:val="32"/>
          <w:szCs w:val="32"/>
        </w:rPr>
        <w:t>财务管理情况分析</w:t>
      </w:r>
    </w:p>
    <w:p w14:paraId="724580E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经费使用严格按照《行政单位会计制度》等相关规定执行。</w:t>
      </w:r>
    </w:p>
    <w:p w14:paraId="3D3667C8">
      <w:pPr>
        <w:pStyle w:val="7"/>
        <w:keepNext w:val="0"/>
        <w:keepLines w:val="0"/>
        <w:pageBreakBefore w:val="0"/>
        <w:widowControl w:val="0"/>
        <w:kinsoku/>
        <w:wordWrap/>
        <w:overflowPunct/>
        <w:topLinePunct w:val="0"/>
        <w:autoSpaceDE/>
        <w:autoSpaceDN/>
        <w:bidi w:val="0"/>
        <w:adjustRightInd/>
        <w:snapToGrid/>
        <w:spacing w:beforeLines="0" w:beforeAutospacing="0" w:afterLines="0" w:line="240" w:lineRule="auto"/>
        <w:ind w:left="0" w:leftChars="0" w:firstLine="640" w:firstLineChars="200"/>
        <w:textAlignment w:val="auto"/>
        <w:outlineLvl w:val="1"/>
        <w:rPr>
          <w:rFonts w:hint="eastAsia" w:ascii="仿宋_GB2312" w:eastAsia="仿宋_GB2312" w:cs="仿宋_GB2312" w:hAnsiTheme="minorHAnsi"/>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（三）项目产出情况</w:t>
      </w:r>
      <w:bookmarkEnd w:id="9"/>
    </w:p>
    <w:p w14:paraId="1308986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ascii="Calibri" w:hAnsi="Calibri" w:cs="Calibri"/>
          <w:b w:val="0"/>
          <w:bCs w:val="0"/>
          <w:sz w:val="21"/>
          <w:szCs w:val="21"/>
        </w:rPr>
      </w:pPr>
      <w:r>
        <w:rPr>
          <w:rFonts w:ascii="仿宋_GB2312" w:hAnsi="Calibri" w:eastAsia="仿宋_GB2312" w:cs="仿宋_GB2312"/>
          <w:b w:val="0"/>
          <w:bCs w:val="0"/>
          <w:sz w:val="32"/>
          <w:szCs w:val="32"/>
        </w:rPr>
        <w:t>1</w:t>
      </w:r>
      <w:r>
        <w:rPr>
          <w:rFonts w:hint="eastAsia" w:ascii="仿宋_GB2312" w:hAnsi="Calibri" w:eastAsia="仿宋_GB2312" w:cs="仿宋_GB2312"/>
          <w:b w:val="0"/>
          <w:bCs w:val="0"/>
          <w:sz w:val="32"/>
          <w:szCs w:val="32"/>
          <w:lang w:val="en-US" w:eastAsia="zh-CN"/>
        </w:rPr>
        <w:t>.</w:t>
      </w:r>
      <w:r>
        <w:rPr>
          <w:rFonts w:ascii="仿宋_GB2312" w:hAnsi="Calibri" w:eastAsia="仿宋_GB2312" w:cs="仿宋_GB2312"/>
          <w:b w:val="0"/>
          <w:bCs w:val="0"/>
          <w:sz w:val="32"/>
          <w:szCs w:val="32"/>
        </w:rPr>
        <w:t>产出数量指标情况分析</w:t>
      </w:r>
    </w:p>
    <w:p w14:paraId="314BC1F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Chars="0" w:right="0" w:firstLine="640" w:firstLineChars="200"/>
        <w:textAlignment w:val="auto"/>
        <w:rPr>
          <w:b w:val="0"/>
          <w:bCs w:val="0"/>
        </w:rPr>
      </w:pPr>
      <w:r>
        <w:rPr>
          <w:rFonts w:ascii="华文仿宋" w:hAnsi="华文仿宋" w:eastAsia="华文仿宋" w:cs="华文仿宋"/>
          <w:b w:val="0"/>
          <w:bCs w:val="0"/>
          <w:sz w:val="32"/>
          <w:szCs w:val="32"/>
          <w:shd w:val="clear" w:fill="FFFFFF"/>
        </w:rPr>
        <w:t>全年</w:t>
      </w:r>
      <w:r>
        <w:rPr>
          <w:rFonts w:hint="eastAsia" w:ascii="华文仿宋" w:hAnsi="华文仿宋" w:eastAsia="华文仿宋" w:cs="华文仿宋"/>
          <w:b w:val="0"/>
          <w:bCs w:val="0"/>
          <w:sz w:val="32"/>
          <w:szCs w:val="32"/>
          <w:shd w:val="clear" w:fill="FFFFFF"/>
          <w:lang w:eastAsia="zh-CN"/>
        </w:rPr>
        <w:t>支出</w:t>
      </w:r>
      <w:r>
        <w:rPr>
          <w:rFonts w:hint="eastAsia" w:ascii="华文仿宋" w:hAnsi="华文仿宋" w:eastAsia="华文仿宋" w:cs="华文仿宋"/>
          <w:b w:val="0"/>
          <w:bCs w:val="0"/>
          <w:sz w:val="32"/>
          <w:szCs w:val="32"/>
          <w:shd w:val="clear" w:fill="FFFFFF"/>
          <w:lang w:val="en-US" w:eastAsia="zh-CN"/>
        </w:rPr>
        <w:t>37.44万</w:t>
      </w:r>
      <w:r>
        <w:rPr>
          <w:rFonts w:hint="default" w:ascii="华文仿宋" w:hAnsi="华文仿宋" w:eastAsia="华文仿宋" w:cs="华文仿宋"/>
          <w:b w:val="0"/>
          <w:bCs w:val="0"/>
          <w:sz w:val="32"/>
          <w:szCs w:val="32"/>
          <w:shd w:val="clear" w:fill="FFFFFF"/>
        </w:rPr>
        <w:t>元，支出经费全部用于项目的开展，无挪用情况。</w:t>
      </w:r>
    </w:p>
    <w:p w14:paraId="6EFD46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2</w:t>
      </w:r>
      <w:r>
        <w:rPr>
          <w:rFonts w:hint="eastAsia" w:ascii="仿宋_GB2312" w:hAnsi="Calibri" w:eastAsia="仿宋_GB2312" w:cs="仿宋_GB2312"/>
          <w:b w:val="0"/>
          <w:bCs w:val="0"/>
          <w:sz w:val="32"/>
          <w:szCs w:val="32"/>
          <w:lang w:val="en-US" w:eastAsia="zh-CN"/>
        </w:rPr>
        <w:t>.</w:t>
      </w:r>
      <w:r>
        <w:rPr>
          <w:rFonts w:hint="default" w:ascii="仿宋_GB2312" w:hAnsi="Calibri" w:eastAsia="仿宋_GB2312" w:cs="仿宋_GB2312"/>
          <w:b w:val="0"/>
          <w:bCs w:val="0"/>
          <w:sz w:val="32"/>
          <w:szCs w:val="32"/>
        </w:rPr>
        <w:t>产出质量指标情况分析</w:t>
      </w:r>
    </w:p>
    <w:p w14:paraId="0E0D285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Calibri" w:hAnsi="Calibri" w:cs="Calibri"/>
          <w:b w:val="0"/>
          <w:bCs w:val="0"/>
          <w:sz w:val="21"/>
          <w:szCs w:val="21"/>
        </w:rPr>
      </w:pPr>
      <w:r>
        <w:rPr>
          <w:rFonts w:hint="eastAsia" w:ascii="仿宋_GB2312" w:hAnsi="Calibri" w:eastAsia="仿宋_GB2312" w:cs="仿宋_GB2312"/>
          <w:b w:val="0"/>
          <w:bCs w:val="0"/>
          <w:sz w:val="32"/>
          <w:szCs w:val="32"/>
          <w:lang w:eastAsia="zh-CN"/>
        </w:rPr>
        <w:t>项目完成</w:t>
      </w:r>
      <w:r>
        <w:rPr>
          <w:rFonts w:hint="default" w:ascii="仿宋_GB2312" w:hAnsi="Calibri" w:eastAsia="仿宋_GB2312" w:cs="仿宋_GB2312"/>
          <w:b w:val="0"/>
          <w:bCs w:val="0"/>
          <w:sz w:val="32"/>
          <w:szCs w:val="32"/>
        </w:rPr>
        <w:t>率100%</w:t>
      </w:r>
      <w:r>
        <w:rPr>
          <w:rFonts w:hint="eastAsia" w:ascii="仿宋_GB2312" w:hAnsi="Calibri" w:eastAsia="仿宋_GB2312" w:cs="仿宋_GB2312"/>
          <w:b w:val="0"/>
          <w:bCs w:val="0"/>
          <w:sz w:val="32"/>
          <w:szCs w:val="32"/>
          <w:lang w:eastAsia="zh-CN"/>
        </w:rPr>
        <w:t>，根据</w:t>
      </w:r>
      <w:r>
        <w:rPr>
          <w:rFonts w:hint="default" w:ascii="仿宋_GB2312" w:hAnsi="Calibri" w:eastAsia="仿宋_GB2312" w:cs="仿宋_GB2312"/>
          <w:b w:val="0"/>
          <w:bCs w:val="0"/>
          <w:sz w:val="32"/>
          <w:szCs w:val="32"/>
        </w:rPr>
        <w:t>所述，产出质量指标完成情况较好。</w:t>
      </w:r>
    </w:p>
    <w:p w14:paraId="39C6D4B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Calibri" w:hAnsi="Calibri" w:cs="Calibri"/>
          <w:b w:val="0"/>
          <w:bCs w:val="0"/>
          <w:sz w:val="21"/>
          <w:szCs w:val="21"/>
        </w:rPr>
      </w:pPr>
      <w:bookmarkStart w:id="10" w:name="_Toc12690"/>
      <w:bookmarkStart w:id="11" w:name="_Toc3072"/>
      <w:r>
        <w:rPr>
          <w:rFonts w:hint="default" w:ascii="仿宋_GB2312" w:hAnsi="Calibri" w:eastAsia="仿宋_GB2312" w:cs="仿宋_GB2312"/>
          <w:b w:val="0"/>
          <w:bCs w:val="0"/>
          <w:sz w:val="32"/>
          <w:szCs w:val="32"/>
        </w:rPr>
        <w:t>3</w:t>
      </w:r>
      <w:r>
        <w:rPr>
          <w:rFonts w:hint="eastAsia" w:ascii="仿宋_GB2312" w:hAnsi="Calibri" w:eastAsia="仿宋_GB2312" w:cs="仿宋_GB2312"/>
          <w:b w:val="0"/>
          <w:bCs w:val="0"/>
          <w:sz w:val="32"/>
          <w:szCs w:val="32"/>
          <w:lang w:val="en-US" w:eastAsia="zh-CN"/>
        </w:rPr>
        <w:t>.</w:t>
      </w:r>
      <w:r>
        <w:rPr>
          <w:rFonts w:hint="default" w:ascii="仿宋_GB2312" w:hAnsi="Calibri" w:eastAsia="仿宋_GB2312" w:cs="仿宋_GB2312"/>
          <w:b w:val="0"/>
          <w:bCs w:val="0"/>
          <w:sz w:val="32"/>
          <w:szCs w:val="32"/>
        </w:rPr>
        <w:t>产出时效指标情况分析</w:t>
      </w:r>
    </w:p>
    <w:p w14:paraId="2CED82D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一是项目工作整体完成时间均在2023年底完成；二是专项资金执行率100%；经考核，项目工作任务在要求时限内完成。</w:t>
      </w:r>
    </w:p>
    <w:p w14:paraId="440FB37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4</w:t>
      </w:r>
      <w:r>
        <w:rPr>
          <w:rFonts w:hint="eastAsia" w:ascii="仿宋_GB2312" w:hAnsi="Calibri" w:eastAsia="仿宋_GB2312" w:cs="仿宋_GB2312"/>
          <w:b w:val="0"/>
          <w:bCs w:val="0"/>
          <w:sz w:val="32"/>
          <w:szCs w:val="32"/>
          <w:lang w:val="en-US" w:eastAsia="zh-CN"/>
        </w:rPr>
        <w:t>.</w:t>
      </w:r>
      <w:r>
        <w:rPr>
          <w:rFonts w:hint="default" w:ascii="仿宋_GB2312" w:hAnsi="Calibri" w:eastAsia="仿宋_GB2312" w:cs="仿宋_GB2312"/>
          <w:b w:val="0"/>
          <w:bCs w:val="0"/>
          <w:sz w:val="32"/>
          <w:szCs w:val="32"/>
        </w:rPr>
        <w:t>产出成本指标情况分析</w:t>
      </w:r>
    </w:p>
    <w:p w14:paraId="62AE219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Calibri" w:hAnsi="Calibri" w:cs="Calibri"/>
          <w:b w:val="0"/>
          <w:bCs w:val="0"/>
          <w:sz w:val="21"/>
          <w:szCs w:val="21"/>
        </w:rPr>
      </w:pPr>
      <w:r>
        <w:rPr>
          <w:rFonts w:hint="default" w:ascii="仿宋_GB2312" w:hAnsi="Calibri" w:eastAsia="仿宋_GB2312" w:cs="仿宋_GB2312"/>
          <w:b w:val="0"/>
          <w:bCs w:val="0"/>
          <w:sz w:val="32"/>
          <w:szCs w:val="32"/>
        </w:rPr>
        <w:t>经考核，项目工作支出符合国家或相关部门支出标准。</w:t>
      </w:r>
    </w:p>
    <w:p w14:paraId="0EE1FEBD">
      <w:pPr>
        <w:pStyle w:val="7"/>
        <w:keepNext w:val="0"/>
        <w:keepLines w:val="0"/>
        <w:pageBreakBefore w:val="0"/>
        <w:widowControl w:val="0"/>
        <w:kinsoku/>
        <w:wordWrap/>
        <w:overflowPunct/>
        <w:topLinePunct w:val="0"/>
        <w:autoSpaceDE/>
        <w:autoSpaceDN/>
        <w:bidi w:val="0"/>
        <w:adjustRightInd/>
        <w:snapToGrid/>
        <w:spacing w:beforeLines="0" w:beforeAutospacing="0" w:afterLines="0" w:line="590" w:lineRule="exact"/>
        <w:ind w:left="0" w:leftChars="0"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楷体" w:hAnsi="楷体" w:eastAsia="楷体" w:cs="楷体"/>
          <w:b w:val="0"/>
          <w:bCs w:val="0"/>
          <w:i w:val="0"/>
          <w:iCs w:val="0"/>
          <w:caps w:val="0"/>
          <w:color w:val="000000"/>
          <w:spacing w:val="0"/>
          <w:kern w:val="0"/>
          <w:sz w:val="32"/>
          <w:szCs w:val="32"/>
          <w:shd w:val="clear" w:fill="FFFFFF"/>
          <w:lang w:val="en-US" w:eastAsia="zh-CN" w:bidi="ar"/>
        </w:rPr>
        <w:t>（四）项目效益情况</w:t>
      </w:r>
      <w:bookmarkEnd w:id="10"/>
      <w:bookmarkEnd w:id="11"/>
    </w:p>
    <w:p w14:paraId="4DF7DA0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仿宋_GB2312" w:hAnsi="Calibri" w:eastAsia="仿宋_GB2312" w:cs="仿宋_GB2312"/>
          <w:b w:val="0"/>
          <w:bCs w:val="0"/>
          <w:sz w:val="32"/>
          <w:szCs w:val="32"/>
          <w:lang w:val="en-US" w:eastAsia="zh-CN"/>
        </w:rPr>
      </w:pPr>
      <w:bookmarkStart w:id="12" w:name="_Toc390267055"/>
      <w:bookmarkStart w:id="13" w:name="_Toc390096931"/>
      <w:bookmarkStart w:id="14" w:name="_Toc24241"/>
      <w:bookmarkStart w:id="15" w:name="_Toc12414"/>
      <w:r>
        <w:rPr>
          <w:rFonts w:hint="eastAsia" w:ascii="仿宋_GB2312" w:hAnsi="Calibri" w:eastAsia="仿宋_GB2312" w:cs="仿宋_GB2312"/>
          <w:b w:val="0"/>
          <w:bCs w:val="0"/>
          <w:sz w:val="32"/>
          <w:szCs w:val="32"/>
          <w:lang w:val="en-US" w:eastAsia="zh-CN"/>
        </w:rPr>
        <w:t>应急指挥中心项目在直接和间接经济效益、社会效益、环境效益以及可持续发展方面都取得了显著成果</w:t>
      </w:r>
      <w:r>
        <w:rPr>
          <w:rFonts w:hint="eastAsia" w:ascii="仿宋_GB2312" w:hAnsi="Calibri" w:eastAsia="仿宋_GB2312" w:cs="仿宋_GB2312"/>
          <w:b w:val="0"/>
          <w:bCs w:val="0"/>
          <w:sz w:val="32"/>
          <w:szCs w:val="32"/>
        </w:rPr>
        <w:t>。</w:t>
      </w:r>
      <w:r>
        <w:rPr>
          <w:rFonts w:hint="eastAsia" w:ascii="仿宋_GB2312" w:hAnsi="Calibri" w:eastAsia="仿宋_GB2312" w:cs="仿宋_GB2312"/>
          <w:b w:val="0"/>
          <w:bCs w:val="0"/>
          <w:sz w:val="32"/>
          <w:szCs w:val="32"/>
          <w:lang w:val="en-US" w:eastAsia="zh-CN"/>
        </w:rPr>
        <w:t>未来将继续完善和优化应急指挥中心的功能，为经济社会发展创造更安全、稳定、和谐的网络环境。</w:t>
      </w:r>
    </w:p>
    <w:p w14:paraId="2ED779BC">
      <w:pPr>
        <w:keepNext w:val="0"/>
        <w:keepLines w:val="0"/>
        <w:pageBreakBefore w:val="0"/>
        <w:widowControl w:val="0"/>
        <w:kinsoku/>
        <w:wordWrap/>
        <w:overflowPunct/>
        <w:topLinePunct w:val="0"/>
        <w:autoSpaceDE/>
        <w:autoSpaceDN/>
        <w:bidi w:val="0"/>
        <w:adjustRightInd/>
        <w:snapToGrid/>
        <w:spacing w:beforeAutospacing="0" w:line="590" w:lineRule="exact"/>
        <w:ind w:leftChars="0" w:firstLine="640" w:firstLineChars="200"/>
        <w:textAlignment w:val="auto"/>
        <w:outlineLvl w:val="0"/>
        <w:rPr>
          <w:rFonts w:hint="eastAsia" w:ascii="黑体" w:hAnsi="黑体" w:eastAsia="黑体" w:cs="黑体"/>
          <w:b w:val="0"/>
          <w:bCs w:val="0"/>
          <w:i w:val="0"/>
          <w:iCs w:val="0"/>
          <w:caps w:val="0"/>
          <w:color w:val="000000"/>
          <w:spacing w:val="0"/>
          <w:kern w:val="0"/>
          <w:sz w:val="32"/>
          <w:szCs w:val="32"/>
          <w:shd w:val="clear" w:fill="FFFFFF"/>
          <w:lang w:val="en-US" w:eastAsia="zh-CN" w:bidi="ar"/>
        </w:rPr>
      </w:pPr>
      <w:r>
        <w:rPr>
          <w:rFonts w:hint="eastAsia" w:ascii="黑体" w:hAnsi="黑体" w:eastAsia="黑体" w:cs="黑体"/>
          <w:b w:val="0"/>
          <w:bCs w:val="0"/>
          <w:i w:val="0"/>
          <w:iCs w:val="0"/>
          <w:caps w:val="0"/>
          <w:color w:val="000000"/>
          <w:spacing w:val="0"/>
          <w:kern w:val="0"/>
          <w:sz w:val="32"/>
          <w:szCs w:val="32"/>
          <w:shd w:val="clear" w:fill="FFFFFF"/>
          <w:lang w:val="en-US" w:eastAsia="zh-CN" w:bidi="ar"/>
        </w:rPr>
        <w:t>五、项目主要经验、存在的问题</w:t>
      </w:r>
      <w:bookmarkEnd w:id="12"/>
      <w:bookmarkEnd w:id="13"/>
      <w:r>
        <w:rPr>
          <w:rFonts w:hint="eastAsia" w:ascii="黑体" w:hAnsi="黑体" w:eastAsia="黑体" w:cs="黑体"/>
          <w:b w:val="0"/>
          <w:bCs w:val="0"/>
          <w:i w:val="0"/>
          <w:iCs w:val="0"/>
          <w:caps w:val="0"/>
          <w:color w:val="000000"/>
          <w:spacing w:val="0"/>
          <w:kern w:val="0"/>
          <w:sz w:val="32"/>
          <w:szCs w:val="32"/>
          <w:shd w:val="clear" w:fill="FFFFFF"/>
          <w:lang w:val="en-US" w:eastAsia="zh-CN" w:bidi="ar"/>
        </w:rPr>
        <w:t>及建议</w:t>
      </w:r>
      <w:bookmarkEnd w:id="14"/>
      <w:bookmarkEnd w:id="15"/>
    </w:p>
    <w:p w14:paraId="6FAA4792">
      <w:pPr>
        <w:keepNext w:val="0"/>
        <w:keepLines w:val="0"/>
        <w:pageBreakBefore w:val="0"/>
        <w:widowControl w:val="0"/>
        <w:kinsoku/>
        <w:wordWrap/>
        <w:overflowPunct/>
        <w:topLinePunct w:val="0"/>
        <w:autoSpaceDE/>
        <w:autoSpaceDN/>
        <w:bidi w:val="0"/>
        <w:adjustRightInd/>
        <w:snapToGrid/>
        <w:spacing w:beforeAutospacing="0" w:line="590" w:lineRule="exact"/>
        <w:ind w:leftChars="0"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16" w:name="_Toc23434"/>
      <w:bookmarkStart w:id="17" w:name="_Toc5316"/>
      <w:r>
        <w:rPr>
          <w:rFonts w:hint="eastAsia" w:ascii="楷体" w:hAnsi="楷体" w:eastAsia="楷体" w:cs="楷体"/>
          <w:b w:val="0"/>
          <w:bCs w:val="0"/>
          <w:i w:val="0"/>
          <w:iCs w:val="0"/>
          <w:caps w:val="0"/>
          <w:color w:val="000000"/>
          <w:spacing w:val="0"/>
          <w:kern w:val="0"/>
          <w:sz w:val="32"/>
          <w:szCs w:val="32"/>
          <w:shd w:val="clear" w:fill="FFFFFF"/>
          <w:lang w:val="en-US" w:eastAsia="zh-CN" w:bidi="ar"/>
        </w:rPr>
        <w:t>（一）项目主要经验</w:t>
      </w:r>
      <w:bookmarkEnd w:id="16"/>
      <w:r>
        <w:rPr>
          <w:rFonts w:hint="eastAsia" w:ascii="楷体" w:hAnsi="楷体" w:eastAsia="楷体" w:cs="楷体"/>
          <w:b w:val="0"/>
          <w:bCs w:val="0"/>
          <w:i w:val="0"/>
          <w:iCs w:val="0"/>
          <w:caps w:val="0"/>
          <w:color w:val="000000"/>
          <w:spacing w:val="0"/>
          <w:kern w:val="0"/>
          <w:sz w:val="32"/>
          <w:szCs w:val="32"/>
          <w:shd w:val="clear" w:fill="FFFFFF"/>
          <w:lang w:val="en-US" w:eastAsia="zh-CN" w:bidi="ar"/>
        </w:rPr>
        <w:t>及做法</w:t>
      </w:r>
      <w:bookmarkEnd w:id="17"/>
    </w:p>
    <w:p w14:paraId="1EE716E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ascii="Calibri" w:hAnsi="Calibri" w:cs="Calibri"/>
          <w:b w:val="0"/>
          <w:bCs w:val="0"/>
          <w:sz w:val="21"/>
          <w:szCs w:val="21"/>
        </w:rPr>
      </w:pPr>
      <w:r>
        <w:rPr>
          <w:rFonts w:hint="eastAsia" w:ascii="仿宋_GB2312" w:hAnsi="Calibri" w:eastAsia="仿宋_GB2312" w:cs="仿宋_GB2312"/>
          <w:b w:val="0"/>
          <w:bCs w:val="0"/>
          <w:sz w:val="32"/>
          <w:szCs w:val="32"/>
          <w:lang w:val="en-US" w:eastAsia="zh-CN"/>
        </w:rPr>
        <w:t>1.</w:t>
      </w:r>
      <w:r>
        <w:rPr>
          <w:rFonts w:hint="default" w:ascii="仿宋_GB2312" w:hAnsi="Calibri" w:eastAsia="仿宋_GB2312" w:cs="仿宋_GB2312"/>
          <w:b w:val="0"/>
          <w:bCs w:val="0"/>
          <w:sz w:val="32"/>
          <w:szCs w:val="32"/>
        </w:rPr>
        <w:t>领导重视，高位推动。为确保项目出实效，领导高度重视，亲自部署工作任务，不定期对项目进行督查、检查。</w:t>
      </w:r>
    </w:p>
    <w:p w14:paraId="4377151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仿宋_GB2312" w:hAnsi="Calibri" w:eastAsia="仿宋_GB2312" w:cs="仿宋_GB2312"/>
          <w:b w:val="0"/>
          <w:bCs w:val="0"/>
          <w:sz w:val="32"/>
          <w:szCs w:val="32"/>
          <w:lang w:val="en-US" w:eastAsia="zh-CN"/>
        </w:rPr>
        <w:t>2.</w:t>
      </w:r>
      <w:r>
        <w:rPr>
          <w:rFonts w:hint="default" w:ascii="仿宋_GB2312" w:hAnsi="Calibri" w:eastAsia="仿宋_GB2312" w:cs="仿宋_GB2312"/>
          <w:b w:val="0"/>
          <w:bCs w:val="0"/>
          <w:sz w:val="32"/>
          <w:szCs w:val="32"/>
        </w:rPr>
        <w:t>完善制度，规范流程。为了进一步提高项目的质量，更好地发挥的职能，以完善制度为抓手，结合工作实际，制定了工作要求，确保项目高效、高质量完成。</w:t>
      </w:r>
    </w:p>
    <w:p w14:paraId="6D9190B2">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fill="FFFFFF"/>
          <w:lang w:val="en-US" w:eastAsia="zh-CN" w:bidi="ar"/>
        </w:rPr>
      </w:pPr>
      <w:bookmarkStart w:id="18" w:name="_Toc6772"/>
      <w:bookmarkStart w:id="19" w:name="_Toc2597"/>
      <w:r>
        <w:rPr>
          <w:rFonts w:hint="eastAsia" w:ascii="楷体" w:hAnsi="楷体" w:eastAsia="楷体" w:cs="楷体"/>
          <w:b w:val="0"/>
          <w:bCs w:val="0"/>
          <w:i w:val="0"/>
          <w:iCs w:val="0"/>
          <w:caps w:val="0"/>
          <w:color w:val="000000"/>
          <w:spacing w:val="0"/>
          <w:kern w:val="0"/>
          <w:sz w:val="32"/>
          <w:szCs w:val="32"/>
          <w:shd w:val="clear" w:fill="FFFFFF"/>
          <w:lang w:val="en-US" w:eastAsia="zh-CN" w:bidi="ar"/>
        </w:rPr>
        <w:t>（二）存在的问题</w:t>
      </w:r>
      <w:bookmarkEnd w:id="18"/>
      <w:bookmarkEnd w:id="19"/>
    </w:p>
    <w:p w14:paraId="4AF6EF32">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firstLine="640" w:firstLineChars="200"/>
        <w:textAlignment w:val="auto"/>
        <w:outlineLvl w:val="1"/>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各相关股（室）对绩效评价工作的重要性认识有待进一步提高</w:t>
      </w:r>
      <w:r>
        <w:rPr>
          <w:rFonts w:hint="eastAsia" w:ascii="仿宋" w:hAnsi="仿宋" w:eastAsia="仿宋" w:cs="仿宋"/>
          <w:b w:val="0"/>
          <w:bCs w:val="0"/>
          <w:color w:val="auto"/>
          <w:sz w:val="32"/>
          <w:szCs w:val="32"/>
          <w:lang w:eastAsia="zh-CN"/>
        </w:rPr>
        <w:t>。</w:t>
      </w:r>
    </w:p>
    <w:p w14:paraId="1A086BA6">
      <w:pPr>
        <w:keepNext w:val="0"/>
        <w:keepLines w:val="0"/>
        <w:pageBreakBefore w:val="0"/>
        <w:widowControl w:val="0"/>
        <w:kinsoku/>
        <w:wordWrap/>
        <w:overflowPunct/>
        <w:topLinePunct w:val="0"/>
        <w:autoSpaceDE/>
        <w:autoSpaceDN/>
        <w:bidi w:val="0"/>
        <w:adjustRightInd/>
        <w:snapToGrid/>
        <w:spacing w:beforeAutospacing="0" w:line="590" w:lineRule="exact"/>
        <w:ind w:left="0" w:leftChars="0" w:firstLine="640" w:firstLineChars="200"/>
        <w:textAlignment w:val="auto"/>
        <w:outlineLvl w:val="1"/>
        <w:rPr>
          <w:rFonts w:hint="eastAsia" w:ascii="楷体" w:hAnsi="楷体" w:eastAsia="楷体" w:cs="楷体"/>
          <w:b w:val="0"/>
          <w:bCs w:val="0"/>
          <w:i w:val="0"/>
          <w:iCs w:val="0"/>
          <w:caps w:val="0"/>
          <w:color w:val="000000"/>
          <w:spacing w:val="0"/>
          <w:kern w:val="0"/>
          <w:sz w:val="32"/>
          <w:szCs w:val="32"/>
          <w:shd w:val="clear" w:fill="FFFFFF"/>
          <w:lang w:val="en-US" w:eastAsia="zh-CN" w:bidi="ar"/>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项目支出绩效评价指标体系不完善，给考核评价及评分工作带来一定的困难。</w:t>
      </w:r>
    </w:p>
    <w:p w14:paraId="30748D76">
      <w:pPr>
        <w:keepNext w:val="0"/>
        <w:keepLines w:val="0"/>
        <w:pageBreakBefore w:val="0"/>
        <w:widowControl w:val="0"/>
        <w:numPr>
          <w:ilvl w:val="0"/>
          <w:numId w:val="0"/>
        </w:numPr>
        <w:kinsoku/>
        <w:wordWrap/>
        <w:overflowPunct/>
        <w:topLinePunct w:val="0"/>
        <w:autoSpaceDE/>
        <w:autoSpaceDN/>
        <w:bidi w:val="0"/>
        <w:adjustRightInd/>
        <w:snapToGrid/>
        <w:spacing w:beforeAutospacing="0" w:line="590" w:lineRule="exact"/>
        <w:ind w:left="0" w:leftChars="0" w:firstLine="640" w:firstLineChars="200"/>
        <w:textAlignment w:val="auto"/>
        <w:outlineLvl w:val="1"/>
        <w:rPr>
          <w:rFonts w:hint="default" w:ascii="楷体" w:hAnsi="楷体" w:eastAsia="楷体" w:cs="楷体"/>
          <w:b w:val="0"/>
          <w:bCs w:val="0"/>
          <w:i w:val="0"/>
          <w:iCs w:val="0"/>
          <w:caps w:val="0"/>
          <w:color w:val="000000"/>
          <w:spacing w:val="0"/>
          <w:kern w:val="0"/>
          <w:sz w:val="32"/>
          <w:szCs w:val="32"/>
          <w:shd w:val="clear" w:fill="FFFFFF"/>
          <w:lang w:val="en-US" w:eastAsia="zh-CN" w:bidi="ar"/>
        </w:rPr>
      </w:pPr>
      <w:bookmarkStart w:id="20" w:name="_Toc29278"/>
      <w:bookmarkStart w:id="21" w:name="_Toc16271"/>
      <w:r>
        <w:rPr>
          <w:rFonts w:hint="eastAsia" w:ascii="楷体" w:hAnsi="楷体" w:eastAsia="楷体" w:cs="楷体"/>
          <w:b w:val="0"/>
          <w:bCs w:val="0"/>
          <w:i w:val="0"/>
          <w:iCs w:val="0"/>
          <w:caps w:val="0"/>
          <w:color w:val="000000"/>
          <w:spacing w:val="0"/>
          <w:kern w:val="0"/>
          <w:sz w:val="32"/>
          <w:szCs w:val="32"/>
          <w:shd w:val="clear" w:fill="FFFFFF"/>
          <w:lang w:val="en-US" w:eastAsia="zh-CN" w:bidi="ar"/>
        </w:rPr>
        <w:t>（三）有关建议</w:t>
      </w:r>
      <w:bookmarkEnd w:id="20"/>
      <w:bookmarkEnd w:id="21"/>
    </w:p>
    <w:p w14:paraId="3590FB5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技术方面提高监测的准确性和实时性，引入人工智能和大数据分析技术，对网络态势进行更精准的预测和预警。定期对应急指挥中心的工作效果进行评估，总结经验，及时调整工作策略和方法。</w:t>
      </w:r>
    </w:p>
    <w:p w14:paraId="6B4E0C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附件2-1</w:t>
      </w:r>
    </w:p>
    <w:p w14:paraId="337F81B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val="0"/>
        <w:spacing w:line="440" w:lineRule="atLeast"/>
        <w:ind w:left="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14:paraId="5EC7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80" w:type="dxa"/>
            <w:vAlign w:val="center"/>
          </w:tcPr>
          <w:p w14:paraId="1DE28E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14:paraId="74A1C5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71" w:type="dxa"/>
            <w:gridSpan w:val="8"/>
            <w:vAlign w:val="center"/>
          </w:tcPr>
          <w:p w14:paraId="71C405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应急指挥中心项目</w:t>
            </w:r>
            <w:r>
              <w:rPr>
                <w:rFonts w:hint="eastAsia" w:ascii="仿宋" w:hAnsi="仿宋" w:eastAsia="仿宋" w:cs="仿宋"/>
                <w:color w:val="000000"/>
                <w:kern w:val="0"/>
                <w:sz w:val="20"/>
                <w:szCs w:val="20"/>
              </w:rPr>
              <w:t>　</w:t>
            </w:r>
          </w:p>
        </w:tc>
      </w:tr>
      <w:tr w14:paraId="7158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14:paraId="1CD6A4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518" w:type="dxa"/>
            <w:gridSpan w:val="4"/>
            <w:vAlign w:val="center"/>
          </w:tcPr>
          <w:p w14:paraId="243BF7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中共北塔区委网络安全和信息化委员会办公室</w:t>
            </w:r>
            <w:r>
              <w:rPr>
                <w:rFonts w:hint="eastAsia" w:ascii="仿宋" w:hAnsi="仿宋" w:eastAsia="仿宋" w:cs="仿宋"/>
                <w:color w:val="000000"/>
                <w:kern w:val="0"/>
                <w:sz w:val="20"/>
                <w:szCs w:val="20"/>
              </w:rPr>
              <w:t>　</w:t>
            </w:r>
          </w:p>
        </w:tc>
        <w:tc>
          <w:tcPr>
            <w:tcW w:w="1134" w:type="dxa"/>
            <w:vAlign w:val="center"/>
          </w:tcPr>
          <w:p w14:paraId="364D4CF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3119" w:type="dxa"/>
            <w:gridSpan w:val="3"/>
            <w:vAlign w:val="center"/>
          </w:tcPr>
          <w:p w14:paraId="146F64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中共北塔区委网络安全和信息化委员会办公室</w:t>
            </w:r>
            <w:r>
              <w:rPr>
                <w:rFonts w:hint="eastAsia" w:ascii="仿宋" w:hAnsi="仿宋" w:eastAsia="仿宋" w:cs="仿宋"/>
                <w:color w:val="000000"/>
                <w:kern w:val="0"/>
                <w:sz w:val="20"/>
                <w:szCs w:val="20"/>
              </w:rPr>
              <w:t>　</w:t>
            </w:r>
          </w:p>
        </w:tc>
      </w:tr>
      <w:tr w14:paraId="5A98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22DE89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60" w:type="dxa"/>
            <w:gridSpan w:val="2"/>
            <w:vAlign w:val="center"/>
          </w:tcPr>
          <w:p w14:paraId="59DC25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49" w:type="dxa"/>
            <w:vAlign w:val="center"/>
          </w:tcPr>
          <w:p w14:paraId="519545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14:paraId="17D35B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209" w:type="dxa"/>
            <w:vAlign w:val="center"/>
          </w:tcPr>
          <w:p w14:paraId="5D1A78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14:paraId="5E2777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134" w:type="dxa"/>
            <w:vAlign w:val="center"/>
          </w:tcPr>
          <w:p w14:paraId="3B4A9B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2B4ED8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828" w:type="dxa"/>
            <w:vAlign w:val="center"/>
          </w:tcPr>
          <w:p w14:paraId="56654A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873" w:type="dxa"/>
            <w:vAlign w:val="center"/>
          </w:tcPr>
          <w:p w14:paraId="6CA9D3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418" w:type="dxa"/>
            <w:vAlign w:val="center"/>
          </w:tcPr>
          <w:p w14:paraId="271560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0004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F111B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36B1DA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149" w:type="dxa"/>
            <w:vAlign w:val="center"/>
          </w:tcPr>
          <w:p w14:paraId="126BB5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42</w:t>
            </w:r>
          </w:p>
        </w:tc>
        <w:tc>
          <w:tcPr>
            <w:tcW w:w="1209" w:type="dxa"/>
            <w:vAlign w:val="center"/>
          </w:tcPr>
          <w:p w14:paraId="6043CEA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37.44</w:t>
            </w:r>
          </w:p>
        </w:tc>
        <w:tc>
          <w:tcPr>
            <w:tcW w:w="1134" w:type="dxa"/>
            <w:vAlign w:val="center"/>
          </w:tcPr>
          <w:p w14:paraId="71BE94C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37.44</w:t>
            </w:r>
          </w:p>
        </w:tc>
        <w:tc>
          <w:tcPr>
            <w:tcW w:w="828" w:type="dxa"/>
            <w:vAlign w:val="center"/>
          </w:tcPr>
          <w:p w14:paraId="193E22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w:t>
            </w:r>
          </w:p>
        </w:tc>
        <w:tc>
          <w:tcPr>
            <w:tcW w:w="873" w:type="dxa"/>
            <w:vAlign w:val="center"/>
          </w:tcPr>
          <w:p w14:paraId="33AE0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418" w:type="dxa"/>
            <w:vAlign w:val="center"/>
          </w:tcPr>
          <w:p w14:paraId="7ED076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r>
      <w:tr w14:paraId="6C94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ABDFE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466071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149" w:type="dxa"/>
            <w:vAlign w:val="center"/>
          </w:tcPr>
          <w:p w14:paraId="506FF1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5D4855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9B1FD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FA304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2AA2A7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B148C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1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1F8177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143A3770">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149" w:type="dxa"/>
            <w:vAlign w:val="center"/>
          </w:tcPr>
          <w:p w14:paraId="34B33F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209" w:type="dxa"/>
            <w:vAlign w:val="center"/>
          </w:tcPr>
          <w:p w14:paraId="0F01F1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229B7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680410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5B87B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873B2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C7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4E0DB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2160" w:type="dxa"/>
            <w:gridSpan w:val="2"/>
            <w:vAlign w:val="center"/>
          </w:tcPr>
          <w:p w14:paraId="688120E9">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149" w:type="dxa"/>
            <w:vAlign w:val="center"/>
          </w:tcPr>
          <w:p w14:paraId="29446C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p>
        </w:tc>
        <w:tc>
          <w:tcPr>
            <w:tcW w:w="1209" w:type="dxa"/>
            <w:vAlign w:val="center"/>
          </w:tcPr>
          <w:p w14:paraId="0BF543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02E88D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5179F2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4B6E52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475A4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37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53B1F8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18" w:type="dxa"/>
            <w:gridSpan w:val="4"/>
            <w:vAlign w:val="center"/>
          </w:tcPr>
          <w:p w14:paraId="19D2B1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4253" w:type="dxa"/>
            <w:gridSpan w:val="4"/>
            <w:vAlign w:val="center"/>
          </w:tcPr>
          <w:p w14:paraId="4B04A9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3CA7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vAlign w:val="center"/>
          </w:tcPr>
          <w:p w14:paraId="2B4A1F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4518" w:type="dxa"/>
            <w:gridSpan w:val="4"/>
            <w:vAlign w:val="center"/>
          </w:tcPr>
          <w:p w14:paraId="29E1B0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确保全区网络安全应急管理和信息化服务，在涉及网络安全事件时迅速响应，保障国家和人民安全和利益　　</w:t>
            </w:r>
          </w:p>
        </w:tc>
        <w:tc>
          <w:tcPr>
            <w:tcW w:w="4253" w:type="dxa"/>
            <w:gridSpan w:val="4"/>
            <w:vAlign w:val="center"/>
          </w:tcPr>
          <w:p w14:paraId="30D88F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提高了全区人民群众网络安全防护意识，提升了网民文明素养</w:t>
            </w:r>
          </w:p>
        </w:tc>
      </w:tr>
      <w:tr w14:paraId="6AC3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561540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067265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95A34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09CDA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80" w:type="dxa"/>
            <w:vAlign w:val="center"/>
          </w:tcPr>
          <w:p w14:paraId="202430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80" w:type="dxa"/>
            <w:vAlign w:val="center"/>
          </w:tcPr>
          <w:p w14:paraId="1FC3E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149" w:type="dxa"/>
            <w:vAlign w:val="center"/>
          </w:tcPr>
          <w:p w14:paraId="368CAE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9" w:type="dxa"/>
            <w:vAlign w:val="center"/>
          </w:tcPr>
          <w:p w14:paraId="4B6A9F2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EFC0B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5E4EFB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00CE03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828" w:type="dxa"/>
            <w:vAlign w:val="center"/>
          </w:tcPr>
          <w:p w14:paraId="1725A3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73" w:type="dxa"/>
            <w:vAlign w:val="center"/>
          </w:tcPr>
          <w:p w14:paraId="15D881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418" w:type="dxa"/>
            <w:vAlign w:val="center"/>
          </w:tcPr>
          <w:p w14:paraId="7BF02FD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1D90A8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09CA59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B3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D4ABA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2CAB88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D7C21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r>
              <w:rPr>
                <w:rFonts w:hint="eastAsia" w:ascii="仿宋" w:hAnsi="仿宋" w:eastAsia="仿宋" w:cs="仿宋"/>
                <w:color w:val="000000"/>
                <w:kern w:val="0"/>
                <w:sz w:val="20"/>
                <w:szCs w:val="20"/>
                <w:lang w:eastAsia="zh-CN"/>
              </w:rPr>
              <w:t>）</w:t>
            </w:r>
          </w:p>
        </w:tc>
        <w:tc>
          <w:tcPr>
            <w:tcW w:w="1080" w:type="dxa"/>
            <w:vMerge w:val="restart"/>
            <w:vAlign w:val="center"/>
          </w:tcPr>
          <w:p w14:paraId="7E0813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149" w:type="dxa"/>
            <w:vAlign w:val="center"/>
          </w:tcPr>
          <w:p w14:paraId="158F9B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向上级报送信息数量</w:t>
            </w:r>
          </w:p>
        </w:tc>
        <w:tc>
          <w:tcPr>
            <w:tcW w:w="1209" w:type="dxa"/>
            <w:vAlign w:val="center"/>
          </w:tcPr>
          <w:p w14:paraId="1B53E4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按相关标准执行</w:t>
            </w:r>
          </w:p>
        </w:tc>
        <w:tc>
          <w:tcPr>
            <w:tcW w:w="1134" w:type="dxa"/>
            <w:vAlign w:val="center"/>
          </w:tcPr>
          <w:p w14:paraId="1A3532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达标</w:t>
            </w:r>
          </w:p>
        </w:tc>
        <w:tc>
          <w:tcPr>
            <w:tcW w:w="828" w:type="dxa"/>
            <w:vAlign w:val="center"/>
          </w:tcPr>
          <w:p w14:paraId="268916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vAlign w:val="center"/>
          </w:tcPr>
          <w:p w14:paraId="1D20BC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1418" w:type="dxa"/>
            <w:vAlign w:val="center"/>
          </w:tcPr>
          <w:p w14:paraId="1E3B68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8E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48544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482B8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AF7DD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459A1A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信息编报量</w:t>
            </w:r>
          </w:p>
        </w:tc>
        <w:tc>
          <w:tcPr>
            <w:tcW w:w="1209" w:type="dxa"/>
            <w:vAlign w:val="center"/>
          </w:tcPr>
          <w:p w14:paraId="0E986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按相关标准执行</w:t>
            </w:r>
          </w:p>
        </w:tc>
        <w:tc>
          <w:tcPr>
            <w:tcW w:w="1134" w:type="dxa"/>
            <w:vAlign w:val="center"/>
          </w:tcPr>
          <w:p w14:paraId="0421C9F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达标</w:t>
            </w:r>
          </w:p>
        </w:tc>
        <w:tc>
          <w:tcPr>
            <w:tcW w:w="828" w:type="dxa"/>
            <w:vAlign w:val="center"/>
          </w:tcPr>
          <w:p w14:paraId="3CC4B4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873" w:type="dxa"/>
            <w:vAlign w:val="center"/>
          </w:tcPr>
          <w:p w14:paraId="1C7D7E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418" w:type="dxa"/>
            <w:vAlign w:val="center"/>
          </w:tcPr>
          <w:p w14:paraId="44268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838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63204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306C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7F8361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149" w:type="dxa"/>
            <w:vAlign w:val="center"/>
          </w:tcPr>
          <w:p w14:paraId="2460A3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落实指令</w:t>
            </w:r>
          </w:p>
        </w:tc>
        <w:tc>
          <w:tcPr>
            <w:tcW w:w="1209" w:type="dxa"/>
            <w:vAlign w:val="center"/>
          </w:tcPr>
          <w:p w14:paraId="5BDB6E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134" w:type="dxa"/>
            <w:vAlign w:val="center"/>
          </w:tcPr>
          <w:p w14:paraId="451AF5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828" w:type="dxa"/>
            <w:vAlign w:val="center"/>
          </w:tcPr>
          <w:p w14:paraId="6AC939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873" w:type="dxa"/>
            <w:vAlign w:val="center"/>
          </w:tcPr>
          <w:p w14:paraId="7FA2D0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418" w:type="dxa"/>
            <w:vAlign w:val="center"/>
          </w:tcPr>
          <w:p w14:paraId="7939EFD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4B6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F4953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FB344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4832C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784CC5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应急响应落实率</w:t>
            </w:r>
          </w:p>
        </w:tc>
        <w:tc>
          <w:tcPr>
            <w:tcW w:w="1209" w:type="dxa"/>
            <w:vAlign w:val="center"/>
          </w:tcPr>
          <w:p w14:paraId="234B05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vAlign w:val="center"/>
          </w:tcPr>
          <w:p w14:paraId="5C7A87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828" w:type="dxa"/>
            <w:vAlign w:val="center"/>
          </w:tcPr>
          <w:p w14:paraId="48837CD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73" w:type="dxa"/>
            <w:vAlign w:val="center"/>
          </w:tcPr>
          <w:p w14:paraId="340699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14:paraId="2D0C8F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7B1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735F2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55879C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29ADC34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149" w:type="dxa"/>
            <w:vAlign w:val="center"/>
          </w:tcPr>
          <w:p w14:paraId="038E21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在岗值班情况</w:t>
            </w:r>
          </w:p>
        </w:tc>
        <w:tc>
          <w:tcPr>
            <w:tcW w:w="1209" w:type="dxa"/>
            <w:vAlign w:val="center"/>
          </w:tcPr>
          <w:p w14:paraId="259557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7*24小时</w:t>
            </w:r>
          </w:p>
        </w:tc>
        <w:tc>
          <w:tcPr>
            <w:tcW w:w="1134" w:type="dxa"/>
            <w:vAlign w:val="center"/>
          </w:tcPr>
          <w:p w14:paraId="5CBEF2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7*24小时</w:t>
            </w:r>
          </w:p>
        </w:tc>
        <w:tc>
          <w:tcPr>
            <w:tcW w:w="828" w:type="dxa"/>
            <w:vAlign w:val="center"/>
          </w:tcPr>
          <w:p w14:paraId="77C56DE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14:paraId="2C8894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14:paraId="1A58E5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7E6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31C61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5964A2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31EE79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0B53DD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7B3E8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3B08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48419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5AF1D2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F133F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4A5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E873A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709A98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31806F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149" w:type="dxa"/>
            <w:vAlign w:val="center"/>
          </w:tcPr>
          <w:p w14:paraId="45154A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项目总成本</w:t>
            </w:r>
          </w:p>
        </w:tc>
        <w:tc>
          <w:tcPr>
            <w:tcW w:w="1209" w:type="dxa"/>
            <w:vAlign w:val="center"/>
          </w:tcPr>
          <w:p w14:paraId="348C9B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控制在合理范围内</w:t>
            </w:r>
          </w:p>
        </w:tc>
        <w:tc>
          <w:tcPr>
            <w:tcW w:w="1134" w:type="dxa"/>
            <w:vAlign w:val="center"/>
          </w:tcPr>
          <w:p w14:paraId="324105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≤42万</w:t>
            </w:r>
          </w:p>
        </w:tc>
        <w:tc>
          <w:tcPr>
            <w:tcW w:w="828" w:type="dxa"/>
            <w:vAlign w:val="center"/>
          </w:tcPr>
          <w:p w14:paraId="0D1FE2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14:paraId="408CC5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14:paraId="0C23C5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82B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AA22E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F68CB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B43367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63F2D4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77D5AD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5E85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636B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1C9C6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3DEBE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981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B9245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3C11D8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7CB46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80" w:type="dxa"/>
            <w:vMerge w:val="restart"/>
            <w:vAlign w:val="center"/>
          </w:tcPr>
          <w:p w14:paraId="7DEC9C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251100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429439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1165AF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3217FA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F4089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6867F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5A9D9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44D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64457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D1A06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5011E2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474C64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3C53C1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445DE9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5ADBED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06811B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38DA9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A68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47AC4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6E0CD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0B1804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51D758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15E8CC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网络安全整改反馈率</w:t>
            </w:r>
          </w:p>
        </w:tc>
        <w:tc>
          <w:tcPr>
            <w:tcW w:w="1209" w:type="dxa"/>
            <w:vAlign w:val="center"/>
          </w:tcPr>
          <w:p w14:paraId="2FA7CC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1134" w:type="dxa"/>
            <w:vAlign w:val="center"/>
          </w:tcPr>
          <w:p w14:paraId="15C713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90</w:t>
            </w:r>
          </w:p>
        </w:tc>
        <w:tc>
          <w:tcPr>
            <w:tcW w:w="828" w:type="dxa"/>
            <w:vAlign w:val="center"/>
          </w:tcPr>
          <w:p w14:paraId="4962AA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vAlign w:val="center"/>
          </w:tcPr>
          <w:p w14:paraId="0164DE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14</w:t>
            </w:r>
          </w:p>
        </w:tc>
        <w:tc>
          <w:tcPr>
            <w:tcW w:w="1418" w:type="dxa"/>
            <w:vAlign w:val="center"/>
          </w:tcPr>
          <w:p w14:paraId="3DC7AE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4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8E841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11C14D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024C8E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149" w:type="dxa"/>
            <w:vAlign w:val="center"/>
          </w:tcPr>
          <w:p w14:paraId="748963F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2C8C5C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17F463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617AD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E9DA3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468187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5C1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D34D6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EC53D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38B26E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F4FA0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149" w:type="dxa"/>
            <w:vAlign w:val="center"/>
          </w:tcPr>
          <w:p w14:paraId="7B1058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209" w:type="dxa"/>
            <w:vAlign w:val="center"/>
          </w:tcPr>
          <w:p w14:paraId="3EF531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6585BA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041F2A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97408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1AC73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3C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537A9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7A5560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6428D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6EDB9F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451B3A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2E3D63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25A1DB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2DCC9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23E0F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E80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08D50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p>
        </w:tc>
        <w:tc>
          <w:tcPr>
            <w:tcW w:w="1080" w:type="dxa"/>
            <w:vMerge w:val="continue"/>
            <w:vAlign w:val="center"/>
          </w:tcPr>
          <w:p w14:paraId="381D2E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78F49C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149" w:type="dxa"/>
            <w:vAlign w:val="center"/>
          </w:tcPr>
          <w:p w14:paraId="69DB59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对应急指挥中心产生的正面影响</w:t>
            </w:r>
          </w:p>
        </w:tc>
        <w:tc>
          <w:tcPr>
            <w:tcW w:w="1209" w:type="dxa"/>
            <w:vAlign w:val="center"/>
          </w:tcPr>
          <w:p w14:paraId="4CE4E4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效果显著</w:t>
            </w:r>
          </w:p>
        </w:tc>
        <w:tc>
          <w:tcPr>
            <w:tcW w:w="1134" w:type="dxa"/>
            <w:vAlign w:val="center"/>
          </w:tcPr>
          <w:p w14:paraId="415239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效果显著</w:t>
            </w:r>
          </w:p>
        </w:tc>
        <w:tc>
          <w:tcPr>
            <w:tcW w:w="828" w:type="dxa"/>
            <w:vAlign w:val="center"/>
          </w:tcPr>
          <w:p w14:paraId="139DFC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15</w:t>
            </w:r>
          </w:p>
        </w:tc>
        <w:tc>
          <w:tcPr>
            <w:tcW w:w="873" w:type="dxa"/>
            <w:vAlign w:val="center"/>
          </w:tcPr>
          <w:p w14:paraId="6A4B47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14</w:t>
            </w:r>
          </w:p>
        </w:tc>
        <w:tc>
          <w:tcPr>
            <w:tcW w:w="1418" w:type="dxa"/>
            <w:vAlign w:val="center"/>
          </w:tcPr>
          <w:p w14:paraId="3F5174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E0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54736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2B612E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136843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24BDF6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25C9D5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7631DBC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4DB30C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1449662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6DABE5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EF4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E6898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restart"/>
            <w:vAlign w:val="center"/>
          </w:tcPr>
          <w:p w14:paraId="723277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8DAAB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5509A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80" w:type="dxa"/>
            <w:vMerge w:val="restart"/>
            <w:vAlign w:val="center"/>
          </w:tcPr>
          <w:p w14:paraId="480CCA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149" w:type="dxa"/>
            <w:vAlign w:val="center"/>
          </w:tcPr>
          <w:p w14:paraId="254BBA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社会群众满意 度</w:t>
            </w:r>
          </w:p>
        </w:tc>
        <w:tc>
          <w:tcPr>
            <w:tcW w:w="1209" w:type="dxa"/>
            <w:vAlign w:val="center"/>
          </w:tcPr>
          <w:p w14:paraId="1DB8B8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1134" w:type="dxa"/>
            <w:vAlign w:val="center"/>
          </w:tcPr>
          <w:p w14:paraId="063EF3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95</w:t>
            </w:r>
          </w:p>
        </w:tc>
        <w:tc>
          <w:tcPr>
            <w:tcW w:w="828" w:type="dxa"/>
            <w:vAlign w:val="center"/>
          </w:tcPr>
          <w:p w14:paraId="651D4A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873" w:type="dxa"/>
            <w:vAlign w:val="center"/>
          </w:tcPr>
          <w:p w14:paraId="500EED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1418" w:type="dxa"/>
            <w:vAlign w:val="center"/>
          </w:tcPr>
          <w:p w14:paraId="471C35F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0D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14D71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62727A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080" w:type="dxa"/>
            <w:vMerge w:val="continue"/>
            <w:vAlign w:val="center"/>
          </w:tcPr>
          <w:p w14:paraId="4C674B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p>
        </w:tc>
        <w:tc>
          <w:tcPr>
            <w:tcW w:w="1149" w:type="dxa"/>
            <w:vAlign w:val="center"/>
          </w:tcPr>
          <w:p w14:paraId="18194F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9" w:type="dxa"/>
            <w:vAlign w:val="center"/>
          </w:tcPr>
          <w:p w14:paraId="18CD3B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6FAAC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28" w:type="dxa"/>
            <w:vAlign w:val="center"/>
          </w:tcPr>
          <w:p w14:paraId="77F7B6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73" w:type="dxa"/>
            <w:vAlign w:val="center"/>
          </w:tcPr>
          <w:p w14:paraId="68B8994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18" w:type="dxa"/>
            <w:vAlign w:val="center"/>
          </w:tcPr>
          <w:p w14:paraId="5EF2EB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C3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14:paraId="0D901E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828" w:type="dxa"/>
            <w:vAlign w:val="center"/>
          </w:tcPr>
          <w:p w14:paraId="7C76A90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73" w:type="dxa"/>
            <w:vAlign w:val="center"/>
          </w:tcPr>
          <w:p w14:paraId="25E85C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418" w:type="dxa"/>
            <w:vAlign w:val="center"/>
          </w:tcPr>
          <w:p w14:paraId="6C8780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4550BD6F">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夏红辉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2024年7月30日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13786933711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7F111E-B04B-4DEF-B7A8-67083E221F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5C3291-95EB-4987-8AFC-6DE8E38A8AA4}"/>
  </w:font>
  <w:font w:name="Calibri Light">
    <w:panose1 w:val="020F0302020204030204"/>
    <w:charset w:val="00"/>
    <w:family w:val="auto"/>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3" w:fontKey="{C572405D-993A-41FE-B3D9-7BC1286A0587}"/>
  </w:font>
  <w:font w:name="楷体">
    <w:panose1 w:val="02010609060101010101"/>
    <w:charset w:val="86"/>
    <w:family w:val="auto"/>
    <w:pitch w:val="default"/>
    <w:sig w:usb0="800002BF" w:usb1="38CF7CFA" w:usb2="00000016" w:usb3="00000000" w:csb0="00040001" w:csb1="00000000"/>
    <w:embedRegular r:id="rId4" w:fontKey="{812F2AE8-1919-4F16-9673-CE9B1CEBCCDD}"/>
  </w:font>
  <w:font w:name="仿宋">
    <w:panose1 w:val="02010609060101010101"/>
    <w:charset w:val="86"/>
    <w:family w:val="auto"/>
    <w:pitch w:val="default"/>
    <w:sig w:usb0="800002BF" w:usb1="38CF7CFA" w:usb2="00000016" w:usb3="00000000" w:csb0="00040001" w:csb1="00000000"/>
    <w:embedRegular r:id="rId5" w:fontKey="{92E99CBD-25DB-465C-B507-7F31D75FE7A4}"/>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6" w:fontKey="{63A4F3AE-4488-4128-AB20-0242CEE13F5D}"/>
  </w:font>
  <w:font w:name="华文仿宋">
    <w:altName w:val="仿宋"/>
    <w:panose1 w:val="00000000000000000000"/>
    <w:charset w:val="00"/>
    <w:family w:val="auto"/>
    <w:pitch w:val="default"/>
    <w:sig w:usb0="00000000" w:usb1="00000000" w:usb2="00000000" w:usb3="00000000" w:csb0="00000000" w:csb1="00000000"/>
    <w:embedRegular r:id="rId7" w:fontKey="{0A247890-B9AE-4D2F-96CF-6F3634A6F3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A43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5BA01">
                          <w:pPr>
                            <w:pStyle w:val="4"/>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E5BA01">
                    <w:pPr>
                      <w:pStyle w:val="4"/>
                      <w:rPr>
                        <w:rFonts w:hint="eastAsia" w:ascii="仿宋" w:hAnsi="仿宋" w:eastAsia="仿宋" w:cs="仿宋"/>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DM5NDllMmFkNTY4YmUxNmI0NDZjN2ZmZmMyYTcifQ=="/>
    <w:docVar w:name="KSO_WPS_MARK_KEY" w:val="9920a277-c0c3-43b4-93d3-1636fe398e0b"/>
  </w:docVars>
  <w:rsids>
    <w:rsidRoot w:val="753C4E9B"/>
    <w:rsid w:val="045969FC"/>
    <w:rsid w:val="05044156"/>
    <w:rsid w:val="05E95AA6"/>
    <w:rsid w:val="06CE448B"/>
    <w:rsid w:val="0B5C070F"/>
    <w:rsid w:val="0C4447D8"/>
    <w:rsid w:val="0D276746"/>
    <w:rsid w:val="0D464D9C"/>
    <w:rsid w:val="0E8473BC"/>
    <w:rsid w:val="0E956870"/>
    <w:rsid w:val="11535CDA"/>
    <w:rsid w:val="1223366A"/>
    <w:rsid w:val="125F245C"/>
    <w:rsid w:val="13C41244"/>
    <w:rsid w:val="143877FD"/>
    <w:rsid w:val="18710338"/>
    <w:rsid w:val="19E805B2"/>
    <w:rsid w:val="1E580377"/>
    <w:rsid w:val="24382E25"/>
    <w:rsid w:val="24F04A86"/>
    <w:rsid w:val="2556149D"/>
    <w:rsid w:val="277E6F02"/>
    <w:rsid w:val="279938C3"/>
    <w:rsid w:val="282C3833"/>
    <w:rsid w:val="29990575"/>
    <w:rsid w:val="2CCC0B2A"/>
    <w:rsid w:val="2EF95E9D"/>
    <w:rsid w:val="30AD583A"/>
    <w:rsid w:val="312A2265"/>
    <w:rsid w:val="33481151"/>
    <w:rsid w:val="34B9743A"/>
    <w:rsid w:val="35BC70FA"/>
    <w:rsid w:val="36BA60D1"/>
    <w:rsid w:val="36FC0F5D"/>
    <w:rsid w:val="375773F8"/>
    <w:rsid w:val="39EA56E2"/>
    <w:rsid w:val="3DB73386"/>
    <w:rsid w:val="40CF7DDA"/>
    <w:rsid w:val="417F099B"/>
    <w:rsid w:val="419B2857"/>
    <w:rsid w:val="42964F95"/>
    <w:rsid w:val="44CB20E7"/>
    <w:rsid w:val="46386C71"/>
    <w:rsid w:val="475E44B5"/>
    <w:rsid w:val="4B511380"/>
    <w:rsid w:val="4CA108F0"/>
    <w:rsid w:val="501E17BC"/>
    <w:rsid w:val="50880609"/>
    <w:rsid w:val="50F11EF6"/>
    <w:rsid w:val="51B8532E"/>
    <w:rsid w:val="53CE651E"/>
    <w:rsid w:val="54FF1030"/>
    <w:rsid w:val="552A0475"/>
    <w:rsid w:val="574A08F0"/>
    <w:rsid w:val="5A5915AC"/>
    <w:rsid w:val="5C8A43A3"/>
    <w:rsid w:val="5CE72572"/>
    <w:rsid w:val="5EC56770"/>
    <w:rsid w:val="605C11E6"/>
    <w:rsid w:val="63696E29"/>
    <w:rsid w:val="63E05AAE"/>
    <w:rsid w:val="64D67BCA"/>
    <w:rsid w:val="65CF01C3"/>
    <w:rsid w:val="65D250A2"/>
    <w:rsid w:val="66B12642"/>
    <w:rsid w:val="67194E7F"/>
    <w:rsid w:val="68044A1F"/>
    <w:rsid w:val="6A0A70D1"/>
    <w:rsid w:val="6A12486A"/>
    <w:rsid w:val="6ADC556D"/>
    <w:rsid w:val="6F041776"/>
    <w:rsid w:val="6F975F07"/>
    <w:rsid w:val="734A4F39"/>
    <w:rsid w:val="753C4E9B"/>
    <w:rsid w:val="75EB5092"/>
    <w:rsid w:val="781113A7"/>
    <w:rsid w:val="791E6510"/>
    <w:rsid w:val="7C0305C4"/>
    <w:rsid w:val="7C8D4A41"/>
    <w:rsid w:val="7CEB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spacing w:beforeLines="0" w:afterLines="0"/>
      <w:ind w:firstLine="420"/>
    </w:pPr>
    <w:rPr>
      <w:rFonts w:hint="default"/>
      <w:sz w:val="32"/>
    </w:rPr>
  </w:style>
  <w:style w:type="character" w:styleId="10">
    <w:name w:val="Strong"/>
    <w:basedOn w:val="9"/>
    <w:qFormat/>
    <w:uiPriority w:val="0"/>
    <w:rPr>
      <w:b/>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5769</Words>
  <Characters>6234</Characters>
  <Lines>0</Lines>
  <Paragraphs>0</Paragraphs>
  <TotalTime>5</TotalTime>
  <ScaleCrop>false</ScaleCrop>
  <LinksUpToDate>false</LinksUpToDate>
  <CharactersWithSpaces>6654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2024-04-04T04:38:00Z</cp:lastPrinted>
  <dcterms:modified xsi:type="dcterms:W3CDTF">2024-09-20T03:39:28Z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453090B9CB9C4C69849FBE6651C41988_13</vt:lpwstr>
  </property>
</Properties>
</file>