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center"/>
        <w:rPr>
          <w:rFonts w:hint="eastAsia" w:eastAsia="宋体"/>
          <w:lang w:eastAsia="zh-CN"/>
        </w:rPr>
      </w:pPr>
      <w:bookmarkStart w:id="1" w:name="_GoBack"/>
      <w:bookmarkEnd w:id="1"/>
      <w:r>
        <w:rPr>
          <w:rFonts w:hint="eastAsia" w:ascii="宋体" w:hAnsi="宋体" w:eastAsia="宋体" w:cs="宋体"/>
          <w:b/>
          <w:bCs/>
          <w:color w:val="444444"/>
          <w:sz w:val="28"/>
          <w:szCs w:val="28"/>
          <w:shd w:val="clear" w:fill="FFFFFF"/>
          <w:lang w:eastAsia="zh-CN"/>
        </w:rPr>
        <w:t>田江街道办事处</w:t>
      </w:r>
      <w:r>
        <w:rPr>
          <w:rFonts w:hint="default" w:ascii="Times New Roman" w:hAnsi="Times New Roman" w:eastAsia="微软雅黑" w:cs="Times New Roman"/>
          <w:b/>
          <w:bCs/>
          <w:color w:val="444444"/>
          <w:sz w:val="28"/>
          <w:szCs w:val="28"/>
          <w:shd w:val="clear" w:fill="FFFFFF"/>
        </w:rPr>
        <w:t>2021</w:t>
      </w:r>
      <w:r>
        <w:rPr>
          <w:rFonts w:hint="eastAsia" w:ascii="宋体" w:hAnsi="宋体" w:eastAsia="宋体" w:cs="宋体"/>
          <w:b/>
          <w:bCs/>
          <w:color w:val="444444"/>
          <w:sz w:val="28"/>
          <w:szCs w:val="28"/>
          <w:shd w:val="clear" w:fill="FFFFFF"/>
        </w:rPr>
        <w:t>年度部门整体支出绩效评价报告</w:t>
      </w:r>
    </w:p>
    <w:p>
      <w:pPr>
        <w:bidi w:val="0"/>
        <w:ind w:firstLine="960" w:firstLineChars="300"/>
        <w:rPr>
          <w:rFonts w:hint="eastAsia" w:ascii="仿宋" w:hAnsi="仿宋" w:eastAsia="仿宋" w:cs="仿宋"/>
          <w:sz w:val="32"/>
          <w:szCs w:val="32"/>
        </w:rPr>
      </w:pPr>
      <w:r>
        <w:rPr>
          <w:rFonts w:hint="eastAsia" w:ascii="仿宋" w:hAnsi="仿宋" w:eastAsia="仿宋" w:cs="仿宋"/>
          <w:sz w:val="32"/>
          <w:szCs w:val="32"/>
        </w:rPr>
        <w:t>一、部门概况</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rPr>
        <w:t>（一）基本情况。</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邵阳市北塔区田江街道办事处是北塔区人民政府派出机构，为正科级，由区人民政府统一领导和管理。</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主要职能。</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rPr>
        <w:t>（1）贯彻执行国家法律、法规、规章和市、区人民政府的决定、命令、指示，完成市、区人民政府部署的各项任务；</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rPr>
        <w:t>（2）负责居民区、街巷的环境卫生和绿化美化的管理工作，组织辖区单位和居民开展爱国卫生运动，落实门前五包责任制；</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rPr>
        <w:t>（3）组织和监督对违法建筑、违法占用道路、无照经营以及违反市容环境卫生、绿化管理规定行为的查处工作；</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rPr>
        <w:t>（4）配合市、区环境保护部门监督环境污染项目的治理；</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rPr>
        <w:t>（5）协同建设主管部门监督施工单位依法施工，防治施工扬尘、扰民；配合建设单位、施工单位做好居民工作，维护施工秩序；</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rPr>
        <w:t>（6）对居住小区的物业管理进行指导和监督检查；</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rPr>
        <w:t>（7）组织辖区单位和居民开展多种形式的社会主义精神文明创建活动；</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rPr>
        <w:t>（8）制定本辖区社会治安综合治理规划，并组织落实；</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rPr>
        <w:t>（9）负责本辖区外来人口的综合管理和地区交通安全工作；</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rPr>
        <w:t>（10）负责计划生育、统计、红十字会、信访、人民调解工作；协调有关部门做好劳动就业工作；</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rPr>
        <w:t>（11）负责本辖区拥军优属、民兵预备役、征兵、人民防空等工作；</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rPr>
        <w:t>（12）维护老年人、妇女、未成年人和残疾人的合法权益；</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rPr>
        <w:t>（13）制定社区建设、社区服务发展规划，发展社区服务设施，合理配置社区服务资源；</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rPr>
        <w:t>（14）组建社区服务志愿者队伍，动员本辖区单位和居民兴办社区服务事业；</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rPr>
        <w:t>（15）兴办社会福利事业，做好社会救助、社会保险等社会保障工作；</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rPr>
        <w:t>（16）指导社区居委会工作，及时向上级政府反映居民的意见和要求；</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rPr>
        <w:t>（17）对居民进行法制和社会公德教育，组织居民参与社区环境整治等社会公益活动；</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rPr>
        <w:t>（18）组织开展群众文化、体育活动和社区教育、卫生工作，普及科学常识；</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rPr>
        <w:t>（19）承办区委、区政府交办的其他任务。</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rPr>
        <w:t>2.机构情况。</w:t>
      </w:r>
    </w:p>
    <w:p>
      <w:pPr>
        <w:bidi w:val="0"/>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我街道根据编委核定，下设6个内设机构、1个综合行政执法大队、3个直属事业单位</w:t>
      </w:r>
      <w:r>
        <w:rPr>
          <w:rFonts w:hint="eastAsia" w:ascii="仿宋" w:hAnsi="仿宋" w:eastAsia="仿宋" w:cs="仿宋"/>
          <w:sz w:val="32"/>
          <w:szCs w:val="32"/>
          <w:lang w:eastAsia="zh-CN"/>
        </w:rPr>
        <w:t>。</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rPr>
        <w:t>下设6个内设机构：党政综合办公室、基层党建办公室、经济发展办公室（挂农业农村工作办公室牌子）、社会事务办公室（挂行政审批服务办公室牌子）、社会治安和应急管理办公室、自然资源和生态环境办公室。下设1个执法机构为：综合行政执法大队。下设3 个直属事业单位为：1、社会事务综合服务中心（挂文化综合服务站牌子）、农业综合服务中心、政务（便民）服务中心。</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街道</w:t>
      </w:r>
      <w:r>
        <w:rPr>
          <w:rFonts w:hint="eastAsia" w:ascii="仿宋" w:hAnsi="仿宋" w:eastAsia="仿宋" w:cs="仿宋"/>
          <w:sz w:val="32"/>
          <w:szCs w:val="32"/>
        </w:rPr>
        <w:t>编制人数4</w:t>
      </w:r>
      <w:r>
        <w:rPr>
          <w:rFonts w:hint="eastAsia" w:ascii="仿宋" w:hAnsi="仿宋" w:eastAsia="仿宋" w:cs="仿宋"/>
          <w:sz w:val="32"/>
          <w:szCs w:val="32"/>
          <w:lang w:val="en-US" w:eastAsia="zh-CN"/>
        </w:rPr>
        <w:t>7</w:t>
      </w:r>
      <w:r>
        <w:rPr>
          <w:rFonts w:hint="eastAsia" w:ascii="仿宋" w:hAnsi="仿宋" w:eastAsia="仿宋" w:cs="仿宋"/>
          <w:sz w:val="32"/>
          <w:szCs w:val="32"/>
        </w:rPr>
        <w:t>人，实际人数</w:t>
      </w:r>
      <w:r>
        <w:rPr>
          <w:rFonts w:hint="eastAsia" w:ascii="仿宋" w:hAnsi="仿宋" w:eastAsia="仿宋" w:cs="仿宋"/>
          <w:sz w:val="32"/>
          <w:szCs w:val="32"/>
          <w:lang w:val="en-US" w:eastAsia="zh-CN"/>
        </w:rPr>
        <w:t>62</w:t>
      </w:r>
      <w:r>
        <w:rPr>
          <w:rFonts w:hint="eastAsia" w:ascii="仿宋" w:hAnsi="仿宋" w:eastAsia="仿宋" w:cs="仿宋"/>
          <w:sz w:val="32"/>
          <w:szCs w:val="32"/>
        </w:rPr>
        <w:t>人，离退休11人</w:t>
      </w:r>
      <w:r>
        <w:rPr>
          <w:rFonts w:hint="eastAsia" w:ascii="仿宋" w:hAnsi="仿宋" w:eastAsia="仿宋" w:cs="仿宋"/>
          <w:sz w:val="32"/>
          <w:szCs w:val="32"/>
          <w:lang w:eastAsia="zh-CN"/>
        </w:rPr>
        <w:t>。</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rPr>
        <w:t>二、部门整体支出管理及使用情况</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rPr>
        <w:t>（一）基本支出</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rPr>
        <w:t>基本支出系保障</w:t>
      </w:r>
      <w:r>
        <w:rPr>
          <w:rFonts w:hint="eastAsia" w:ascii="仿宋" w:hAnsi="仿宋" w:eastAsia="仿宋" w:cs="仿宋"/>
          <w:sz w:val="32"/>
          <w:szCs w:val="32"/>
          <w:lang w:eastAsia="zh-CN"/>
        </w:rPr>
        <w:t>我街道</w:t>
      </w:r>
      <w:r>
        <w:rPr>
          <w:rFonts w:hint="eastAsia" w:ascii="仿宋" w:hAnsi="仿宋" w:eastAsia="仿宋" w:cs="仿宋"/>
          <w:sz w:val="32"/>
          <w:szCs w:val="32"/>
        </w:rPr>
        <w:t>机构正常运转、完成日常工作任务而发生的人员支出和公用支出，包括用于在职和离退休人员基本工资、津贴补贴等人员经费以及办公费、印刷费、水电费、办公设备购置等日常公用经费。2021年</w:t>
      </w:r>
      <w:r>
        <w:rPr>
          <w:rFonts w:hint="eastAsia" w:ascii="仿宋" w:hAnsi="仿宋" w:eastAsia="仿宋" w:cs="仿宋"/>
          <w:sz w:val="32"/>
          <w:szCs w:val="32"/>
          <w:lang w:eastAsia="zh-CN"/>
        </w:rPr>
        <w:t>我街道</w:t>
      </w:r>
      <w:r>
        <w:rPr>
          <w:rFonts w:hint="eastAsia" w:ascii="仿宋" w:hAnsi="仿宋" w:eastAsia="仿宋" w:cs="仿宋"/>
          <w:sz w:val="32"/>
          <w:szCs w:val="32"/>
        </w:rPr>
        <w:t>基本支出</w:t>
      </w:r>
      <w:r>
        <w:rPr>
          <w:rFonts w:hint="eastAsia" w:ascii="仿宋" w:hAnsi="仿宋" w:eastAsia="仿宋" w:cs="仿宋"/>
          <w:sz w:val="32"/>
          <w:szCs w:val="32"/>
          <w:lang w:val="en-US" w:eastAsia="zh-CN"/>
        </w:rPr>
        <w:t>4108.06</w:t>
      </w:r>
      <w:r>
        <w:rPr>
          <w:rFonts w:hint="eastAsia" w:ascii="仿宋" w:hAnsi="仿宋" w:eastAsia="仿宋" w:cs="仿宋"/>
          <w:sz w:val="32"/>
          <w:szCs w:val="32"/>
        </w:rPr>
        <w:t>万元，比上年同口径增加</w:t>
      </w:r>
      <w:r>
        <w:rPr>
          <w:rFonts w:hint="eastAsia" w:ascii="仿宋" w:hAnsi="仿宋" w:eastAsia="仿宋" w:cs="仿宋"/>
          <w:sz w:val="32"/>
          <w:szCs w:val="32"/>
          <w:lang w:val="en-US" w:eastAsia="zh-CN"/>
        </w:rPr>
        <w:t>966.9</w:t>
      </w:r>
      <w:r>
        <w:rPr>
          <w:rFonts w:hint="eastAsia" w:ascii="仿宋" w:hAnsi="仿宋" w:eastAsia="仿宋" w:cs="仿宋"/>
          <w:sz w:val="32"/>
          <w:szCs w:val="32"/>
        </w:rPr>
        <w:t>万元，增长</w:t>
      </w:r>
      <w:r>
        <w:rPr>
          <w:rFonts w:hint="eastAsia" w:ascii="仿宋" w:hAnsi="仿宋" w:eastAsia="仿宋" w:cs="仿宋"/>
          <w:sz w:val="32"/>
          <w:szCs w:val="32"/>
          <w:lang w:val="en-US" w:eastAsia="zh-CN"/>
        </w:rPr>
        <w:t>68.67</w:t>
      </w:r>
      <w:r>
        <w:rPr>
          <w:rFonts w:hint="eastAsia" w:ascii="仿宋" w:hAnsi="仿宋" w:eastAsia="仿宋" w:cs="仿宋"/>
          <w:sz w:val="32"/>
          <w:szCs w:val="32"/>
        </w:rPr>
        <w:t>%。其中：工资福利支出</w:t>
      </w:r>
      <w:r>
        <w:rPr>
          <w:rFonts w:hint="eastAsia" w:ascii="仿宋" w:hAnsi="仿宋" w:eastAsia="仿宋" w:cs="仿宋"/>
          <w:sz w:val="32"/>
          <w:szCs w:val="32"/>
          <w:lang w:val="en-US" w:eastAsia="zh-CN"/>
        </w:rPr>
        <w:t>662.76</w:t>
      </w:r>
      <w:r>
        <w:rPr>
          <w:rFonts w:hint="eastAsia" w:ascii="仿宋" w:hAnsi="仿宋" w:eastAsia="仿宋" w:cs="仿宋"/>
          <w:sz w:val="32"/>
          <w:szCs w:val="32"/>
        </w:rPr>
        <w:t>万元，商品和服务支出</w:t>
      </w:r>
      <w:r>
        <w:rPr>
          <w:rFonts w:hint="eastAsia" w:ascii="仿宋" w:hAnsi="仿宋" w:eastAsia="仿宋" w:cs="仿宋"/>
          <w:sz w:val="32"/>
          <w:szCs w:val="32"/>
          <w:lang w:val="en-US" w:eastAsia="zh-CN"/>
        </w:rPr>
        <w:t>3266.2</w:t>
      </w:r>
      <w:r>
        <w:rPr>
          <w:rFonts w:hint="eastAsia" w:ascii="仿宋" w:hAnsi="仿宋" w:eastAsia="仿宋" w:cs="仿宋"/>
          <w:sz w:val="32"/>
          <w:szCs w:val="32"/>
        </w:rPr>
        <w:t>万元，对个人和家庭的补助</w:t>
      </w:r>
      <w:r>
        <w:rPr>
          <w:rFonts w:hint="eastAsia" w:ascii="仿宋" w:hAnsi="仿宋" w:eastAsia="仿宋" w:cs="仿宋"/>
          <w:sz w:val="32"/>
          <w:szCs w:val="32"/>
          <w:lang w:val="en-US" w:eastAsia="zh-CN"/>
        </w:rPr>
        <w:t>168.72</w:t>
      </w:r>
      <w:r>
        <w:rPr>
          <w:rFonts w:hint="eastAsia" w:ascii="仿宋" w:hAnsi="仿宋" w:eastAsia="仿宋" w:cs="仿宋"/>
          <w:sz w:val="32"/>
          <w:szCs w:val="32"/>
        </w:rPr>
        <w:t>万元，资本性支</w:t>
      </w:r>
      <w:r>
        <w:rPr>
          <w:rFonts w:hint="eastAsia" w:ascii="仿宋" w:hAnsi="仿宋" w:eastAsia="仿宋" w:cs="仿宋"/>
          <w:sz w:val="32"/>
          <w:szCs w:val="32"/>
          <w:lang w:val="en-US" w:eastAsia="zh-CN"/>
        </w:rPr>
        <w:t>7.39</w:t>
      </w:r>
      <w:r>
        <w:rPr>
          <w:rFonts w:hint="eastAsia" w:ascii="仿宋" w:hAnsi="仿宋" w:eastAsia="仿宋" w:cs="仿宋"/>
          <w:sz w:val="32"/>
          <w:szCs w:val="32"/>
        </w:rPr>
        <w:t>万元</w:t>
      </w:r>
      <w:r>
        <w:rPr>
          <w:rFonts w:hint="eastAsia" w:ascii="仿宋" w:hAnsi="仿宋" w:eastAsia="仿宋" w:cs="仿宋"/>
          <w:sz w:val="32"/>
          <w:szCs w:val="32"/>
          <w:lang w:eastAsia="zh-CN"/>
        </w:rPr>
        <w:t>，对企业补助</w:t>
      </w:r>
      <w:r>
        <w:rPr>
          <w:rFonts w:hint="eastAsia" w:ascii="仿宋" w:hAnsi="仿宋" w:eastAsia="仿宋" w:cs="仿宋"/>
          <w:sz w:val="32"/>
          <w:szCs w:val="32"/>
          <w:lang w:val="en-US" w:eastAsia="zh-CN"/>
        </w:rPr>
        <w:t>2.99万元</w:t>
      </w:r>
      <w:r>
        <w:rPr>
          <w:rFonts w:hint="eastAsia" w:ascii="仿宋" w:hAnsi="仿宋" w:eastAsia="仿宋" w:cs="仿宋"/>
          <w:sz w:val="32"/>
          <w:szCs w:val="32"/>
        </w:rPr>
        <w:t>。</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rPr>
        <w:t>2021年“三公”经费实际开支总额</w:t>
      </w:r>
      <w:r>
        <w:rPr>
          <w:rFonts w:hint="eastAsia" w:ascii="仿宋" w:hAnsi="仿宋" w:eastAsia="仿宋" w:cs="仿宋"/>
          <w:sz w:val="32"/>
          <w:szCs w:val="32"/>
          <w:lang w:val="en-US" w:eastAsia="zh-CN"/>
        </w:rPr>
        <w:t>6.7</w:t>
      </w:r>
      <w:r>
        <w:rPr>
          <w:rFonts w:hint="eastAsia" w:ascii="仿宋" w:hAnsi="仿宋" w:eastAsia="仿宋" w:cs="仿宋"/>
          <w:sz w:val="32"/>
          <w:szCs w:val="32"/>
        </w:rPr>
        <w:t>万元。其中：因公出国（境）费支出本年未发生。公务用车购置及运行维护费实际开支</w:t>
      </w:r>
      <w:r>
        <w:rPr>
          <w:rFonts w:hint="eastAsia" w:ascii="仿宋" w:hAnsi="仿宋" w:eastAsia="仿宋" w:cs="仿宋"/>
          <w:sz w:val="32"/>
          <w:szCs w:val="32"/>
          <w:lang w:val="en-US" w:eastAsia="zh-CN"/>
        </w:rPr>
        <w:t>6.7万</w:t>
      </w:r>
      <w:r>
        <w:rPr>
          <w:rFonts w:hint="eastAsia" w:ascii="仿宋" w:hAnsi="仿宋" w:eastAsia="仿宋" w:cs="仿宋"/>
          <w:sz w:val="32"/>
          <w:szCs w:val="32"/>
        </w:rPr>
        <w:t>元（公务用车购置费未发生，公务用车运行维护费</w:t>
      </w:r>
      <w:r>
        <w:rPr>
          <w:rFonts w:hint="eastAsia" w:ascii="仿宋" w:hAnsi="仿宋" w:eastAsia="仿宋" w:cs="仿宋"/>
          <w:sz w:val="32"/>
          <w:szCs w:val="32"/>
          <w:lang w:val="en-US" w:eastAsia="zh-CN"/>
        </w:rPr>
        <w:t>6.7</w:t>
      </w:r>
      <w:r>
        <w:rPr>
          <w:rFonts w:hint="eastAsia" w:ascii="仿宋" w:hAnsi="仿宋" w:eastAsia="仿宋" w:cs="仿宋"/>
          <w:sz w:val="32"/>
          <w:szCs w:val="32"/>
        </w:rPr>
        <w:t>万元），公务用车保有量</w:t>
      </w:r>
      <w:r>
        <w:rPr>
          <w:rFonts w:hint="eastAsia" w:ascii="仿宋" w:hAnsi="仿宋" w:eastAsia="仿宋" w:cs="仿宋"/>
          <w:sz w:val="32"/>
          <w:szCs w:val="32"/>
          <w:lang w:val="en-US" w:eastAsia="zh-CN"/>
        </w:rPr>
        <w:t>2</w:t>
      </w:r>
      <w:r>
        <w:rPr>
          <w:rFonts w:hint="eastAsia" w:ascii="仿宋" w:hAnsi="仿宋" w:eastAsia="仿宋" w:cs="仿宋"/>
          <w:sz w:val="32"/>
          <w:szCs w:val="32"/>
        </w:rPr>
        <w:t>辆；公务接待费实际开支</w:t>
      </w:r>
      <w:r>
        <w:rPr>
          <w:rFonts w:hint="eastAsia" w:ascii="仿宋" w:hAnsi="仿宋" w:eastAsia="仿宋" w:cs="仿宋"/>
          <w:sz w:val="32"/>
          <w:szCs w:val="32"/>
          <w:lang w:val="en-US" w:eastAsia="zh-CN"/>
        </w:rPr>
        <w:t>0</w:t>
      </w:r>
      <w:r>
        <w:rPr>
          <w:rFonts w:hint="eastAsia" w:ascii="仿宋" w:hAnsi="仿宋" w:eastAsia="仿宋" w:cs="仿宋"/>
          <w:sz w:val="32"/>
          <w:szCs w:val="32"/>
        </w:rPr>
        <w:t>万元，公务接待</w:t>
      </w:r>
      <w:r>
        <w:rPr>
          <w:rFonts w:hint="eastAsia" w:ascii="仿宋" w:hAnsi="仿宋" w:eastAsia="仿宋" w:cs="仿宋"/>
          <w:sz w:val="32"/>
          <w:szCs w:val="32"/>
          <w:lang w:val="en-US" w:eastAsia="zh-CN"/>
        </w:rPr>
        <w:t>0</w:t>
      </w:r>
      <w:r>
        <w:rPr>
          <w:rFonts w:hint="eastAsia" w:ascii="仿宋" w:hAnsi="仿宋" w:eastAsia="仿宋" w:cs="仿宋"/>
          <w:sz w:val="32"/>
          <w:szCs w:val="32"/>
        </w:rPr>
        <w:t>批次</w:t>
      </w:r>
      <w:r>
        <w:rPr>
          <w:rFonts w:hint="eastAsia" w:ascii="仿宋" w:hAnsi="仿宋" w:eastAsia="仿宋" w:cs="仿宋"/>
          <w:sz w:val="32"/>
          <w:szCs w:val="32"/>
          <w:lang w:val="en-US" w:eastAsia="zh-CN"/>
        </w:rPr>
        <w:t>0</w:t>
      </w:r>
      <w:r>
        <w:rPr>
          <w:rFonts w:hint="eastAsia" w:ascii="仿宋" w:hAnsi="仿宋" w:eastAsia="仿宋" w:cs="仿宋"/>
          <w:sz w:val="32"/>
          <w:szCs w:val="32"/>
        </w:rPr>
        <w:t>人次。2021年“三公”经费实际开支总额比2020年同口径减少</w:t>
      </w:r>
      <w:r>
        <w:rPr>
          <w:rFonts w:hint="eastAsia" w:ascii="仿宋" w:hAnsi="仿宋" w:eastAsia="仿宋" w:cs="仿宋"/>
          <w:sz w:val="32"/>
          <w:szCs w:val="32"/>
          <w:lang w:val="en-US" w:eastAsia="zh-CN"/>
        </w:rPr>
        <w:t>2.3</w:t>
      </w:r>
      <w:r>
        <w:rPr>
          <w:rFonts w:hint="eastAsia" w:ascii="仿宋" w:hAnsi="仿宋" w:eastAsia="仿宋" w:cs="仿宋"/>
          <w:sz w:val="32"/>
          <w:szCs w:val="32"/>
        </w:rPr>
        <w:t>万元，下降</w:t>
      </w:r>
      <w:r>
        <w:rPr>
          <w:rFonts w:hint="eastAsia" w:ascii="仿宋" w:hAnsi="仿宋" w:eastAsia="仿宋" w:cs="仿宋"/>
          <w:sz w:val="32"/>
          <w:szCs w:val="32"/>
          <w:lang w:val="en-US" w:eastAsia="zh-CN"/>
        </w:rPr>
        <w:t>25.5</w:t>
      </w:r>
      <w:r>
        <w:rPr>
          <w:rFonts w:hint="eastAsia" w:ascii="仿宋" w:hAnsi="仿宋" w:eastAsia="仿宋" w:cs="仿宋"/>
          <w:sz w:val="32"/>
          <w:szCs w:val="32"/>
        </w:rPr>
        <w:t>%。原因为认真贯彻落实中央“八项规定”精神和厉行节约要求，从严控制“三公”经费开支。</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rPr>
        <w:t>（二）项</w:t>
      </w:r>
      <w:r>
        <w:rPr>
          <w:rFonts w:hint="eastAsia" w:ascii="仿宋" w:hAnsi="仿宋" w:eastAsia="仿宋" w:cs="仿宋"/>
          <w:sz w:val="32"/>
          <w:szCs w:val="32"/>
          <w:lang w:eastAsia="zh-CN"/>
        </w:rPr>
        <w:t>目</w:t>
      </w:r>
      <w:r>
        <w:rPr>
          <w:rFonts w:hint="eastAsia" w:ascii="仿宋" w:hAnsi="仿宋" w:eastAsia="仿宋" w:cs="仿宋"/>
          <w:sz w:val="32"/>
          <w:szCs w:val="32"/>
        </w:rPr>
        <w:t>支出</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rPr>
        <w:t>项目支出系</w:t>
      </w:r>
      <w:r>
        <w:rPr>
          <w:rFonts w:hint="eastAsia" w:ascii="仿宋" w:hAnsi="仿宋" w:eastAsia="仿宋" w:cs="仿宋"/>
          <w:sz w:val="32"/>
          <w:szCs w:val="32"/>
          <w:lang w:eastAsia="zh-CN"/>
        </w:rPr>
        <w:t>我街道</w:t>
      </w:r>
      <w:r>
        <w:rPr>
          <w:rFonts w:hint="eastAsia" w:ascii="仿宋" w:hAnsi="仿宋" w:eastAsia="仿宋" w:cs="仿宋"/>
          <w:sz w:val="32"/>
          <w:szCs w:val="32"/>
        </w:rPr>
        <w:t>为完成</w:t>
      </w:r>
      <w:r>
        <w:rPr>
          <w:rFonts w:hint="eastAsia" w:ascii="仿宋" w:hAnsi="仿宋" w:eastAsia="仿宋" w:cs="仿宋"/>
          <w:sz w:val="32"/>
          <w:szCs w:val="32"/>
          <w:lang w:val="en-US" w:eastAsia="zh-CN"/>
        </w:rPr>
        <w:t>项目</w:t>
      </w:r>
      <w:r>
        <w:rPr>
          <w:rFonts w:hint="eastAsia" w:ascii="仿宋" w:hAnsi="仿宋" w:eastAsia="仿宋" w:cs="仿宋"/>
          <w:sz w:val="32"/>
          <w:szCs w:val="32"/>
        </w:rPr>
        <w:t>工作而发生的支出。2021年</w:t>
      </w:r>
      <w:r>
        <w:rPr>
          <w:rFonts w:hint="eastAsia" w:ascii="仿宋" w:hAnsi="仿宋" w:eastAsia="仿宋" w:cs="仿宋"/>
          <w:sz w:val="32"/>
          <w:szCs w:val="32"/>
          <w:lang w:eastAsia="zh-CN"/>
        </w:rPr>
        <w:t>我街道</w:t>
      </w:r>
      <w:r>
        <w:rPr>
          <w:rFonts w:hint="eastAsia" w:ascii="仿宋" w:hAnsi="仿宋" w:eastAsia="仿宋" w:cs="仿宋"/>
          <w:sz w:val="32"/>
          <w:szCs w:val="32"/>
        </w:rPr>
        <w:t>组织实施专项项目经费当年实际收入</w:t>
      </w:r>
      <w:r>
        <w:rPr>
          <w:rFonts w:hint="eastAsia" w:ascii="仿宋" w:hAnsi="仿宋" w:eastAsia="仿宋" w:cs="仿宋"/>
          <w:sz w:val="32"/>
          <w:szCs w:val="32"/>
          <w:lang w:val="en-US" w:eastAsia="zh-CN"/>
        </w:rPr>
        <w:t>583.4</w:t>
      </w:r>
      <w:r>
        <w:rPr>
          <w:rFonts w:hint="eastAsia" w:ascii="仿宋" w:hAnsi="仿宋" w:eastAsia="仿宋" w:cs="仿宋"/>
          <w:sz w:val="32"/>
          <w:szCs w:val="32"/>
        </w:rPr>
        <w:t>万元，其中包括上年结转和结余</w:t>
      </w:r>
      <w:r>
        <w:rPr>
          <w:rFonts w:hint="eastAsia" w:ascii="仿宋" w:hAnsi="仿宋" w:eastAsia="仿宋" w:cs="仿宋"/>
          <w:sz w:val="32"/>
          <w:szCs w:val="32"/>
          <w:lang w:val="en-US" w:eastAsia="zh-CN"/>
        </w:rPr>
        <w:t>0</w:t>
      </w:r>
      <w:r>
        <w:rPr>
          <w:rFonts w:hint="eastAsia" w:ascii="仿宋" w:hAnsi="仿宋" w:eastAsia="仿宋" w:cs="仿宋"/>
          <w:sz w:val="32"/>
          <w:szCs w:val="32"/>
        </w:rPr>
        <w:t>万元，预算安排项目经费</w:t>
      </w:r>
      <w:r>
        <w:rPr>
          <w:rFonts w:hint="eastAsia" w:ascii="仿宋" w:hAnsi="仿宋" w:eastAsia="仿宋" w:cs="仿宋"/>
          <w:sz w:val="32"/>
          <w:szCs w:val="32"/>
          <w:lang w:val="en-US" w:eastAsia="zh-CN"/>
        </w:rPr>
        <w:t>0</w:t>
      </w:r>
      <w:r>
        <w:rPr>
          <w:rFonts w:hint="eastAsia" w:ascii="仿宋" w:hAnsi="仿宋" w:eastAsia="仿宋" w:cs="仿宋"/>
          <w:sz w:val="32"/>
          <w:szCs w:val="32"/>
        </w:rPr>
        <w:t>万元。项目支出</w:t>
      </w:r>
      <w:r>
        <w:rPr>
          <w:rFonts w:hint="eastAsia" w:ascii="仿宋" w:hAnsi="仿宋" w:eastAsia="仿宋" w:cs="仿宋"/>
          <w:sz w:val="32"/>
          <w:szCs w:val="32"/>
          <w:lang w:val="en-US" w:eastAsia="zh-CN"/>
        </w:rPr>
        <w:t>583.4</w:t>
      </w:r>
      <w:r>
        <w:rPr>
          <w:rFonts w:hint="eastAsia" w:ascii="仿宋" w:hAnsi="仿宋" w:eastAsia="仿宋" w:cs="仿宋"/>
          <w:sz w:val="32"/>
          <w:szCs w:val="32"/>
        </w:rPr>
        <w:t>万元（其中：商品和服务支出</w:t>
      </w:r>
      <w:r>
        <w:rPr>
          <w:rFonts w:hint="eastAsia" w:ascii="仿宋" w:hAnsi="仿宋" w:eastAsia="仿宋" w:cs="仿宋"/>
          <w:sz w:val="32"/>
          <w:szCs w:val="32"/>
          <w:lang w:val="en-US" w:eastAsia="zh-CN"/>
        </w:rPr>
        <w:t>573.01</w:t>
      </w:r>
      <w:r>
        <w:rPr>
          <w:rFonts w:hint="eastAsia" w:ascii="仿宋" w:hAnsi="仿宋" w:eastAsia="仿宋" w:cs="仿宋"/>
          <w:sz w:val="32"/>
          <w:szCs w:val="32"/>
        </w:rPr>
        <w:t>万元，资本性支出</w:t>
      </w:r>
      <w:r>
        <w:rPr>
          <w:rFonts w:hint="eastAsia" w:ascii="仿宋" w:hAnsi="仿宋" w:eastAsia="仿宋" w:cs="仿宋"/>
          <w:sz w:val="32"/>
          <w:szCs w:val="32"/>
          <w:lang w:val="en-US" w:eastAsia="zh-CN"/>
        </w:rPr>
        <w:t>7.39</w:t>
      </w:r>
      <w:r>
        <w:rPr>
          <w:rFonts w:hint="eastAsia" w:ascii="仿宋" w:hAnsi="仿宋" w:eastAsia="仿宋" w:cs="仿宋"/>
          <w:sz w:val="32"/>
          <w:szCs w:val="32"/>
        </w:rPr>
        <w:t>万元</w:t>
      </w:r>
      <w:r>
        <w:rPr>
          <w:rFonts w:hint="eastAsia" w:ascii="仿宋" w:hAnsi="仿宋" w:eastAsia="仿宋" w:cs="仿宋"/>
          <w:sz w:val="32"/>
          <w:szCs w:val="32"/>
          <w:lang w:val="en-US" w:eastAsia="zh-CN"/>
        </w:rPr>
        <w:t>,企业补助3万元</w:t>
      </w:r>
      <w:r>
        <w:rPr>
          <w:rFonts w:hint="eastAsia" w:ascii="仿宋" w:hAnsi="仿宋" w:eastAsia="仿宋" w:cs="仿宋"/>
          <w:sz w:val="32"/>
          <w:szCs w:val="32"/>
        </w:rPr>
        <w:t>），比上年同口径增加</w:t>
      </w:r>
      <w:r>
        <w:rPr>
          <w:rFonts w:hint="eastAsia" w:ascii="仿宋" w:hAnsi="仿宋" w:eastAsia="仿宋" w:cs="仿宋"/>
          <w:sz w:val="32"/>
          <w:szCs w:val="32"/>
          <w:lang w:val="en-US" w:eastAsia="zh-CN"/>
        </w:rPr>
        <w:t>62.4</w:t>
      </w:r>
      <w:r>
        <w:rPr>
          <w:rFonts w:hint="eastAsia" w:ascii="仿宋" w:hAnsi="仿宋" w:eastAsia="仿宋" w:cs="仿宋"/>
          <w:sz w:val="32"/>
          <w:szCs w:val="32"/>
        </w:rPr>
        <w:t>万，提高</w:t>
      </w:r>
      <w:r>
        <w:rPr>
          <w:rFonts w:hint="eastAsia" w:ascii="仿宋" w:hAnsi="仿宋" w:eastAsia="仿宋" w:cs="仿宋"/>
          <w:sz w:val="32"/>
          <w:szCs w:val="32"/>
          <w:lang w:val="en-US" w:eastAsia="zh-CN"/>
        </w:rPr>
        <w:t>11.98</w:t>
      </w:r>
      <w:r>
        <w:rPr>
          <w:rFonts w:hint="eastAsia" w:ascii="仿宋" w:hAnsi="仿宋" w:eastAsia="仿宋" w:cs="仿宋"/>
          <w:sz w:val="32"/>
          <w:szCs w:val="32"/>
        </w:rPr>
        <w:t>%。</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rPr>
        <w:t>三、资产管理情况</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我街道资产管理由办公室负责，资产采购按程序实行报批采购，统一在政采云平台下单，采购后登记入账，录入资产信息系统，再派发到相关科室。一是我街道资产管理和使用坚持统一政策、统一领导、分级管理、责任到人、物尽其用的原则。二是运用资产信息管理系统加强资产管理。对固定资产分别按使用部门、存放地点和使用人顺序编排编码排序，统一录入“一物一条码”信息管理系统，分部门打印出条形码，发放到各部门按要求统一粘贴到固定资产上，并指定专人负责管理。三是每年组织一次固定资产资产清查工作，使固定资产检查常态化，确保账、卡、实相符。四是根据《湖南省财政厅关于做好行政事业性国有资产月报试编工作的通知》文件要求，每月及时通过财政部统一报表系统上报资产月报电子数据，每年编制一次固定资产年报。</w:t>
      </w:r>
      <w:r>
        <w:rPr>
          <w:rFonts w:hint="eastAsia" w:ascii="仿宋" w:hAnsi="仿宋" w:eastAsia="仿宋" w:cs="仿宋"/>
          <w:sz w:val="32"/>
          <w:szCs w:val="32"/>
        </w:rPr>
        <w:t>截至2021年12月31日，</w:t>
      </w:r>
      <w:r>
        <w:rPr>
          <w:rFonts w:hint="eastAsia" w:ascii="仿宋" w:hAnsi="仿宋" w:eastAsia="仿宋" w:cs="仿宋"/>
          <w:sz w:val="32"/>
          <w:szCs w:val="32"/>
          <w:lang w:eastAsia="zh-CN"/>
        </w:rPr>
        <w:t>我单位</w:t>
      </w:r>
      <w:r>
        <w:rPr>
          <w:rFonts w:hint="eastAsia" w:ascii="仿宋" w:hAnsi="仿宋" w:eastAsia="仿宋" w:cs="仿宋"/>
          <w:sz w:val="32"/>
          <w:szCs w:val="32"/>
        </w:rPr>
        <w:t>资产总额为</w:t>
      </w:r>
      <w:r>
        <w:rPr>
          <w:rFonts w:hint="eastAsia" w:ascii="仿宋" w:hAnsi="仿宋" w:eastAsia="仿宋" w:cs="仿宋"/>
          <w:sz w:val="32"/>
          <w:szCs w:val="32"/>
          <w:lang w:val="en-US" w:eastAsia="zh-CN"/>
        </w:rPr>
        <w:t>1718.89</w:t>
      </w:r>
      <w:r>
        <w:rPr>
          <w:rFonts w:hint="eastAsia" w:ascii="仿宋" w:hAnsi="仿宋" w:eastAsia="仿宋" w:cs="仿宋"/>
          <w:sz w:val="32"/>
          <w:szCs w:val="32"/>
        </w:rPr>
        <w:t>万元，主要由以下部分构成：流动资产</w:t>
      </w:r>
      <w:r>
        <w:rPr>
          <w:rFonts w:hint="eastAsia" w:ascii="仿宋" w:hAnsi="仿宋" w:eastAsia="仿宋" w:cs="仿宋"/>
          <w:sz w:val="32"/>
          <w:szCs w:val="32"/>
          <w:lang w:val="en-US" w:eastAsia="zh-CN"/>
        </w:rPr>
        <w:t>1461.02</w:t>
      </w:r>
      <w:r>
        <w:rPr>
          <w:rFonts w:hint="eastAsia" w:ascii="仿宋" w:hAnsi="仿宋" w:eastAsia="仿宋" w:cs="仿宋"/>
          <w:sz w:val="32"/>
          <w:szCs w:val="32"/>
        </w:rPr>
        <w:t>万元,占资产总额的</w:t>
      </w:r>
      <w:r>
        <w:rPr>
          <w:rFonts w:hint="eastAsia" w:ascii="仿宋" w:hAnsi="仿宋" w:eastAsia="仿宋" w:cs="仿宋"/>
          <w:sz w:val="32"/>
          <w:szCs w:val="32"/>
          <w:lang w:val="en-US" w:eastAsia="zh-CN"/>
        </w:rPr>
        <w:t>85</w:t>
      </w:r>
      <w:r>
        <w:rPr>
          <w:rFonts w:hint="eastAsia" w:ascii="仿宋" w:hAnsi="仿宋" w:eastAsia="仿宋" w:cs="仿宋"/>
          <w:sz w:val="32"/>
          <w:szCs w:val="32"/>
        </w:rPr>
        <w:t>%,主要为银行存款及其他应收款等;固定资产</w:t>
      </w:r>
      <w:r>
        <w:rPr>
          <w:rFonts w:hint="eastAsia" w:ascii="仿宋" w:hAnsi="仿宋" w:eastAsia="仿宋" w:cs="仿宋"/>
          <w:sz w:val="32"/>
          <w:szCs w:val="32"/>
          <w:lang w:val="en-US" w:eastAsia="zh-CN"/>
        </w:rPr>
        <w:t>257.87</w:t>
      </w:r>
      <w:r>
        <w:rPr>
          <w:rFonts w:hint="eastAsia" w:ascii="仿宋" w:hAnsi="仿宋" w:eastAsia="仿宋" w:cs="仿宋"/>
          <w:sz w:val="32"/>
          <w:szCs w:val="32"/>
        </w:rPr>
        <w:t>万元,占资产总额的</w:t>
      </w:r>
      <w:r>
        <w:rPr>
          <w:rFonts w:hint="eastAsia" w:ascii="仿宋" w:hAnsi="仿宋" w:eastAsia="仿宋" w:cs="仿宋"/>
          <w:sz w:val="32"/>
          <w:szCs w:val="32"/>
          <w:lang w:val="en-US" w:eastAsia="zh-CN"/>
        </w:rPr>
        <w:t>15</w:t>
      </w:r>
      <w:r>
        <w:rPr>
          <w:rFonts w:hint="eastAsia" w:ascii="仿宋" w:hAnsi="仿宋" w:eastAsia="仿宋" w:cs="仿宋"/>
          <w:sz w:val="32"/>
          <w:szCs w:val="32"/>
        </w:rPr>
        <w:t>%，主要包括房屋、公务用车、办公设备等。 </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rPr>
        <w:t>四、部门整体支出绩效情况</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rPr>
        <w:t>2021年，</w:t>
      </w:r>
      <w:r>
        <w:rPr>
          <w:rFonts w:hint="eastAsia" w:ascii="仿宋" w:hAnsi="仿宋" w:eastAsia="仿宋" w:cs="仿宋"/>
          <w:sz w:val="32"/>
          <w:szCs w:val="32"/>
          <w:lang w:eastAsia="zh-CN"/>
        </w:rPr>
        <w:t>我街道</w:t>
      </w:r>
      <w:r>
        <w:rPr>
          <w:rFonts w:hint="eastAsia" w:ascii="仿宋" w:hAnsi="仿宋" w:eastAsia="仿宋" w:cs="仿宋"/>
          <w:sz w:val="32"/>
          <w:szCs w:val="32"/>
        </w:rPr>
        <w:t>充分履行职责职能，严格执行各项管理制度，经济、社会等效益显著、社会公众满意度上升，较好地完成了全年工作目标。</w:t>
      </w:r>
    </w:p>
    <w:p>
      <w:pPr>
        <w:bidi w:val="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坚持党建引领，持续增强政治功能和组织力。（二）加快转型升级，综合实力显著增强。（三）全面统筹部署，文明创建稳步推进。（四）聚力乡村振兴，乡镇面貌不断改善。（五）着力改善民生，社会保障全面完善。（六）抓实粮食生产，农业根基巩固提升。（七）夯实平安建设，社会大局和谐稳定。（八）坚持从严治党，努力创建清廉田江。</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rPr>
        <w:t>五、综合评价情况及评价结论</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rPr>
        <w:t>2021年</w:t>
      </w:r>
      <w:r>
        <w:rPr>
          <w:rFonts w:hint="eastAsia" w:ascii="仿宋" w:hAnsi="仿宋" w:eastAsia="仿宋" w:cs="仿宋"/>
          <w:sz w:val="32"/>
          <w:szCs w:val="32"/>
          <w:lang w:eastAsia="zh-CN"/>
        </w:rPr>
        <w:t>我街道</w:t>
      </w:r>
      <w:r>
        <w:rPr>
          <w:rFonts w:hint="eastAsia" w:ascii="仿宋" w:hAnsi="仿宋" w:eastAsia="仿宋" w:cs="仿宋"/>
          <w:sz w:val="32"/>
          <w:szCs w:val="32"/>
        </w:rPr>
        <w:t>经费开支严格按预算执行，管理制度健全，会计基础规范，资金使用符合国家财经法规和财务管理制度规定。严格实行收支两条线，无截留、挤占、挪用、虚列支出、随意借用、大额现金支付等情况，重大财务事项经由集体研究决策。按要求执行政府采购，严控支出，开源节流，一般性支出和“三公经费”均按要求压减，预决算信息公开及时完善。资产管理安全，固定资产利用率、重点工作完成率等均达到或超过年初计划数，取得了较好的社会效益。根据邵阳市财政局《部门整体支出绩效评价指标评分表》评分体系，我</w:t>
      </w:r>
      <w:r>
        <w:rPr>
          <w:rFonts w:hint="eastAsia" w:ascii="仿宋" w:hAnsi="仿宋" w:eastAsia="仿宋" w:cs="仿宋"/>
          <w:sz w:val="32"/>
          <w:szCs w:val="32"/>
          <w:lang w:eastAsia="zh-CN"/>
        </w:rPr>
        <w:t>街道</w:t>
      </w:r>
      <w:r>
        <w:rPr>
          <w:rFonts w:hint="eastAsia" w:ascii="仿宋" w:hAnsi="仿宋" w:eastAsia="仿宋" w:cs="仿宋"/>
          <w:sz w:val="32"/>
          <w:szCs w:val="32"/>
        </w:rPr>
        <w:t>整体支出绩效自评</w:t>
      </w:r>
      <w:r>
        <w:rPr>
          <w:rFonts w:hint="eastAsia" w:ascii="仿宋" w:hAnsi="仿宋" w:eastAsia="仿宋" w:cs="仿宋"/>
          <w:sz w:val="32"/>
          <w:szCs w:val="32"/>
          <w:lang w:val="en-US" w:eastAsia="zh-CN"/>
        </w:rPr>
        <w:t>85</w:t>
      </w:r>
      <w:r>
        <w:rPr>
          <w:rFonts w:hint="eastAsia" w:ascii="仿宋" w:hAnsi="仿宋" w:eastAsia="仿宋" w:cs="仿宋"/>
          <w:sz w:val="32"/>
          <w:szCs w:val="32"/>
        </w:rPr>
        <w:t>分，自评</w:t>
      </w:r>
      <w:r>
        <w:rPr>
          <w:rFonts w:hint="eastAsia" w:ascii="仿宋" w:hAnsi="仿宋" w:eastAsia="仿宋" w:cs="仿宋"/>
          <w:sz w:val="32"/>
          <w:szCs w:val="32"/>
          <w:lang w:eastAsia="zh-CN"/>
        </w:rPr>
        <w:t>结果为良好</w:t>
      </w:r>
      <w:r>
        <w:rPr>
          <w:rFonts w:hint="eastAsia" w:ascii="仿宋" w:hAnsi="仿宋" w:eastAsia="仿宋" w:cs="仿宋"/>
          <w:sz w:val="32"/>
          <w:szCs w:val="32"/>
        </w:rPr>
        <w:t>。</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rPr>
        <w:t>存在的问题及原因分析</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rPr>
        <w:t>财务制度还不够完善，资产管理还不够严谨，业务素质有待提高。</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rPr>
        <w:t>下一步改进措施</w:t>
      </w:r>
    </w:p>
    <w:p>
      <w:pPr>
        <w:bidi w:val="0"/>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（一）进一步加强项目资金管理</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rPr>
        <w:t>项目实施提前做好方案，按时间节点落实好项目实施进度，争取项目早实施、早完成、早验收，确保项目资金年内支付到位。项目资金的使用要事前计划、事中控制、事后总结，合理使用，充分体现项目资金投向的目标和效益。</w:t>
      </w:r>
    </w:p>
    <w:p>
      <w:pPr>
        <w:numPr>
          <w:ilvl w:val="0"/>
          <w:numId w:val="1"/>
        </w:numPr>
        <w:bidi w:val="0"/>
        <w:ind w:firstLine="640" w:firstLineChars="200"/>
        <w:rPr>
          <w:rFonts w:hint="eastAsia" w:ascii="仿宋" w:hAnsi="仿宋" w:eastAsia="仿宋" w:cs="仿宋"/>
          <w:sz w:val="32"/>
          <w:szCs w:val="32"/>
        </w:rPr>
      </w:pPr>
      <w:r>
        <w:rPr>
          <w:rFonts w:hint="eastAsia" w:ascii="仿宋" w:hAnsi="仿宋" w:eastAsia="仿宋" w:cs="仿宋"/>
          <w:sz w:val="32"/>
          <w:szCs w:val="32"/>
        </w:rPr>
        <w:t>进一步提高绩效管理水平</w:t>
      </w:r>
    </w:p>
    <w:p>
      <w:pPr>
        <w:numPr>
          <w:ilvl w:val="0"/>
          <w:numId w:val="0"/>
        </w:numPr>
        <w:bidi w:val="0"/>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加强预算执行的准确性，开展好支出绩效管理工作，运用好绩效评价结果，不断提升绩效管理水平。</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Chars="0" w:right="0" w:rightChars="0"/>
        <w:jc w:val="left"/>
        <w:rPr>
          <w:rFonts w:hint="eastAsia" w:ascii="宋体" w:hAnsi="宋体" w:eastAsia="宋体" w:cs="宋体"/>
          <w:color w:val="444444"/>
          <w:kern w:val="0"/>
          <w:sz w:val="28"/>
          <w:szCs w:val="28"/>
          <w:shd w:val="clear" w:fill="FFFFFF"/>
        </w:rPr>
      </w:pPr>
    </w:p>
    <w:p>
      <w:pPr>
        <w:spacing w:line="600" w:lineRule="exact"/>
        <w:rPr>
          <w:rFonts w:ascii="宋体" w:hAnsi="宋体" w:cs="宋体"/>
          <w:kern w:val="0"/>
          <w:sz w:val="32"/>
          <w:szCs w:val="32"/>
        </w:rPr>
      </w:pPr>
      <w:bookmarkStart w:id="0" w:name="RANGE!A1:H22"/>
      <w:r>
        <w:rPr>
          <w:rFonts w:hint="eastAsia" w:ascii="黑体" w:hAnsi="宋体" w:eastAsia="黑体" w:cs="宋体"/>
          <w:kern w:val="0"/>
          <w:sz w:val="32"/>
          <w:szCs w:val="32"/>
        </w:rPr>
        <w:t>附件</w:t>
      </w:r>
      <w:bookmarkEnd w:id="0"/>
      <w:r>
        <w:rPr>
          <w:rFonts w:hint="eastAsia" w:ascii="黑体" w:hAnsi="宋体" w:eastAsia="黑体" w:cs="宋体"/>
          <w:kern w:val="0"/>
          <w:sz w:val="32"/>
          <w:szCs w:val="32"/>
        </w:rPr>
        <w:t>1</w:t>
      </w:r>
      <w:r>
        <w:rPr>
          <w:rFonts w:ascii="黑体" w:hAnsi="宋体" w:eastAsia="黑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p>
    <w:p>
      <w:pPr>
        <w:widowControl/>
        <w:ind w:left="93"/>
        <w:jc w:val="center"/>
        <w:rPr>
          <w:rFonts w:hint="eastAsia" w:ascii="宋体" w:hAnsi="宋体" w:cs="宋体"/>
          <w:bCs/>
          <w:kern w:val="0"/>
          <w:sz w:val="32"/>
          <w:szCs w:val="32"/>
        </w:rPr>
      </w:pPr>
      <w:r>
        <w:rPr>
          <w:rFonts w:hint="eastAsia" w:ascii="宋体" w:hAnsi="宋体" w:cs="宋体"/>
          <w:bCs/>
          <w:kern w:val="0"/>
          <w:sz w:val="32"/>
          <w:szCs w:val="32"/>
        </w:rPr>
        <w:t>部门整体支出绩效评价指标评分表</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1"/>
        <w:gridCol w:w="429"/>
        <w:gridCol w:w="567"/>
        <w:gridCol w:w="851"/>
        <w:gridCol w:w="567"/>
        <w:gridCol w:w="3118"/>
        <w:gridCol w:w="3472"/>
        <w:gridCol w:w="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blHeader/>
          <w:jc w:val="center"/>
        </w:trPr>
        <w:tc>
          <w:tcPr>
            <w:tcW w:w="411"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一级指标</w:t>
            </w:r>
          </w:p>
        </w:tc>
        <w:tc>
          <w:tcPr>
            <w:tcW w:w="429"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二级指标</w:t>
            </w:r>
          </w:p>
        </w:tc>
        <w:tc>
          <w:tcPr>
            <w:tcW w:w="567"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分值</w:t>
            </w:r>
          </w:p>
        </w:tc>
        <w:tc>
          <w:tcPr>
            <w:tcW w:w="851"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三级   指标</w:t>
            </w:r>
          </w:p>
        </w:tc>
        <w:tc>
          <w:tcPr>
            <w:tcW w:w="567"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分值</w:t>
            </w:r>
          </w:p>
        </w:tc>
        <w:tc>
          <w:tcPr>
            <w:tcW w:w="3118"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评价标准</w:t>
            </w:r>
          </w:p>
        </w:tc>
        <w:tc>
          <w:tcPr>
            <w:tcW w:w="3472"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备注</w:t>
            </w:r>
          </w:p>
        </w:tc>
        <w:tc>
          <w:tcPr>
            <w:tcW w:w="617" w:type="dxa"/>
            <w:noWrap w:val="0"/>
            <w:vAlign w:val="center"/>
          </w:tcPr>
          <w:p>
            <w:pPr>
              <w:widowControl/>
              <w:jc w:val="center"/>
              <w:rPr>
                <w:rFonts w:hint="eastAsia" w:ascii="宋体" w:hAnsi="宋体" w:eastAsia="宋体" w:cs="宋体"/>
                <w:b/>
                <w:bCs/>
                <w:kern w:val="0"/>
                <w:sz w:val="24"/>
                <w:szCs w:val="24"/>
              </w:rPr>
            </w:pPr>
            <w:r>
              <w:rPr>
                <w:rFonts w:hint="eastAsia" w:ascii="宋体" w:hAnsi="宋体" w:cs="宋体"/>
                <w:b/>
                <w:bCs/>
                <w:kern w:val="0"/>
                <w:sz w:val="20"/>
                <w:szCs w:val="2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2" w:hRule="atLeast"/>
          <w:jc w:val="center"/>
        </w:trPr>
        <w:tc>
          <w:tcPr>
            <w:tcW w:w="411" w:type="dxa"/>
            <w:vMerge w:val="restart"/>
            <w:noWrap w:val="0"/>
            <w:textDirection w:val="tbRlV"/>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投    入</w:t>
            </w:r>
          </w:p>
        </w:tc>
        <w:tc>
          <w:tcPr>
            <w:tcW w:w="429"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预算配置</w:t>
            </w:r>
          </w:p>
        </w:tc>
        <w:tc>
          <w:tcPr>
            <w:tcW w:w="567"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18</w:t>
            </w:r>
          </w:p>
        </w:tc>
        <w:tc>
          <w:tcPr>
            <w:tcW w:w="851" w:type="dxa"/>
            <w:noWrap w:val="0"/>
            <w:vAlign w:val="center"/>
          </w:tcPr>
          <w:p>
            <w:pPr>
              <w:widowControl/>
              <w:jc w:val="both"/>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“三公经费”</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变动率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0,计3分；“三公经费”＞0，每超过一个百分点扣0.3分，扣完为止。</w:t>
            </w:r>
          </w:p>
        </w:tc>
        <w:tc>
          <w:tcPr>
            <w:tcW w:w="3472" w:type="dxa"/>
            <w:noWrap w:val="0"/>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“三公经费”变动率=[（本年度“三公经费”总额-上年度“三公经费”总额）/上年度“三公经费”总额]×100%。</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“三公经费”：指政府部门人员因公出国（境）经费、公务车购置及运行费、公务招待费产生的消费。</w:t>
            </w:r>
          </w:p>
        </w:tc>
        <w:tc>
          <w:tcPr>
            <w:tcW w:w="617" w:type="dxa"/>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   管理</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①招待费用明确招待标准和招待人数,1分;②车辆维护、燃油使用政府定点，1分。③</w:t>
            </w:r>
            <w:r>
              <w:rPr>
                <w:rFonts w:hint="eastAsia" w:ascii="仿宋_GB2312" w:hAnsi="仿宋" w:eastAsia="仿宋_GB2312" w:cs="仿宋"/>
                <w:kern w:val="0"/>
                <w:sz w:val="20"/>
                <w:szCs w:val="20"/>
              </w:rPr>
              <w:t>制定“三公经费”管理办法，1分，每少一项扣1分，扣完为止。</w:t>
            </w:r>
          </w:p>
        </w:tc>
        <w:tc>
          <w:tcPr>
            <w:tcW w:w="3472" w:type="dxa"/>
            <w:noWrap w:val="0"/>
            <w:vAlign w:val="center"/>
          </w:tcPr>
          <w:p>
            <w:pPr>
              <w:widowControl/>
              <w:jc w:val="left"/>
              <w:rPr>
                <w:rFonts w:hint="eastAsia" w:ascii="仿宋_GB2312" w:hAnsi="宋体" w:eastAsia="仿宋_GB2312" w:cs="宋体"/>
                <w:kern w:val="0"/>
                <w:sz w:val="20"/>
                <w:szCs w:val="20"/>
              </w:rPr>
            </w:pP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招待费变动率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“公务招待费”变动率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0,计2分；“公务招待费变动率”＞0，每超过一个百分点扣0.2分，扣完为止。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公务招待费变动率=[（本年度“公务招待费”总额-上年度“公务招待费”总额）/上年度“公务招待费”总额]×100%。</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公务用车购置</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运行费</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变动率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“公务用车购置运行费”变动率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0,计2分；“公务用车购置运行费变动率”＞0，每超过一个百分点扣0.2分，扣完为止。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公务用车购置运行费变动率=[（本年度“公务用车购置运行费”总额-上年度“公务用车购置运行费”总额）/上年度“公务用车购置运行费”总额]×100%。</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商品 和服务支出 变动率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“商品和服务支出”变动率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0,计2分；“商品和服务支出”变动率＞0，每超过一个百分点扣0.2分，扣完为止。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“商品和服务支出”变动率=[（本年度“商品和服务支出”总额-上年度“商品和服务支出”总额）/上年度“商品和服务支出”总额]×100%。</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0"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  支出  安排率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重点支出安排率≥90%，计2分；80%（含）-90%，计1分；70%（含）-80%，计0.5分；低于70%不得分。</w:t>
            </w:r>
          </w:p>
        </w:tc>
        <w:tc>
          <w:tcPr>
            <w:tcW w:w="3472" w:type="dxa"/>
            <w:noWrap w:val="0"/>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重点支出安排率=（重点项目支出/项目总支出）×100%</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重点项目支出：市政府确定的为民办实事和部门重点工程与重点工作支出。项目总支出：部门（单位）年度预算安排的项目支出总额。</w:t>
            </w:r>
          </w:p>
        </w:tc>
        <w:tc>
          <w:tcPr>
            <w:tcW w:w="617" w:type="dxa"/>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 收入 管理</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①实行收支两条线，1分；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②未发生截留、坐支或转移，1分。以上每发现一次违规现象扣1分，扣完为止。</w:t>
            </w:r>
          </w:p>
        </w:tc>
        <w:tc>
          <w:tcPr>
            <w:tcW w:w="3472" w:type="dxa"/>
            <w:noWrap w:val="0"/>
            <w:vAlign w:val="center"/>
          </w:tcPr>
          <w:p>
            <w:pPr>
              <w:widowControl/>
              <w:jc w:val="left"/>
              <w:rPr>
                <w:rFonts w:hint="eastAsia" w:ascii="仿宋_GB2312" w:hAnsi="宋体" w:eastAsia="仿宋_GB2312" w:cs="宋体"/>
                <w:kern w:val="0"/>
                <w:sz w:val="20"/>
                <w:szCs w:val="20"/>
              </w:rPr>
            </w:pP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9"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 收入 完成率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非税收入完成率100%，2分，每少一个百分点，扣0.1分，扣完为止。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非税收入完成率=（</w:t>
            </w:r>
            <w:r>
              <w:rPr>
                <w:rFonts w:hint="eastAsia" w:ascii="仿宋_GB2312" w:hAnsi="宋体" w:eastAsia="仿宋_GB2312" w:cs="宋体"/>
                <w:kern w:val="0"/>
                <w:sz w:val="20"/>
                <w:szCs w:val="20"/>
                <w:lang w:eastAsia="zh-CN"/>
              </w:rPr>
              <w:t>2021</w:t>
            </w:r>
            <w:r>
              <w:rPr>
                <w:rFonts w:hint="eastAsia" w:ascii="仿宋_GB2312" w:hAnsi="宋体" w:eastAsia="仿宋_GB2312" w:cs="宋体"/>
                <w:kern w:val="0"/>
                <w:sz w:val="20"/>
                <w:szCs w:val="20"/>
              </w:rPr>
              <w:t>年度非税实际收入完成数/</w:t>
            </w:r>
            <w:r>
              <w:rPr>
                <w:rFonts w:hint="eastAsia" w:ascii="仿宋_GB2312" w:hAnsi="宋体" w:eastAsia="仿宋_GB2312" w:cs="宋体"/>
                <w:kern w:val="0"/>
                <w:sz w:val="20"/>
                <w:szCs w:val="20"/>
                <w:lang w:eastAsia="zh-CN"/>
              </w:rPr>
              <w:t>2021</w:t>
            </w:r>
            <w:r>
              <w:rPr>
                <w:rFonts w:hint="eastAsia" w:ascii="仿宋_GB2312" w:hAnsi="宋体" w:eastAsia="仿宋_GB2312" w:cs="宋体"/>
                <w:kern w:val="0"/>
                <w:sz w:val="20"/>
                <w:szCs w:val="20"/>
              </w:rPr>
              <w:t>年度非税收入预算数）×100%，有减免因素的，以非税局确定的为准。</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jc w:val="center"/>
        </w:trPr>
        <w:tc>
          <w:tcPr>
            <w:tcW w:w="411" w:type="dxa"/>
            <w:vMerge w:val="restart"/>
            <w:noWrap w:val="0"/>
            <w:textDirection w:val="tbRlV"/>
            <w:vAlign w:val="center"/>
          </w:tcPr>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过    程</w:t>
            </w:r>
          </w:p>
          <w:p>
            <w:pPr>
              <w:widowControl/>
              <w:ind w:left="113" w:right="113"/>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过      程</w:t>
            </w:r>
          </w:p>
        </w:tc>
        <w:tc>
          <w:tcPr>
            <w:tcW w:w="429" w:type="dxa"/>
            <w:vMerge w:val="restart"/>
            <w:tcBorders>
              <w:righ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预算执行</w:t>
            </w:r>
          </w:p>
        </w:tc>
        <w:tc>
          <w:tcPr>
            <w:tcW w:w="567" w:type="dxa"/>
            <w:vMerge w:val="restart"/>
            <w:tcBorders>
              <w:lef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w:t>
            </w: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  完成率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highlight w:val="none"/>
              </w:rPr>
            </w:pPr>
            <w:r>
              <w:rPr>
                <w:rFonts w:hint="eastAsia" w:ascii="仿宋_GB2312" w:hAnsi="宋体" w:eastAsia="仿宋_GB2312" w:cs="宋体"/>
                <w:kern w:val="0"/>
                <w:sz w:val="20"/>
                <w:szCs w:val="20"/>
                <w:highlight w:val="none"/>
              </w:rPr>
              <w:t>完成率&lt;1，计2分，</w:t>
            </w:r>
          </w:p>
          <w:p>
            <w:pPr>
              <w:widowControl/>
              <w:jc w:val="left"/>
              <w:rPr>
                <w:rFonts w:hint="eastAsia" w:ascii="仿宋_GB2312" w:hAnsi="宋体" w:eastAsia="仿宋_GB2312" w:cs="宋体"/>
                <w:kern w:val="0"/>
                <w:sz w:val="20"/>
                <w:szCs w:val="20"/>
                <w:highlight w:val="none"/>
              </w:rPr>
            </w:pPr>
            <w:r>
              <w:rPr>
                <w:rFonts w:hint="eastAsia" w:ascii="仿宋_GB2312" w:hAnsi="宋体" w:eastAsia="仿宋_GB2312" w:cs="宋体"/>
                <w:kern w:val="0"/>
                <w:sz w:val="20"/>
                <w:szCs w:val="20"/>
                <w:highlight w:val="none"/>
              </w:rPr>
              <w:t>完成率=1，计1分，</w:t>
            </w:r>
          </w:p>
          <w:p>
            <w:pPr>
              <w:widowControl/>
              <w:jc w:val="left"/>
              <w:rPr>
                <w:rFonts w:hint="eastAsia" w:ascii="仿宋_GB2312" w:hAnsi="宋体" w:eastAsia="仿宋_GB2312" w:cs="宋体"/>
                <w:kern w:val="0"/>
                <w:sz w:val="20"/>
                <w:szCs w:val="20"/>
                <w:highlight w:val="none"/>
              </w:rPr>
            </w:pPr>
            <w:r>
              <w:rPr>
                <w:rFonts w:hint="eastAsia" w:ascii="仿宋_GB2312" w:hAnsi="宋体" w:eastAsia="仿宋_GB2312" w:cs="宋体"/>
                <w:kern w:val="0"/>
                <w:sz w:val="20"/>
                <w:szCs w:val="20"/>
                <w:highlight w:val="none"/>
              </w:rPr>
              <w:t>完成率&gt;1，不得分。</w:t>
            </w:r>
          </w:p>
          <w:p>
            <w:pPr>
              <w:widowControl/>
              <w:jc w:val="left"/>
              <w:rPr>
                <w:rFonts w:hint="eastAsia" w:ascii="仿宋_GB2312" w:hAnsi="宋体" w:eastAsia="仿宋_GB2312" w:cs="宋体"/>
                <w:kern w:val="0"/>
                <w:sz w:val="20"/>
                <w:szCs w:val="20"/>
                <w:highlight w:val="none"/>
              </w:rPr>
            </w:pPr>
          </w:p>
        </w:tc>
        <w:tc>
          <w:tcPr>
            <w:tcW w:w="3472" w:type="dxa"/>
            <w:noWrap w:val="0"/>
            <w:vAlign w:val="center"/>
          </w:tcPr>
          <w:p>
            <w:pPr>
              <w:autoSpaceDN w:val="0"/>
              <w:jc w:val="left"/>
              <w:textAlignment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预算完成率=（预算完成数/预算数）×100%。预算完成数：部门（单位）本年度实际完成的预算数；预算数：财政部门批复的本年度部门（单位）预算数。</w:t>
            </w:r>
          </w:p>
        </w:tc>
        <w:tc>
          <w:tcPr>
            <w:tcW w:w="617" w:type="dxa"/>
            <w:noWrap w:val="0"/>
            <w:vAlign w:val="center"/>
          </w:tcPr>
          <w:p>
            <w:pPr>
              <w:widowControl/>
              <w:jc w:val="center"/>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jc w:val="center"/>
        </w:trPr>
        <w:tc>
          <w:tcPr>
            <w:tcW w:w="411" w:type="dxa"/>
            <w:vMerge w:val="continue"/>
            <w:noWrap w:val="0"/>
            <w:vAlign w:val="center"/>
          </w:tcPr>
          <w:p>
            <w:pPr>
              <w:jc w:val="center"/>
              <w:rPr>
                <w:rFonts w:ascii="仿宋_GB2312" w:hAnsi="宋体" w:eastAsia="仿宋_GB2312" w:cs="宋体"/>
                <w:kern w:val="0"/>
                <w:sz w:val="20"/>
                <w:szCs w:val="20"/>
              </w:rPr>
            </w:pPr>
          </w:p>
        </w:tc>
        <w:tc>
          <w:tcPr>
            <w:tcW w:w="429" w:type="dxa"/>
            <w:vMerge w:val="continue"/>
            <w:tcBorders>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vMerge w:val="continue"/>
            <w:tcBorders>
              <w:left w:val="single" w:color="auto" w:sz="4" w:space="0"/>
            </w:tcBorders>
            <w:noWrap w:val="0"/>
            <w:vAlign w:val="center"/>
          </w:tcPr>
          <w:p>
            <w:pPr>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资金  结余</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highlight w:val="none"/>
              </w:rPr>
            </w:pPr>
            <w:r>
              <w:rPr>
                <w:rFonts w:hint="eastAsia" w:ascii="仿宋_GB2312" w:hAnsi="宋体" w:eastAsia="仿宋_GB2312" w:cs="宋体"/>
                <w:kern w:val="0"/>
                <w:sz w:val="20"/>
                <w:szCs w:val="20"/>
                <w:highlight w:val="none"/>
              </w:rPr>
              <w:t>结余超过10%（不含），2分；结余在0-10%（含）的，1分；本年超支不得分。</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本项结余不含未完工项目资金的结转数。</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8" w:hRule="atLeast"/>
          <w:jc w:val="center"/>
        </w:trPr>
        <w:tc>
          <w:tcPr>
            <w:tcW w:w="411" w:type="dxa"/>
            <w:vMerge w:val="continue"/>
            <w:noWrap w:val="0"/>
            <w:vAlign w:val="center"/>
          </w:tcPr>
          <w:p>
            <w:pPr>
              <w:jc w:val="center"/>
              <w:rPr>
                <w:rFonts w:ascii="仿宋_GB2312" w:hAnsi="宋体" w:eastAsia="仿宋_GB2312" w:cs="宋体"/>
                <w:kern w:val="0"/>
                <w:sz w:val="20"/>
                <w:szCs w:val="20"/>
              </w:rPr>
            </w:pPr>
          </w:p>
        </w:tc>
        <w:tc>
          <w:tcPr>
            <w:tcW w:w="429" w:type="dxa"/>
            <w:vMerge w:val="continue"/>
            <w:tcBorders>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vMerge w:val="continue"/>
            <w:tcBorders>
              <w:left w:val="single" w:color="auto" w:sz="4" w:space="0"/>
            </w:tcBorders>
            <w:noWrap w:val="0"/>
            <w:vAlign w:val="center"/>
          </w:tcPr>
          <w:p>
            <w:pPr>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“三公经费”</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控制率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以100%为标准。三公经费控制率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100%，计2分；每超过一个百分点扣0.2分，扣完为止。单位没有制定“三公”经费预算，该项不得分。</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“三公经费”控制率=（“三公经费”实际支出数/“三公经费”预算安排数）×100%。</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atLeast"/>
          <w:jc w:val="center"/>
        </w:trPr>
        <w:tc>
          <w:tcPr>
            <w:tcW w:w="411" w:type="dxa"/>
            <w:vMerge w:val="continue"/>
            <w:noWrap w:val="0"/>
            <w:vAlign w:val="center"/>
          </w:tcPr>
          <w:p>
            <w:pPr>
              <w:jc w:val="center"/>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政府</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采购</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 w:hAnsi="仿宋" w:eastAsia="仿宋" w:cs="宋体"/>
                <w:kern w:val="0"/>
                <w:sz w:val="20"/>
                <w:szCs w:val="20"/>
              </w:rPr>
              <w:t>①编</w:t>
            </w:r>
            <w:r>
              <w:rPr>
                <w:rFonts w:hint="eastAsia" w:ascii="仿宋_GB2312" w:hAnsi="宋体" w:eastAsia="仿宋_GB2312" w:cs="宋体"/>
                <w:kern w:val="0"/>
                <w:sz w:val="20"/>
                <w:szCs w:val="20"/>
              </w:rPr>
              <w:t>制政府采购年度预算并上报的，0.5分；②追加并编制政府采购预算的，0.5分；</w:t>
            </w:r>
            <w:r>
              <w:rPr>
                <w:rFonts w:hint="eastAsia" w:ascii="仿宋" w:hAnsi="仿宋" w:eastAsia="仿宋" w:cs="宋体"/>
                <w:kern w:val="0"/>
                <w:sz w:val="20"/>
                <w:szCs w:val="20"/>
              </w:rPr>
              <w:t>③</w:t>
            </w:r>
            <w:r>
              <w:rPr>
                <w:rFonts w:hint="eastAsia" w:ascii="仿宋_GB2312" w:hAnsi="宋体" w:eastAsia="仿宋_GB2312" w:cs="宋体"/>
                <w:kern w:val="0"/>
                <w:sz w:val="20"/>
                <w:szCs w:val="20"/>
              </w:rPr>
              <w:t>政府采购执行率=100%，计1分；每少一个百分点扣0.1分，扣完为止。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政府采购执行率=（实际实行政府采购金额/应实行政府采购金额）×100%。应实行政府采金额以《湘财购[2012]27号》文件为标准。</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5" w:hRule="atLeast"/>
          <w:jc w:val="center"/>
        </w:trPr>
        <w:tc>
          <w:tcPr>
            <w:tcW w:w="411" w:type="dxa"/>
            <w:vMerge w:val="continue"/>
            <w:noWrap w:val="0"/>
            <w:vAlign w:val="center"/>
          </w:tcPr>
          <w:p>
            <w:pPr>
              <w:widowControl/>
              <w:jc w:val="center"/>
              <w:rPr>
                <w:rFonts w:ascii="仿宋_GB2312" w:hAnsi="宋体" w:eastAsia="仿宋_GB2312" w:cs="宋体"/>
                <w:kern w:val="0"/>
                <w:sz w:val="20"/>
                <w:szCs w:val="20"/>
              </w:rPr>
            </w:pPr>
          </w:p>
        </w:tc>
        <w:tc>
          <w:tcPr>
            <w:tcW w:w="429" w:type="dxa"/>
            <w:vMerge w:val="restart"/>
            <w:tcBorders>
              <w:top w:val="single" w:color="auto" w:sz="4" w:space="0"/>
              <w:right w:val="single" w:color="auto" w:sz="4" w:space="0"/>
            </w:tcBorders>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预算管理</w:t>
            </w:r>
          </w:p>
        </w:tc>
        <w:tc>
          <w:tcPr>
            <w:tcW w:w="567" w:type="dxa"/>
            <w:vMerge w:val="restart"/>
            <w:tcBorders>
              <w:top w:val="single" w:color="auto" w:sz="4" w:space="0"/>
              <w:left w:val="single" w:color="auto" w:sz="4" w:space="0"/>
            </w:tcBorders>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28</w:t>
            </w:r>
          </w:p>
        </w:tc>
        <w:tc>
          <w:tcPr>
            <w:tcW w:w="851" w:type="dxa"/>
            <w:tcBorders>
              <w:top w:val="single" w:color="auto" w:sz="4" w:space="0"/>
            </w:tcBorders>
            <w:noWrap w:val="0"/>
            <w:vAlign w:val="center"/>
          </w:tcPr>
          <w:p>
            <w:pPr>
              <w:widowControl/>
              <w:jc w:val="both"/>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管理  制度</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健全性</w:t>
            </w:r>
          </w:p>
        </w:tc>
        <w:tc>
          <w:tcPr>
            <w:tcW w:w="567" w:type="dxa"/>
            <w:tcBorders>
              <w:top w:val="single" w:color="auto" w:sz="4" w:space="0"/>
            </w:tcBorders>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6</w:t>
            </w:r>
          </w:p>
          <w:p>
            <w:pPr>
              <w:widowControl/>
              <w:jc w:val="both"/>
              <w:rPr>
                <w:rFonts w:hint="eastAsia" w:ascii="仿宋_GB2312" w:hAnsi="宋体" w:eastAsia="仿宋_GB2312" w:cs="宋体"/>
                <w:kern w:val="0"/>
                <w:sz w:val="20"/>
                <w:szCs w:val="20"/>
              </w:rPr>
            </w:pPr>
          </w:p>
        </w:tc>
        <w:tc>
          <w:tcPr>
            <w:tcW w:w="3118" w:type="dxa"/>
            <w:tcBorders>
              <w:top w:val="single" w:color="auto" w:sz="4" w:space="0"/>
            </w:tcBorders>
            <w:noWrap w:val="0"/>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①已制定资金管理办法、内部财务管理制度、会计核算制度等管理制度，1分；</w:t>
            </w:r>
          </w:p>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②建立健全单位内部控制制度，1分；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③会计人员、机构按规定设置，1分；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④会计基础工作健全，1分；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⑤会计档案符合规定要求，1分；</w:t>
            </w:r>
          </w:p>
          <w:p>
            <w:pPr>
              <w:widowControl/>
              <w:jc w:val="left"/>
              <w:rPr>
                <w:rFonts w:hint="eastAsia" w:ascii="仿宋_GB2312" w:hAnsi="宋体" w:eastAsia="仿宋_GB2312" w:cs="宋体"/>
                <w:kern w:val="0"/>
                <w:sz w:val="20"/>
                <w:szCs w:val="20"/>
              </w:rPr>
            </w:pPr>
            <w:r>
              <w:rPr>
                <w:rFonts w:hint="eastAsia" w:ascii="仿宋_GB2312" w:hAnsi="仿宋" w:eastAsia="仿宋_GB2312" w:cs="仿宋"/>
                <w:kern w:val="0"/>
                <w:sz w:val="20"/>
                <w:szCs w:val="20"/>
              </w:rPr>
              <w:t>⑥项目管理规范（包括项目立项、申报、招投标、制度建立、按时完工等），1分，每发现少一项扣0.2分，扣完为止。</w:t>
            </w:r>
          </w:p>
        </w:tc>
        <w:tc>
          <w:tcPr>
            <w:tcW w:w="3472" w:type="dxa"/>
            <w:tcBorders>
              <w:top w:val="single" w:color="auto" w:sz="4" w:space="0"/>
            </w:tcBorders>
            <w:noWrap w:val="0"/>
            <w:vAlign w:val="center"/>
          </w:tcPr>
          <w:p>
            <w:pPr>
              <w:widowControl/>
              <w:jc w:val="left"/>
              <w:rPr>
                <w:rFonts w:hint="eastAsia" w:ascii="仿宋_GB2312" w:hAnsi="宋体" w:eastAsia="仿宋_GB2312" w:cs="宋体"/>
                <w:kern w:val="0"/>
                <w:sz w:val="20"/>
                <w:szCs w:val="20"/>
              </w:rPr>
            </w:pPr>
          </w:p>
        </w:tc>
        <w:tc>
          <w:tcPr>
            <w:tcW w:w="617" w:type="dxa"/>
            <w:tcBorders>
              <w:top w:val="single" w:color="auto" w:sz="4" w:space="0"/>
            </w:tcBorders>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411" w:type="dxa"/>
            <w:vMerge w:val="continue"/>
            <w:noWrap w:val="0"/>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vMerge w:val="continue"/>
            <w:tcBorders>
              <w:top w:val="single" w:color="auto" w:sz="4" w:space="0"/>
              <w:left w:val="single" w:color="auto" w:sz="4" w:space="0"/>
            </w:tcBorders>
            <w:noWrap w:val="0"/>
            <w:vAlign w:val="center"/>
          </w:tcPr>
          <w:p>
            <w:pPr>
              <w:jc w:val="center"/>
              <w:rPr>
                <w:rFonts w:hint="eastAsia" w:ascii="仿宋_GB2312" w:hAnsi="宋体" w:eastAsia="仿宋_GB2312" w:cs="宋体"/>
                <w:kern w:val="0"/>
                <w:sz w:val="20"/>
                <w:szCs w:val="20"/>
              </w:rPr>
            </w:pPr>
          </w:p>
        </w:tc>
        <w:tc>
          <w:tcPr>
            <w:tcW w:w="851" w:type="dxa"/>
            <w:tcBorders>
              <w:top w:val="single" w:color="auto" w:sz="4" w:space="0"/>
            </w:tcBorders>
            <w:noWrap w:val="0"/>
            <w:vAlign w:val="center"/>
          </w:tcPr>
          <w:p>
            <w:pPr>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内控制度情况</w:t>
            </w:r>
          </w:p>
        </w:tc>
        <w:tc>
          <w:tcPr>
            <w:tcW w:w="567" w:type="dxa"/>
            <w:tcBorders>
              <w:top w:val="single" w:color="auto" w:sz="4" w:space="0"/>
            </w:tcBorders>
            <w:noWrap w:val="0"/>
            <w:vAlign w:val="center"/>
          </w:tcPr>
          <w:p>
            <w:pPr>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4分</w:t>
            </w:r>
          </w:p>
        </w:tc>
        <w:tc>
          <w:tcPr>
            <w:tcW w:w="3118" w:type="dxa"/>
            <w:tcBorders>
              <w:top w:val="single" w:color="auto" w:sz="4" w:space="0"/>
            </w:tcBorders>
            <w:noWrap w:val="0"/>
            <w:vAlign w:val="center"/>
          </w:tcPr>
          <w:p>
            <w:pPr>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内部控制制度完全执行，4分，执行过程中，某个环节（节点）执行不到位的，每个环节（节点）扣1分，扣完为止。</w:t>
            </w:r>
          </w:p>
        </w:tc>
        <w:tc>
          <w:tcPr>
            <w:tcW w:w="3472" w:type="dxa"/>
            <w:tcBorders>
              <w:top w:val="single" w:color="auto" w:sz="4" w:space="0"/>
            </w:tcBorders>
            <w:noWrap w:val="0"/>
            <w:vAlign w:val="center"/>
          </w:tcPr>
          <w:p>
            <w:pPr>
              <w:widowControl/>
              <w:jc w:val="left"/>
              <w:rPr>
                <w:rFonts w:hint="eastAsia" w:ascii="仿宋_GB2312" w:hAnsi="宋体" w:eastAsia="仿宋_GB2312" w:cs="宋体"/>
                <w:kern w:val="0"/>
                <w:sz w:val="20"/>
                <w:szCs w:val="20"/>
              </w:rPr>
            </w:pPr>
          </w:p>
        </w:tc>
        <w:tc>
          <w:tcPr>
            <w:tcW w:w="617" w:type="dxa"/>
            <w:tcBorders>
              <w:top w:val="single" w:color="auto" w:sz="4" w:space="0"/>
            </w:tcBorders>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7" w:hRule="atLeast"/>
          <w:jc w:val="center"/>
        </w:trPr>
        <w:tc>
          <w:tcPr>
            <w:tcW w:w="411" w:type="dxa"/>
            <w:vMerge w:val="restart"/>
            <w:tcBorders>
              <w:top w:val="nil"/>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过程</w:t>
            </w:r>
          </w:p>
        </w:tc>
        <w:tc>
          <w:tcPr>
            <w:tcW w:w="429" w:type="dxa"/>
            <w:vMerge w:val="continue"/>
            <w:tcBorders>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vMerge w:val="continue"/>
            <w:tcBorders>
              <w:left w:val="single" w:color="auto" w:sz="4" w:space="0"/>
            </w:tcBorders>
            <w:noWrap w:val="0"/>
            <w:vAlign w:val="center"/>
          </w:tcPr>
          <w:p>
            <w:pPr>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资金  使用</w:t>
            </w:r>
          </w:p>
          <w:p>
            <w:pPr>
              <w:widowControl/>
              <w:jc w:val="both"/>
              <w:rPr>
                <w:rFonts w:ascii="仿宋_GB2312" w:hAnsi="宋体" w:eastAsia="仿宋_GB2312" w:cs="宋体"/>
                <w:kern w:val="0"/>
                <w:sz w:val="20"/>
                <w:szCs w:val="20"/>
              </w:rPr>
            </w:pPr>
            <w:r>
              <w:rPr>
                <w:rFonts w:hint="eastAsia" w:ascii="仿宋_GB2312" w:hAnsi="宋体" w:eastAsia="仿宋_GB2312" w:cs="宋体"/>
                <w:kern w:val="0"/>
                <w:sz w:val="20"/>
                <w:szCs w:val="20"/>
              </w:rPr>
              <w:t>合规性</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14</w:t>
            </w:r>
          </w:p>
        </w:tc>
        <w:tc>
          <w:tcPr>
            <w:tcW w:w="3118" w:type="dxa"/>
            <w:noWrap w:val="0"/>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①支出符合国家财经法规和财务管理制度规定以及有关专项资金管理办法的规定；</w:t>
            </w:r>
          </w:p>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②资金（开支）拨付有完整的审批程序和手续；</w:t>
            </w:r>
          </w:p>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③支出符合部门预算批复的用途；</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④资金使用无截留、挤占、挪用、虚列支出、随意借用、大额现金支付等情况。</w:t>
            </w:r>
          </w:p>
          <w:p>
            <w:pPr>
              <w:widowControl/>
              <w:jc w:val="left"/>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⑤</w:t>
            </w:r>
            <w:r>
              <w:rPr>
                <w:rFonts w:hint="eastAsia" w:ascii="仿宋_GB2312" w:hAnsi="仿宋" w:eastAsia="仿宋_GB2312" w:cs="仿宋"/>
                <w:kern w:val="0"/>
                <w:sz w:val="20"/>
                <w:szCs w:val="20"/>
              </w:rPr>
              <w:t>重大财务事项经由集体研究决策；</w:t>
            </w:r>
          </w:p>
          <w:p>
            <w:pPr>
              <w:widowControl/>
              <w:jc w:val="left"/>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⑥</w:t>
            </w:r>
            <w:r>
              <w:rPr>
                <w:rFonts w:hint="eastAsia" w:ascii="仿宋_GB2312" w:hAnsi="仿宋" w:eastAsia="仿宋_GB2312" w:cs="仿宋"/>
                <w:kern w:val="0"/>
                <w:sz w:val="20"/>
                <w:szCs w:val="20"/>
              </w:rPr>
              <w:t>专项资金做到专款专用；</w:t>
            </w:r>
          </w:p>
          <w:p>
            <w:pPr>
              <w:widowControl/>
              <w:jc w:val="left"/>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⑦</w:t>
            </w:r>
            <w:r>
              <w:rPr>
                <w:rFonts w:hint="eastAsia" w:ascii="仿宋_GB2312" w:hAnsi="仿宋" w:eastAsia="仿宋_GB2312" w:cs="仿宋"/>
                <w:kern w:val="0"/>
                <w:sz w:val="20"/>
                <w:szCs w:val="20"/>
              </w:rPr>
              <w:t>原始凭证的取得真实有效；</w:t>
            </w:r>
          </w:p>
          <w:p>
            <w:pPr>
              <w:widowControl/>
              <w:jc w:val="left"/>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⑧</w:t>
            </w:r>
            <w:r>
              <w:rPr>
                <w:rFonts w:hint="eastAsia" w:ascii="仿宋_GB2312" w:hAnsi="仿宋" w:eastAsia="仿宋_GB2312" w:cs="仿宋"/>
                <w:kern w:val="0"/>
                <w:sz w:val="20"/>
                <w:szCs w:val="20"/>
              </w:rPr>
              <w:t>无超范围、超预算开支；</w:t>
            </w:r>
          </w:p>
          <w:p>
            <w:pPr>
              <w:widowControl/>
              <w:jc w:val="left"/>
              <w:rPr>
                <w:rFonts w:hint="eastAsia" w:ascii="仿宋_GB2312" w:hAnsi="仿宋" w:eastAsia="仿宋_GB2312" w:cs="仿宋"/>
                <w:kern w:val="0"/>
                <w:sz w:val="20"/>
                <w:szCs w:val="20"/>
                <w:lang w:eastAsia="zh-CN"/>
              </w:rPr>
            </w:pPr>
            <w:r>
              <w:rPr>
                <w:rFonts w:hint="eastAsia" w:ascii="仿宋" w:hAnsi="仿宋" w:eastAsia="仿宋" w:cs="仿宋"/>
                <w:kern w:val="0"/>
                <w:sz w:val="20"/>
                <w:szCs w:val="20"/>
              </w:rPr>
              <w:t>⑨</w:t>
            </w:r>
            <w:r>
              <w:rPr>
                <w:rFonts w:hint="eastAsia" w:ascii="仿宋_GB2312" w:hAnsi="仿宋" w:eastAsia="仿宋_GB2312" w:cs="仿宋"/>
                <w:kern w:val="0"/>
                <w:sz w:val="20"/>
                <w:szCs w:val="20"/>
              </w:rPr>
              <w:t>无超标准发放津补贴、奖金，无用公款支付应由个人支付的款项。</w:t>
            </w:r>
          </w:p>
          <w:p>
            <w:pPr>
              <w:widowControl/>
              <w:jc w:val="left"/>
              <w:rPr>
                <w:rFonts w:ascii="仿宋_GB2312" w:hAnsi="宋体" w:eastAsia="仿宋_GB2312" w:cs="宋体"/>
                <w:kern w:val="0"/>
                <w:sz w:val="20"/>
                <w:szCs w:val="20"/>
              </w:rPr>
            </w:pPr>
            <w:r>
              <w:rPr>
                <w:rFonts w:hint="eastAsia" w:ascii="仿宋_GB2312" w:hAnsi="仿宋" w:eastAsia="仿宋_GB2312" w:cs="仿宋"/>
                <w:kern w:val="0"/>
                <w:sz w:val="20"/>
                <w:szCs w:val="20"/>
              </w:rPr>
              <w:t>以上情况每出现一例不</w:t>
            </w:r>
            <w:r>
              <w:rPr>
                <w:rFonts w:hint="eastAsia" w:ascii="仿宋_GB2312" w:hAnsi="宋体" w:eastAsia="仿宋_GB2312" w:cs="宋体"/>
                <w:kern w:val="0"/>
                <w:sz w:val="20"/>
                <w:szCs w:val="20"/>
              </w:rPr>
              <w:t>符合要求的扣2分，扣完为止。</w:t>
            </w:r>
          </w:p>
        </w:tc>
        <w:tc>
          <w:tcPr>
            <w:tcW w:w="3472" w:type="dxa"/>
            <w:noWrap w:val="0"/>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部门（单位）使用预算资金是否符合相关的预算财务管理制度的规定，用以反映和考核部门（单位）预算资金的规范运行情况。</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6" w:hRule="atLeast"/>
          <w:jc w:val="center"/>
        </w:trPr>
        <w:tc>
          <w:tcPr>
            <w:tcW w:w="411" w:type="dxa"/>
            <w:vMerge w:val="continue"/>
            <w:tcBorders>
              <w:top w:val="nil"/>
            </w:tcBorders>
            <w:noWrap w:val="0"/>
            <w:vAlign w:val="center"/>
          </w:tcPr>
          <w:p>
            <w:pPr>
              <w:widowControl/>
              <w:jc w:val="center"/>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0"/>
            <w:vAlign w:val="center"/>
          </w:tcPr>
          <w:p>
            <w:pPr>
              <w:widowControl/>
              <w:jc w:val="center"/>
              <w:rPr>
                <w:rFonts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0"/>
            <w:vAlign w:val="center"/>
          </w:tcPr>
          <w:p>
            <w:pPr>
              <w:widowControl/>
              <w:jc w:val="center"/>
              <w:rPr>
                <w:rFonts w:ascii="仿宋_GB2312" w:hAnsi="宋体" w:eastAsia="仿宋_GB2312" w:cs="宋体"/>
                <w:kern w:val="0"/>
                <w:sz w:val="20"/>
                <w:szCs w:val="20"/>
              </w:rPr>
            </w:pPr>
          </w:p>
        </w:tc>
        <w:tc>
          <w:tcPr>
            <w:tcW w:w="851" w:type="dxa"/>
            <w:noWrap w:val="0"/>
            <w:vAlign w:val="center"/>
          </w:tcPr>
          <w:p>
            <w:pPr>
              <w:widowControl/>
              <w:jc w:val="both"/>
              <w:rPr>
                <w:rFonts w:ascii="仿宋_GB2312" w:hAnsi="宋体" w:eastAsia="仿宋_GB2312" w:cs="宋体"/>
                <w:kern w:val="0"/>
                <w:sz w:val="20"/>
                <w:szCs w:val="20"/>
              </w:rPr>
            </w:pPr>
            <w:r>
              <w:rPr>
                <w:rFonts w:hint="eastAsia" w:ascii="仿宋_GB2312" w:hAnsi="宋体" w:eastAsia="仿宋_GB2312" w:cs="宋体"/>
                <w:kern w:val="0"/>
                <w:sz w:val="20"/>
                <w:szCs w:val="20"/>
              </w:rPr>
              <w:t>预决算信息公开性和完善性</w:t>
            </w:r>
          </w:p>
        </w:tc>
        <w:tc>
          <w:tcPr>
            <w:tcW w:w="567" w:type="dxa"/>
            <w:noWrap w:val="0"/>
            <w:vAlign w:val="center"/>
          </w:tcPr>
          <w:p>
            <w:pPr>
              <w:widowControl/>
              <w:jc w:val="both"/>
              <w:rPr>
                <w:rFonts w:ascii="仿宋_GB2312" w:hAnsi="宋体" w:eastAsia="仿宋_GB2312" w:cs="宋体"/>
                <w:kern w:val="0"/>
                <w:sz w:val="20"/>
                <w:szCs w:val="20"/>
              </w:rPr>
            </w:pPr>
            <w:r>
              <w:rPr>
                <w:rFonts w:hint="eastAsia" w:ascii="仿宋_GB2312" w:hAnsi="宋体" w:eastAsia="仿宋_GB2312" w:cs="宋体"/>
                <w:kern w:val="0"/>
                <w:sz w:val="20"/>
                <w:szCs w:val="20"/>
              </w:rPr>
              <w:t>4</w:t>
            </w:r>
          </w:p>
        </w:tc>
        <w:tc>
          <w:tcPr>
            <w:tcW w:w="3118" w:type="dxa"/>
            <w:noWrap w:val="0"/>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xml:space="preserve">①按规定内容公开预决算信息，1分；②按规定时限公开预决算信息，1分；③基础数据信息和会计信息资料真实、完整，1分；④基础数据信息和汇集信息资料准确，1分。                                           </w:t>
            </w:r>
          </w:p>
        </w:tc>
        <w:tc>
          <w:tcPr>
            <w:tcW w:w="3472" w:type="dxa"/>
            <w:noWrap w:val="0"/>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预决算信息是指与部门预算、执行、决算、监督、绩效等管理相关的信息。</w:t>
            </w:r>
          </w:p>
        </w:tc>
        <w:tc>
          <w:tcPr>
            <w:tcW w:w="617" w:type="dxa"/>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411" w:type="dxa"/>
            <w:vMerge w:val="continue"/>
            <w:tcBorders>
              <w:top w:val="nil"/>
            </w:tcBorders>
            <w:noWrap w:val="0"/>
            <w:vAlign w:val="center"/>
          </w:tcPr>
          <w:p>
            <w:pPr>
              <w:widowControl/>
              <w:jc w:val="center"/>
              <w:rPr>
                <w:rFonts w:ascii="仿宋_GB2312" w:hAnsi="宋体" w:eastAsia="仿宋_GB2312" w:cs="宋体"/>
                <w:kern w:val="0"/>
                <w:sz w:val="20"/>
                <w:szCs w:val="20"/>
              </w:rPr>
            </w:pPr>
          </w:p>
        </w:tc>
        <w:tc>
          <w:tcPr>
            <w:tcW w:w="429" w:type="dxa"/>
            <w:vMerge w:val="restart"/>
            <w:tcBorders>
              <w:top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资产管理</w:t>
            </w:r>
          </w:p>
        </w:tc>
        <w:tc>
          <w:tcPr>
            <w:tcW w:w="567" w:type="dxa"/>
            <w:vMerge w:val="restart"/>
            <w:tcBorders>
              <w:top w:val="single" w:color="auto" w:sz="4" w:space="0"/>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w:t>
            </w:r>
          </w:p>
        </w:tc>
        <w:tc>
          <w:tcPr>
            <w:tcW w:w="851" w:type="dxa"/>
            <w:noWrap w:val="0"/>
            <w:vAlign w:val="center"/>
          </w:tcPr>
          <w:p>
            <w:pPr>
              <w:widowControl/>
              <w:jc w:val="both"/>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管理  制度</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健全性</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①已制定资产管理制度，1分；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 xml:space="preserve">②相关资产管理制度得到有效执行，1分。                                           </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部门（单位）为加强资产管理，规范资产管理行为而制定的管理制度是否健全完整、用以反映和考核部门（单位）资产管理制度对完成主要职责或促进社会发展的保障情况</w:t>
            </w:r>
          </w:p>
        </w:tc>
        <w:tc>
          <w:tcPr>
            <w:tcW w:w="617" w:type="dxa"/>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3" w:hRule="atLeast"/>
          <w:jc w:val="center"/>
        </w:trPr>
        <w:tc>
          <w:tcPr>
            <w:tcW w:w="411" w:type="dxa"/>
            <w:vMerge w:val="continue"/>
            <w:tcBorders>
              <w:top w:val="nil"/>
            </w:tcBorders>
            <w:noWrap w:val="0"/>
            <w:vAlign w:val="center"/>
          </w:tcPr>
          <w:p>
            <w:pPr>
              <w:widowControl/>
              <w:jc w:val="center"/>
              <w:rPr>
                <w:rFonts w:hint="eastAsia" w:ascii="仿宋_GB2312" w:hAnsi="宋体" w:eastAsia="仿宋_GB2312" w:cs="宋体"/>
                <w:kern w:val="0"/>
                <w:sz w:val="20"/>
                <w:szCs w:val="20"/>
              </w:rPr>
            </w:pPr>
          </w:p>
        </w:tc>
        <w:tc>
          <w:tcPr>
            <w:tcW w:w="429" w:type="dxa"/>
            <w:vMerge w:val="continue"/>
            <w:tcBorders>
              <w:top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top w:val="single" w:color="auto" w:sz="4" w:space="0"/>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资产  管理</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安全性</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16</w:t>
            </w:r>
          </w:p>
        </w:tc>
        <w:tc>
          <w:tcPr>
            <w:tcW w:w="3118" w:type="dxa"/>
            <w:noWrap w:val="0"/>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 xml:space="preserve">①资产保存完整；②资产配置合理；③资产处置规范； </w:t>
            </w:r>
          </w:p>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④资产账务管理合规，帐实帐卡、账账、账表（决算报表等）相符；⑤资产有偿使用及处置收入及时足额上缴；</w:t>
            </w:r>
            <w:r>
              <w:rPr>
                <w:rFonts w:hint="eastAsia" w:ascii="仿宋_GB2312" w:hAnsi="仿宋" w:eastAsia="仿宋_GB2312" w:cs="仿宋"/>
                <w:kern w:val="0"/>
                <w:sz w:val="20"/>
                <w:szCs w:val="20"/>
              </w:rPr>
              <w:t>⑥清查盘点：每年至少清查盘点一次；⑦产权明晰，权证齐全</w:t>
            </w:r>
            <w:r>
              <w:rPr>
                <w:rFonts w:hint="eastAsia" w:ascii="仿宋_GB2312" w:hAnsi="宋体" w:eastAsia="仿宋_GB2312" w:cs="宋体"/>
                <w:kern w:val="0"/>
                <w:sz w:val="20"/>
                <w:szCs w:val="20"/>
              </w:rPr>
              <w:t>；⑧按标准购置固定资产。</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以上情况每出现一例不符合要求的扣2分；⑨未按时报送2018年行政事业单位资产报表的，每延迟一天，扣1分，扣完为止。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部门（单位）的资产是否保存完整，使用合规、配置合理、处置规范、收入及时足额上缴，用以反映和考核部门（单位）资产安全运行情况。</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411" w:type="dxa"/>
            <w:vMerge w:val="continue"/>
            <w:tcBorders>
              <w:top w:val="nil"/>
            </w:tcBorders>
            <w:noWrap w:val="0"/>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top w:val="single" w:color="auto" w:sz="4" w:space="0"/>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固定  资产</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利用率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固定资产利用率,100%,2分,每低于一个百分点扣0.2分，扣完为止。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固定资产利用率=（实际在用固定资产总额/所有固定资产总额）×100%</w:t>
            </w:r>
          </w:p>
        </w:tc>
        <w:tc>
          <w:tcPr>
            <w:tcW w:w="617" w:type="dxa"/>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jc w:val="center"/>
        </w:trPr>
        <w:tc>
          <w:tcPr>
            <w:tcW w:w="411" w:type="dxa"/>
            <w:vMerge w:val="continue"/>
            <w:tcBorders>
              <w:top w:val="nil"/>
            </w:tcBorders>
            <w:noWrap w:val="0"/>
            <w:vAlign w:val="center"/>
          </w:tcPr>
          <w:p>
            <w:pPr>
              <w:widowControl/>
              <w:jc w:val="center"/>
              <w:rPr>
                <w:rFonts w:ascii="仿宋_GB2312" w:hAnsi="宋体" w:eastAsia="仿宋_GB2312" w:cs="宋体"/>
                <w:kern w:val="0"/>
                <w:sz w:val="20"/>
                <w:szCs w:val="20"/>
              </w:rPr>
            </w:pPr>
          </w:p>
        </w:tc>
        <w:tc>
          <w:tcPr>
            <w:tcW w:w="429" w:type="dxa"/>
            <w:vMerge w:val="restart"/>
            <w:tcBorders>
              <w:right w:val="single" w:color="auto" w:sz="4" w:space="0"/>
            </w:tcBorders>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绩效管理</w:t>
            </w:r>
          </w:p>
        </w:tc>
        <w:tc>
          <w:tcPr>
            <w:tcW w:w="567" w:type="dxa"/>
            <w:vMerge w:val="restart"/>
            <w:tcBorders>
              <w:top w:val="single" w:color="auto" w:sz="4" w:space="0"/>
              <w:lef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17</w:t>
            </w: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目标 管理</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①本单位所有专项、项目资金均实行目标管理的，各2分,每少一个专项、项目的，扣1分，扣完为止；②编制并报送</w:t>
            </w:r>
            <w:r>
              <w:rPr>
                <w:rFonts w:hint="eastAsia" w:ascii="仿宋_GB2312" w:hAnsi="宋体" w:eastAsia="仿宋_GB2312" w:cs="宋体"/>
                <w:kern w:val="0"/>
                <w:sz w:val="20"/>
                <w:szCs w:val="20"/>
                <w:lang w:eastAsia="zh-CN"/>
              </w:rPr>
              <w:t>2021</w:t>
            </w:r>
            <w:r>
              <w:rPr>
                <w:rFonts w:hint="eastAsia" w:ascii="仿宋_GB2312" w:hAnsi="宋体" w:eastAsia="仿宋_GB2312" w:cs="宋体"/>
                <w:kern w:val="0"/>
                <w:sz w:val="20"/>
                <w:szCs w:val="20"/>
              </w:rPr>
              <w:t>年度部门整体支出绩效目标的，2分；③在规定时间内报送、公开以上目标的，2分，否则不得分。</w:t>
            </w:r>
          </w:p>
        </w:tc>
        <w:tc>
          <w:tcPr>
            <w:tcW w:w="3472" w:type="dxa"/>
            <w:noWrap w:val="0"/>
            <w:vAlign w:val="center"/>
          </w:tcPr>
          <w:p>
            <w:pPr>
              <w:widowControl/>
              <w:jc w:val="left"/>
              <w:rPr>
                <w:rFonts w:hint="eastAsia" w:ascii="仿宋_GB2312" w:hAnsi="宋体" w:eastAsia="仿宋_GB2312" w:cs="宋体"/>
                <w:kern w:val="0"/>
                <w:sz w:val="20"/>
                <w:szCs w:val="20"/>
              </w:rPr>
            </w:pP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6" w:hRule="atLeast"/>
          <w:jc w:val="center"/>
        </w:trPr>
        <w:tc>
          <w:tcPr>
            <w:tcW w:w="411" w:type="dxa"/>
            <w:vMerge w:val="continue"/>
            <w:tcBorders>
              <w:top w:val="nil"/>
              <w:bottom w:val="single" w:color="auto" w:sz="4" w:space="0"/>
            </w:tcBorders>
            <w:noWrap w:val="0"/>
            <w:vAlign w:val="center"/>
          </w:tcPr>
          <w:p>
            <w:pPr>
              <w:widowControl/>
              <w:jc w:val="center"/>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绩效 评价</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管理</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7</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 w:hAnsi="仿宋" w:eastAsia="仿宋" w:cs="宋体"/>
                <w:kern w:val="0"/>
                <w:sz w:val="20"/>
                <w:szCs w:val="20"/>
              </w:rPr>
              <w:t>①</w:t>
            </w:r>
            <w:r>
              <w:rPr>
                <w:rFonts w:hint="eastAsia" w:ascii="仿宋_GB2312" w:hAnsi="宋体" w:eastAsia="仿宋_GB2312" w:cs="宋体"/>
                <w:kern w:val="0"/>
                <w:sz w:val="20"/>
                <w:szCs w:val="20"/>
              </w:rPr>
              <w:t>开展2019年度专项资金绩效自评的，2分，每少一个专项资金的自评扣1分，扣完为止；</w:t>
            </w:r>
            <w:r>
              <w:rPr>
                <w:rFonts w:hint="eastAsia" w:ascii="仿宋" w:hAnsi="仿宋" w:eastAsia="仿宋" w:cs="宋体"/>
                <w:kern w:val="0"/>
                <w:sz w:val="20"/>
                <w:szCs w:val="20"/>
              </w:rPr>
              <w:t>②</w:t>
            </w:r>
            <w:r>
              <w:rPr>
                <w:rFonts w:hint="eastAsia" w:ascii="仿宋_GB2312" w:hAnsi="宋体" w:eastAsia="仿宋_GB2312" w:cs="宋体"/>
                <w:kern w:val="0"/>
                <w:sz w:val="20"/>
                <w:szCs w:val="20"/>
              </w:rPr>
              <w:t>开展2019年度已完工项目绩效自评的，2分，每少一个项目扣1分，扣完为止；</w:t>
            </w:r>
            <w:r>
              <w:rPr>
                <w:rFonts w:hint="eastAsia" w:ascii="仿宋" w:hAnsi="仿宋" w:eastAsia="仿宋" w:cs="宋体"/>
                <w:kern w:val="0"/>
                <w:sz w:val="20"/>
                <w:szCs w:val="20"/>
              </w:rPr>
              <w:t>③</w:t>
            </w:r>
            <w:r>
              <w:rPr>
                <w:rFonts w:hint="eastAsia" w:ascii="仿宋_GB2312" w:hAnsi="宋体" w:eastAsia="仿宋_GB2312" w:cs="宋体"/>
                <w:kern w:val="0"/>
                <w:sz w:val="20"/>
                <w:szCs w:val="20"/>
              </w:rPr>
              <w:t>开展2019年度部门整体支出绩效自评的，1分；</w:t>
            </w:r>
            <w:r>
              <w:rPr>
                <w:rFonts w:hint="eastAsia" w:ascii="仿宋" w:hAnsi="仿宋" w:eastAsia="仿宋" w:cs="宋体"/>
                <w:kern w:val="0"/>
                <w:sz w:val="20"/>
                <w:szCs w:val="20"/>
              </w:rPr>
              <w:t>④</w:t>
            </w:r>
            <w:r>
              <w:rPr>
                <w:rFonts w:hint="eastAsia" w:ascii="仿宋_GB2312" w:hAnsi="宋体" w:eastAsia="仿宋_GB2312" w:cs="宋体"/>
                <w:kern w:val="0"/>
                <w:sz w:val="20"/>
                <w:szCs w:val="20"/>
              </w:rPr>
              <w:t>在规定时间内报送、公开以上自评报告材料的，2分。</w:t>
            </w:r>
          </w:p>
        </w:tc>
        <w:tc>
          <w:tcPr>
            <w:tcW w:w="3472" w:type="dxa"/>
            <w:noWrap w:val="0"/>
            <w:vAlign w:val="center"/>
          </w:tcPr>
          <w:p>
            <w:pPr>
              <w:widowControl/>
              <w:jc w:val="left"/>
              <w:rPr>
                <w:rFonts w:hint="eastAsia" w:ascii="仿宋_GB2312" w:hAnsi="宋体" w:eastAsia="仿宋_GB2312" w:cs="宋体"/>
                <w:kern w:val="0"/>
                <w:sz w:val="20"/>
                <w:szCs w:val="20"/>
              </w:rPr>
            </w:pP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jc w:val="center"/>
        </w:trPr>
        <w:tc>
          <w:tcPr>
            <w:tcW w:w="411" w:type="dxa"/>
            <w:tcBorders>
              <w:top w:val="nil"/>
              <w:bottom w:val="single" w:color="auto" w:sz="4" w:space="0"/>
            </w:tcBorders>
            <w:noWrap w:val="0"/>
            <w:vAlign w:val="center"/>
          </w:tcPr>
          <w:p>
            <w:pPr>
              <w:widowControl/>
              <w:jc w:val="center"/>
              <w:rPr>
                <w:rFonts w:ascii="仿宋_GB2312" w:hAnsi="宋体" w:eastAsia="仿宋_GB2312" w:cs="宋体"/>
                <w:kern w:val="0"/>
                <w:sz w:val="20"/>
                <w:szCs w:val="20"/>
              </w:rPr>
            </w:pPr>
          </w:p>
        </w:tc>
        <w:tc>
          <w:tcPr>
            <w:tcW w:w="429" w:type="dxa"/>
            <w:tcBorders>
              <w:top w:val="nil"/>
              <w:bottom w:val="single" w:color="auto" w:sz="4" w:space="0"/>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tcBorders>
              <w:top w:val="nil"/>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评价 结果 运用</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 w:hAnsi="仿宋" w:eastAsia="仿宋" w:cs="宋体"/>
                <w:sz w:val="20"/>
                <w:szCs w:val="20"/>
              </w:rPr>
            </w:pPr>
            <w:r>
              <w:rPr>
                <w:rFonts w:hint="eastAsia" w:ascii="仿宋_GB2312" w:hAnsi="宋体" w:eastAsia="仿宋_GB2312" w:cs="宋体"/>
                <w:kern w:val="0"/>
                <w:sz w:val="20"/>
                <w:szCs w:val="20"/>
              </w:rPr>
              <w:t>根据2019年度财政重点绩效评价和单位自评情况，向财政报送整改结果并整改到位的，2分，否则不得分。</w:t>
            </w:r>
          </w:p>
        </w:tc>
        <w:tc>
          <w:tcPr>
            <w:tcW w:w="3472" w:type="dxa"/>
            <w:noWrap w:val="0"/>
            <w:vAlign w:val="center"/>
          </w:tcPr>
          <w:p>
            <w:pPr>
              <w:jc w:val="left"/>
              <w:rPr>
                <w:rFonts w:hint="eastAsia" w:ascii="仿宋_GB2312" w:hAnsi="宋体" w:eastAsia="仿宋_GB2312" w:cs="宋体"/>
                <w:kern w:val="0"/>
                <w:sz w:val="20"/>
                <w:szCs w:val="20"/>
              </w:rPr>
            </w:pP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411" w:type="dxa"/>
            <w:vMerge w:val="restart"/>
            <w:tcBorders>
              <w:top w:val="single" w:color="auto" w:sz="4" w:space="0"/>
            </w:tcBorders>
            <w:noWrap w:val="0"/>
            <w:textDirection w:val="tbRlV"/>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产   出</w:t>
            </w:r>
          </w:p>
        </w:tc>
        <w:tc>
          <w:tcPr>
            <w:tcW w:w="429" w:type="dxa"/>
            <w:vMerge w:val="restart"/>
            <w:tcBorders>
              <w:top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职责履行</w:t>
            </w:r>
          </w:p>
        </w:tc>
        <w:tc>
          <w:tcPr>
            <w:tcW w:w="567" w:type="dxa"/>
            <w:vMerge w:val="restart"/>
            <w:tcBorders>
              <w:top w:val="single" w:color="auto" w:sz="4" w:space="0"/>
              <w:lef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5</w:t>
            </w: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　工作　完成率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该项得分=重点工作完成率×2</w:t>
            </w:r>
          </w:p>
        </w:tc>
        <w:tc>
          <w:tcPr>
            <w:tcW w:w="3472" w:type="dxa"/>
            <w:noWrap w:val="0"/>
            <w:vAlign w:val="center"/>
          </w:tcPr>
          <w:p>
            <w:pPr>
              <w:autoSpaceDN w:val="0"/>
              <w:jc w:val="left"/>
              <w:textAlignment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重点工作为市政府确定的为民办实事和部门重点工程与重点工作。</w:t>
            </w:r>
          </w:p>
        </w:tc>
        <w:tc>
          <w:tcPr>
            <w:tcW w:w="617" w:type="dxa"/>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411" w:type="dxa"/>
            <w:vMerge w:val="continue"/>
            <w:tcBorders>
              <w:bottom w:val="single" w:color="auto" w:sz="4" w:space="0"/>
            </w:tcBorders>
            <w:noWrap w:val="0"/>
            <w:textDirection w:val="tbRlV"/>
            <w:vAlign w:val="center"/>
          </w:tcPr>
          <w:p>
            <w:pPr>
              <w:widowControl/>
              <w:jc w:val="center"/>
              <w:rPr>
                <w:rFonts w:hint="eastAsia"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工作</w:t>
            </w:r>
          </w:p>
          <w:p>
            <w:pPr>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质量</w:t>
            </w:r>
          </w:p>
        </w:tc>
        <w:tc>
          <w:tcPr>
            <w:tcW w:w="567" w:type="dxa"/>
            <w:noWrap w:val="0"/>
            <w:vAlign w:val="center"/>
          </w:tcPr>
          <w:p>
            <w:pPr>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noWrap w:val="0"/>
            <w:vAlign w:val="center"/>
          </w:tcPr>
          <w:p>
            <w:pPr>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以绩效考核评估结果为标准，优秀，计3分；良好，2分；合格，1分；不合格，0分。</w:t>
            </w:r>
          </w:p>
        </w:tc>
        <w:tc>
          <w:tcPr>
            <w:tcW w:w="3472" w:type="dxa"/>
            <w:noWrap w:val="0"/>
            <w:vAlign w:val="center"/>
          </w:tcPr>
          <w:p>
            <w:pPr>
              <w:autoSpaceDN w:val="0"/>
              <w:jc w:val="left"/>
              <w:textAlignment w:val="center"/>
              <w:rPr>
                <w:rFonts w:hint="eastAsia" w:ascii="仿宋_GB2312" w:hAnsi="宋体" w:eastAsia="仿宋_GB2312" w:cs="宋体"/>
                <w:kern w:val="0"/>
                <w:sz w:val="20"/>
                <w:szCs w:val="20"/>
              </w:rPr>
            </w:pPr>
          </w:p>
        </w:tc>
        <w:tc>
          <w:tcPr>
            <w:tcW w:w="617" w:type="dxa"/>
            <w:noWrap w:val="0"/>
            <w:vAlign w:val="center"/>
          </w:tcPr>
          <w:p>
            <w:pPr>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411" w:type="dxa"/>
            <w:vMerge w:val="restart"/>
            <w:tcBorders>
              <w:top w:val="single" w:color="auto" w:sz="4" w:space="0"/>
              <w:bottom w:val="single" w:color="auto" w:sz="4" w:space="0"/>
            </w:tcBorders>
            <w:noWrap w:val="0"/>
            <w:textDirection w:val="tbRlV"/>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效  果</w:t>
            </w:r>
          </w:p>
        </w:tc>
        <w:tc>
          <w:tcPr>
            <w:tcW w:w="429" w:type="dxa"/>
            <w:vMerge w:val="restart"/>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履职效益</w:t>
            </w:r>
          </w:p>
        </w:tc>
        <w:tc>
          <w:tcPr>
            <w:tcW w:w="567" w:type="dxa"/>
            <w:vMerge w:val="restart"/>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4</w:t>
            </w: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经济  效益</w:t>
            </w:r>
          </w:p>
        </w:tc>
        <w:tc>
          <w:tcPr>
            <w:tcW w:w="567" w:type="dxa"/>
            <w:vMerge w:val="restart"/>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6590" w:type="dxa"/>
            <w:gridSpan w:val="2"/>
            <w:vMerge w:val="restart"/>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此三项指标可根据部门实际并结合</w:t>
            </w:r>
            <w:r>
              <w:rPr>
                <w:rFonts w:hint="eastAsia" w:ascii="仿宋_GB2312" w:hAnsi="宋体" w:eastAsia="仿宋_GB2312" w:cs="宋体"/>
                <w:kern w:val="0"/>
                <w:sz w:val="20"/>
                <w:szCs w:val="20"/>
                <w:lang w:eastAsia="zh-CN"/>
              </w:rPr>
              <w:t>2021</w:t>
            </w:r>
            <w:r>
              <w:rPr>
                <w:rFonts w:hint="eastAsia" w:ascii="仿宋_GB2312" w:hAnsi="宋体" w:eastAsia="仿宋_GB2312" w:cs="宋体"/>
                <w:kern w:val="0"/>
                <w:sz w:val="20"/>
                <w:szCs w:val="20"/>
              </w:rPr>
              <w:t>年度部门整体支出绩效目标设立情况有选择的进行评价。</w:t>
            </w:r>
          </w:p>
        </w:tc>
        <w:tc>
          <w:tcPr>
            <w:tcW w:w="617" w:type="dxa"/>
            <w:vMerge w:val="restart"/>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411" w:type="dxa"/>
            <w:vMerge w:val="continue"/>
            <w:tcBorders>
              <w:top w:val="single" w:color="auto" w:sz="4" w:space="0"/>
              <w:bottom w:val="single" w:color="auto" w:sz="4" w:space="0"/>
            </w:tcBorders>
            <w:noWrap w:val="0"/>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社会  效益</w:t>
            </w:r>
          </w:p>
        </w:tc>
        <w:tc>
          <w:tcPr>
            <w:tcW w:w="567" w:type="dxa"/>
            <w:vMerge w:val="continue"/>
            <w:noWrap w:val="0"/>
            <w:vAlign w:val="center"/>
          </w:tcPr>
          <w:p>
            <w:pPr>
              <w:widowControl/>
              <w:jc w:val="both"/>
              <w:rPr>
                <w:rFonts w:hint="eastAsia" w:ascii="仿宋_GB2312" w:hAnsi="宋体" w:eastAsia="仿宋_GB2312" w:cs="宋体"/>
                <w:kern w:val="0"/>
                <w:sz w:val="20"/>
                <w:szCs w:val="20"/>
              </w:rPr>
            </w:pPr>
          </w:p>
        </w:tc>
        <w:tc>
          <w:tcPr>
            <w:tcW w:w="6590" w:type="dxa"/>
            <w:gridSpan w:val="2"/>
            <w:vMerge w:val="continue"/>
            <w:noWrap w:val="0"/>
            <w:vAlign w:val="center"/>
          </w:tcPr>
          <w:p>
            <w:pPr>
              <w:widowControl/>
              <w:jc w:val="left"/>
              <w:rPr>
                <w:rFonts w:hint="eastAsia" w:ascii="仿宋_GB2312" w:hAnsi="宋体" w:eastAsia="仿宋_GB2312" w:cs="宋体"/>
                <w:kern w:val="0"/>
                <w:sz w:val="20"/>
                <w:szCs w:val="20"/>
              </w:rPr>
            </w:pPr>
          </w:p>
        </w:tc>
        <w:tc>
          <w:tcPr>
            <w:tcW w:w="617" w:type="dxa"/>
            <w:vMerge w:val="continue"/>
            <w:noWrap w:val="0"/>
            <w:vAlign w:val="center"/>
          </w:tcPr>
          <w:p>
            <w:pPr>
              <w:widowControl/>
              <w:jc w:val="cente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411" w:type="dxa"/>
            <w:vMerge w:val="continue"/>
            <w:tcBorders>
              <w:top w:val="single" w:color="auto" w:sz="4" w:space="0"/>
              <w:bottom w:val="single" w:color="auto" w:sz="4" w:space="0"/>
            </w:tcBorders>
            <w:noWrap w:val="0"/>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生态  效益</w:t>
            </w:r>
          </w:p>
        </w:tc>
        <w:tc>
          <w:tcPr>
            <w:tcW w:w="567" w:type="dxa"/>
            <w:vMerge w:val="continue"/>
            <w:noWrap w:val="0"/>
            <w:vAlign w:val="center"/>
          </w:tcPr>
          <w:p>
            <w:pPr>
              <w:widowControl/>
              <w:jc w:val="both"/>
              <w:rPr>
                <w:rFonts w:hint="eastAsia" w:ascii="仿宋_GB2312" w:hAnsi="宋体" w:eastAsia="仿宋_GB2312" w:cs="宋体"/>
                <w:kern w:val="0"/>
                <w:sz w:val="20"/>
                <w:szCs w:val="20"/>
              </w:rPr>
            </w:pPr>
          </w:p>
        </w:tc>
        <w:tc>
          <w:tcPr>
            <w:tcW w:w="6590" w:type="dxa"/>
            <w:gridSpan w:val="2"/>
            <w:vMerge w:val="continue"/>
            <w:noWrap w:val="0"/>
            <w:vAlign w:val="center"/>
          </w:tcPr>
          <w:p>
            <w:pPr>
              <w:widowControl/>
              <w:jc w:val="left"/>
              <w:rPr>
                <w:rFonts w:hint="eastAsia" w:ascii="仿宋_GB2312" w:hAnsi="宋体" w:eastAsia="仿宋_GB2312" w:cs="宋体"/>
                <w:kern w:val="0"/>
                <w:sz w:val="20"/>
                <w:szCs w:val="20"/>
              </w:rPr>
            </w:pPr>
          </w:p>
        </w:tc>
        <w:tc>
          <w:tcPr>
            <w:tcW w:w="617" w:type="dxa"/>
            <w:vMerge w:val="continue"/>
            <w:noWrap w:val="0"/>
            <w:vAlign w:val="center"/>
          </w:tcPr>
          <w:p>
            <w:pPr>
              <w:widowControl/>
              <w:jc w:val="cente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jc w:val="center"/>
        </w:trPr>
        <w:tc>
          <w:tcPr>
            <w:tcW w:w="411" w:type="dxa"/>
            <w:vMerge w:val="continue"/>
            <w:tcBorders>
              <w:top w:val="single" w:color="auto" w:sz="4" w:space="0"/>
              <w:bottom w:val="single" w:color="auto" w:sz="4" w:space="0"/>
            </w:tcBorders>
            <w:noWrap w:val="0"/>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社会公众或服务对象满意度</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90%（含）以上计2分；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80%（含）-90%，计1分；70%（含）-80%，计0.5分；低于70%,计0分。</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社会公众或服务对象是指部门（单位）履行职责而影响到的部门，群体或个人，一般采取社会调查的方式(不少于30份)。</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840" w:type="dxa"/>
            <w:gridSpan w:val="2"/>
            <w:noWrap w:val="0"/>
            <w:vAlign w:val="center"/>
          </w:tcPr>
          <w:p>
            <w:pPr>
              <w:widowControl/>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合计</w:t>
            </w:r>
          </w:p>
        </w:tc>
        <w:tc>
          <w:tcPr>
            <w:tcW w:w="8575" w:type="dxa"/>
            <w:gridSpan w:val="5"/>
            <w:noWrap w:val="0"/>
            <w:vAlign w:val="center"/>
          </w:tcPr>
          <w:p>
            <w:pPr>
              <w:widowControl/>
              <w:jc w:val="left"/>
              <w:rPr>
                <w:rFonts w:hint="eastAsia" w:ascii="仿宋_GB2312" w:hAnsi="宋体" w:eastAsia="仿宋_GB2312" w:cs="宋体"/>
                <w:kern w:val="0"/>
                <w:sz w:val="20"/>
                <w:szCs w:val="20"/>
              </w:rPr>
            </w:pPr>
          </w:p>
        </w:tc>
        <w:tc>
          <w:tcPr>
            <w:tcW w:w="617" w:type="dxa"/>
            <w:noWrap w:val="0"/>
            <w:vAlign w:val="center"/>
          </w:tcPr>
          <w:p>
            <w:pPr>
              <w:widowControl/>
              <w:jc w:val="center"/>
              <w:rPr>
                <w:rFonts w:hint="eastAsia" w:ascii="宋体" w:hAnsi="宋体" w:eastAsia="宋体" w:cs="宋体"/>
                <w:kern w:val="0"/>
                <w:sz w:val="24"/>
                <w:szCs w:val="24"/>
                <w:lang w:val="en-US" w:eastAsia="zh-CN"/>
              </w:rPr>
            </w:pPr>
          </w:p>
        </w:tc>
      </w:tr>
    </w:tbl>
    <w:p>
      <w:pPr>
        <w:spacing w:line="600" w:lineRule="exact"/>
        <w:rPr>
          <w:rFonts w:ascii="宋体" w:hAnsi="宋体" w:cs="宋体"/>
          <w:kern w:val="0"/>
          <w:sz w:val="32"/>
          <w:szCs w:val="32"/>
        </w:rPr>
      </w:pP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DD8543"/>
    <w:multiLevelType w:val="singleLevel"/>
    <w:tmpl w:val="B7DD8543"/>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wOGE1YTI5MTBmYTg1OWMzNzliZDZiNzYxZGQ2NzAifQ=="/>
  </w:docVars>
  <w:rsids>
    <w:rsidRoot w:val="00000000"/>
    <w:rsid w:val="007F4FE7"/>
    <w:rsid w:val="066C147B"/>
    <w:rsid w:val="07E47C6F"/>
    <w:rsid w:val="09282FFE"/>
    <w:rsid w:val="0D8A22A8"/>
    <w:rsid w:val="158C436B"/>
    <w:rsid w:val="15C27804"/>
    <w:rsid w:val="1EAC476E"/>
    <w:rsid w:val="21E85B1E"/>
    <w:rsid w:val="21F00B60"/>
    <w:rsid w:val="36FE209D"/>
    <w:rsid w:val="45AD0E01"/>
    <w:rsid w:val="4687677D"/>
    <w:rsid w:val="50343823"/>
    <w:rsid w:val="576B1369"/>
    <w:rsid w:val="5F430E5A"/>
    <w:rsid w:val="658A5809"/>
    <w:rsid w:val="66081D0F"/>
    <w:rsid w:val="70E85683"/>
    <w:rsid w:val="7117214D"/>
    <w:rsid w:val="76EE76B1"/>
    <w:rsid w:val="78E31484"/>
    <w:rsid w:val="7DAE41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4">
    <w:name w:val="Normal (Web)"/>
    <w:basedOn w:val="1"/>
    <w:qFormat/>
    <w:uiPriority w:val="0"/>
    <w:rPr>
      <w:sz w:val="24"/>
    </w:rPr>
  </w:style>
  <w:style w:type="character" w:styleId="7">
    <w:name w:val="page number"/>
    <w:basedOn w:val="6"/>
    <w:qFormat/>
    <w:uiPriority w:val="0"/>
  </w:style>
  <w:style w:type="character" w:styleId="8">
    <w:name w:val="FollowedHyperlink"/>
    <w:basedOn w:val="6"/>
    <w:qFormat/>
    <w:uiPriority w:val="0"/>
    <w:rPr>
      <w:color w:val="444444"/>
      <w:u w:val="none"/>
    </w:rPr>
  </w:style>
  <w:style w:type="character" w:styleId="9">
    <w:name w:val="Hyperlink"/>
    <w:basedOn w:val="6"/>
    <w:qFormat/>
    <w:uiPriority w:val="0"/>
    <w:rPr>
      <w:color w:val="444444"/>
      <w:u w:val="none"/>
    </w:rPr>
  </w:style>
  <w:style w:type="character" w:customStyle="1" w:styleId="10">
    <w:name w:val="gai"/>
    <w:basedOn w:val="6"/>
    <w:qFormat/>
    <w:uiPriority w:val="0"/>
  </w:style>
  <w:style w:type="character" w:customStyle="1" w:styleId="11">
    <w:name w:val="gai1"/>
    <w:basedOn w:val="6"/>
    <w:qFormat/>
    <w:uiPriority w:val="0"/>
  </w:style>
  <w:style w:type="character" w:customStyle="1" w:styleId="12">
    <w:name w:val="gai2"/>
    <w:basedOn w:val="6"/>
    <w:qFormat/>
    <w:uiPriority w:val="0"/>
  </w:style>
  <w:style w:type="character" w:customStyle="1" w:styleId="13">
    <w:name w:val="gai3"/>
    <w:basedOn w:val="6"/>
    <w:qFormat/>
    <w:uiPriority w:val="0"/>
  </w:style>
  <w:style w:type="character" w:customStyle="1" w:styleId="14">
    <w:name w:val="gai4"/>
    <w:basedOn w:val="6"/>
    <w:qFormat/>
    <w:uiPriority w:val="0"/>
  </w:style>
  <w:style w:type="character" w:customStyle="1" w:styleId="15">
    <w:name w:val="you"/>
    <w:basedOn w:val="6"/>
    <w:qFormat/>
    <w:uiPriority w:val="0"/>
  </w:style>
  <w:style w:type="character" w:customStyle="1" w:styleId="16">
    <w:name w:val="info-valid"/>
    <w:basedOn w:val="6"/>
    <w:qFormat/>
    <w:uiPriority w:val="0"/>
    <w:rPr>
      <w:color w:val="444444"/>
    </w:rPr>
  </w:style>
  <w:style w:type="character" w:customStyle="1" w:styleId="17">
    <w:name w:val="tit2"/>
    <w:basedOn w:val="6"/>
    <w:qFormat/>
    <w:uiPriority w:val="0"/>
    <w:rPr>
      <w:color w:val="1D0000"/>
      <w:sz w:val="33"/>
      <w:szCs w:val="33"/>
    </w:rPr>
  </w:style>
  <w:style w:type="character" w:customStyle="1" w:styleId="18">
    <w:name w:val="tianqi"/>
    <w:basedOn w:val="6"/>
    <w:qFormat/>
    <w:uiPriority w:val="0"/>
  </w:style>
  <w:style w:type="character" w:customStyle="1" w:styleId="19">
    <w:name w:val="sjzs"/>
    <w:basedOn w:val="6"/>
    <w:qFormat/>
    <w:uiPriority w:val="0"/>
    <w:rPr>
      <w:sz w:val="27"/>
      <w:szCs w:val="27"/>
    </w:rPr>
  </w:style>
  <w:style w:type="character" w:customStyle="1" w:styleId="20">
    <w:name w:val="quanp"/>
    <w:basedOn w:val="6"/>
    <w:qFormat/>
    <w:uiPriority w:val="0"/>
    <w:rPr>
      <w:color w:val="FFFFFF"/>
      <w:shd w:val="clear" w:fill="7CB8FE"/>
    </w:rPr>
  </w:style>
  <w:style w:type="character" w:customStyle="1" w:styleId="21">
    <w:name w:val="lname"/>
    <w:basedOn w:val="6"/>
    <w:qFormat/>
    <w:uiPriority w:val="0"/>
    <w:rPr>
      <w:color w:val="000000"/>
      <w:sz w:val="30"/>
      <w:szCs w:val="30"/>
    </w:rPr>
  </w:style>
  <w:style w:type="character" w:customStyle="1" w:styleId="22">
    <w:name w:val="first-child4"/>
    <w:basedOn w:val="6"/>
    <w:qFormat/>
    <w:uiPriority w:val="0"/>
    <w:rPr>
      <w:color w:val="BD1B09"/>
    </w:rPr>
  </w:style>
  <w:style w:type="character" w:customStyle="1" w:styleId="23">
    <w:name w:val="first-child5"/>
    <w:basedOn w:val="6"/>
    <w:qFormat/>
    <w:uiPriority w:val="0"/>
    <w:rPr>
      <w:color w:val="878787"/>
      <w:sz w:val="36"/>
      <w:szCs w:val="36"/>
      <w:shd w:val="clear" w:fill="FFFFFF"/>
    </w:rPr>
  </w:style>
  <w:style w:type="character" w:customStyle="1" w:styleId="24">
    <w:name w:val="ldjs"/>
    <w:basedOn w:val="6"/>
    <w:qFormat/>
    <w:uiPriority w:val="0"/>
    <w:rPr>
      <w:color w:val="666666"/>
      <w:sz w:val="24"/>
      <w:szCs w:val="24"/>
    </w:rPr>
  </w:style>
  <w:style w:type="character" w:customStyle="1" w:styleId="25">
    <w:name w:val="quanp2"/>
    <w:basedOn w:val="6"/>
    <w:qFormat/>
    <w:uiPriority w:val="0"/>
    <w:rPr>
      <w:color w:val="FFFFFF"/>
      <w:sz w:val="0"/>
      <w:szCs w:val="0"/>
      <w:shd w:val="clear" w:fill="7CB8FE"/>
    </w:rPr>
  </w:style>
  <w:style w:type="character" w:customStyle="1" w:styleId="26">
    <w:name w:val="jiaoluo"/>
    <w:basedOn w:val="6"/>
    <w:qFormat/>
    <w:uiPriority w:val="0"/>
  </w:style>
  <w:style w:type="character" w:customStyle="1" w:styleId="27">
    <w:name w:val="last3"/>
    <w:basedOn w:val="6"/>
    <w:qFormat/>
    <w:uiPriority w:val="0"/>
  </w:style>
  <w:style w:type="character" w:customStyle="1" w:styleId="28">
    <w:name w:val="last4"/>
    <w:basedOn w:val="6"/>
    <w:qFormat/>
    <w:uiPriority w:val="0"/>
  </w:style>
  <w:style w:type="character" w:customStyle="1" w:styleId="29">
    <w:name w:val="fanhui"/>
    <w:basedOn w:val="6"/>
    <w:qFormat/>
    <w:uiPriority w:val="0"/>
    <w:rPr>
      <w:color w:val="FFFFFF"/>
      <w:sz w:val="24"/>
      <w:szCs w:val="24"/>
    </w:rPr>
  </w:style>
  <w:style w:type="character" w:customStyle="1" w:styleId="30">
    <w:name w:val="jiaoluo2"/>
    <w:basedOn w:val="6"/>
    <w:qFormat/>
    <w:uiPriority w:val="0"/>
  </w:style>
  <w:style w:type="character" w:customStyle="1" w:styleId="31">
    <w:name w:val="zuo"/>
    <w:basedOn w:val="6"/>
    <w:qFormat/>
    <w:uiPriority w:val="0"/>
  </w:style>
  <w:style w:type="character" w:customStyle="1" w:styleId="32">
    <w:name w:val="dcs"/>
    <w:basedOn w:val="6"/>
    <w:qFormat/>
    <w:uiPriority w:val="0"/>
    <w:rPr>
      <w:color w:val="BD1B09"/>
    </w:rPr>
  </w:style>
  <w:style w:type="character" w:customStyle="1" w:styleId="33">
    <w:name w:val="time"/>
    <w:basedOn w:val="6"/>
    <w:qFormat/>
    <w:uiPriority w:val="0"/>
    <w:rPr>
      <w:color w:val="999999"/>
    </w:rPr>
  </w:style>
  <w:style w:type="character" w:customStyle="1" w:styleId="34">
    <w:name w:val="time1"/>
    <w:basedOn w:val="6"/>
    <w:qFormat/>
    <w:uiPriority w:val="0"/>
    <w:rPr>
      <w:color w:val="999999"/>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5612</Words>
  <Characters>5917</Characters>
  <Lines>0</Lines>
  <Paragraphs>0</Paragraphs>
  <TotalTime>1316</TotalTime>
  <ScaleCrop>false</ScaleCrop>
  <LinksUpToDate>false</LinksUpToDate>
  <CharactersWithSpaces>6076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2022-10-10T08:53:00Z</dcterms:created>
  <dc:creator>Administrator</dc:creator>
  <cp:lastModifiedBy>Administrator</cp:lastModifiedBy>
  <cp:lastPrinted>2022-10-22T07:21:00Z</cp:lastPrinted>
  <dcterms:modified xsi:type="dcterms:W3CDTF">2022-11-21T08:32:34Z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2F54F18A2CE84DADA1B21E746E2F1685</vt:lpwstr>
  </property>
</Properties>
</file>