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F4EA3">
      <w:pPr>
        <w:keepNext w:val="0"/>
        <w:keepLines w:val="0"/>
        <w:pageBreakBefore w:val="0"/>
        <w:widowControl w:val="0"/>
        <w:kinsoku/>
        <w:wordWrap/>
        <w:overflowPunct/>
        <w:topLinePunct w:val="0"/>
        <w:autoSpaceDE/>
        <w:autoSpaceDN/>
        <w:bidi w:val="0"/>
        <w:adjustRightInd/>
        <w:snapToGrid/>
        <w:spacing w:line="580" w:lineRule="exact"/>
        <w:ind w:right="1260" w:rightChars="6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附件1</w:t>
      </w:r>
    </w:p>
    <w:p w14:paraId="588910E5">
      <w:pPr>
        <w:keepNext w:val="0"/>
        <w:keepLines w:val="0"/>
        <w:pageBreakBefore w:val="0"/>
        <w:widowControl w:val="0"/>
        <w:kinsoku/>
        <w:wordWrap/>
        <w:overflowPunct/>
        <w:topLinePunct w:val="0"/>
        <w:autoSpaceDE/>
        <w:autoSpaceDN/>
        <w:bidi w:val="0"/>
        <w:adjustRightInd/>
        <w:snapToGrid/>
        <w:spacing w:line="580" w:lineRule="exact"/>
        <w:ind w:right="0" w:rightChars="0"/>
        <w:jc w:val="left"/>
        <w:textAlignment w:val="auto"/>
        <w:rPr>
          <w:rFonts w:hint="eastAsia" w:ascii="黑体" w:hAnsi="黑体" w:eastAsia="黑体" w:cs="黑体"/>
          <w:sz w:val="28"/>
          <w:szCs w:val="28"/>
        </w:rPr>
      </w:pPr>
    </w:p>
    <w:p w14:paraId="1AA10464">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第二轮中央生态环境保护督察反馈“生活污水收集缺口大”问题整改完成情况报告</w:t>
      </w:r>
    </w:p>
    <w:p w14:paraId="4CD45ADA">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rPr>
          <w:rFonts w:hint="default" w:ascii="Times New Roman" w:hAnsi="Times New Roman" w:eastAsia="仿宋_GB2312" w:cs="Times New Roman"/>
          <w:sz w:val="32"/>
          <w:szCs w:val="32"/>
        </w:rPr>
      </w:pPr>
    </w:p>
    <w:p w14:paraId="77E3914D">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全面落实第二轮中央生态环境保护督察的反馈意见，确保督察反馈问题整改到位，我区高度重视，按照同类同改要求，制定了《北塔区贯彻落实第二轮中央生态环境保护督察报告整改方案》,明确责任单位、整改措施、整改目标、整改时限、切实抓好整改落实。经核查，目前该问题已整改到位，相关整改情况如下：</w:t>
      </w:r>
    </w:p>
    <w:p w14:paraId="3ED23E34">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一、反馈问题</w:t>
      </w:r>
    </w:p>
    <w:p w14:paraId="2D81D50B">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生活污水收集缺口大。全省雨污合流制管网达8400公里，在排污管网中占比高达38.6%</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导致城市污水处理厂进水COD浓度普遍达不到设计标准。2020年，全省161座县以上城市污水处理厂中，进水COD浓度低于100毫克/升的达38座。</w:t>
      </w:r>
    </w:p>
    <w:p w14:paraId="7D0A3B9F">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rPr>
          <w:rFonts w:hint="default" w:ascii="黑体" w:hAnsi="黑体" w:eastAsia="黑体" w:cs="黑体"/>
          <w:sz w:val="32"/>
          <w:szCs w:val="32"/>
        </w:rPr>
      </w:pPr>
      <w:r>
        <w:rPr>
          <w:rFonts w:hint="default" w:ascii="黑体" w:hAnsi="黑体" w:eastAsia="黑体" w:cs="黑体"/>
          <w:sz w:val="32"/>
          <w:szCs w:val="32"/>
        </w:rPr>
        <w:t>二、整改目标及措施</w:t>
      </w:r>
    </w:p>
    <w:p w14:paraId="2FF8101E">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整改目标</w:t>
      </w:r>
    </w:p>
    <w:p w14:paraId="769FF7F1">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推进污水管网建设，实施雨污管网分流改造和老旧管网改造，逐步提高城区雨污分流制管网比例、污水收集效能</w:t>
      </w:r>
      <w:r>
        <w:rPr>
          <w:rFonts w:hint="eastAsia" w:ascii="Times New Roman" w:hAnsi="Times New Roman" w:eastAsia="仿宋_GB2312" w:cs="Times New Roman"/>
          <w:sz w:val="32"/>
          <w:szCs w:val="32"/>
          <w:lang w:eastAsia="zh-CN"/>
        </w:rPr>
        <w:t>。</w:t>
      </w:r>
    </w:p>
    <w:p w14:paraId="6F3EBE91">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left"/>
        <w:textAlignment w:val="auto"/>
        <w:rPr>
          <w:rFonts w:hint="default"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default" w:ascii="楷体_GB2312" w:hAnsi="楷体_GB2312" w:eastAsia="楷体_GB2312" w:cs="楷体_GB2312"/>
          <w:b/>
          <w:bCs/>
          <w:sz w:val="32"/>
          <w:szCs w:val="32"/>
        </w:rPr>
        <w:t>整改措施</w:t>
      </w:r>
    </w:p>
    <w:p w14:paraId="00B3D008">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1.科学制定“十四五”管网改造建设计划。</w:t>
      </w:r>
      <w:r>
        <w:rPr>
          <w:rFonts w:hint="default" w:ascii="Times New Roman" w:hAnsi="Times New Roman" w:eastAsia="仿宋_GB2312" w:cs="Times New Roman"/>
          <w:sz w:val="32"/>
          <w:szCs w:val="32"/>
        </w:rPr>
        <w:t>对照《湖南省“十三五”城镇污水处理及再生利用设施建设规划》</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我区对城区管网改造建设完成情况进行评估，合理推进老旧污水管网改造和合流制管网改造，计划2025年12月31日前，全区改造污水收集管网</w:t>
      </w:r>
      <w:r>
        <w:rPr>
          <w:rFonts w:hint="eastAsia" w:ascii="Times New Roman" w:hAnsi="Times New Roman" w:eastAsia="仿宋_GB2312" w:cs="Times New Roman"/>
          <w:sz w:val="32"/>
          <w:szCs w:val="32"/>
          <w:lang w:val="en-US" w:eastAsia="zh-CN"/>
        </w:rPr>
        <w:t>23.6</w:t>
      </w:r>
      <w:r>
        <w:rPr>
          <w:rFonts w:hint="default" w:ascii="Times New Roman" w:hAnsi="Times New Roman" w:eastAsia="仿宋_GB2312" w:cs="Times New Roman"/>
          <w:sz w:val="32"/>
          <w:szCs w:val="32"/>
        </w:rPr>
        <w:t>公里。</w:t>
      </w:r>
    </w:p>
    <w:p w14:paraId="3767F3EB">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.严格落实《邵阳市城镇排水与污水处理管理实施办法》。</w:t>
      </w:r>
      <w:r>
        <w:rPr>
          <w:rFonts w:hint="default" w:ascii="Times New Roman" w:hAnsi="Times New Roman" w:eastAsia="仿宋_GB2312" w:cs="Times New Roman"/>
          <w:sz w:val="32"/>
          <w:szCs w:val="32"/>
        </w:rPr>
        <w:t>对新建和改造排水设施严格按照《邵阳市城镇排水与污水处理管理实施办法》规定实施雨污分流，不得将雨水管网与污水管网混接，逐步提高城区雨污分流比例。</w:t>
      </w:r>
    </w:p>
    <w:p w14:paraId="2ACA1121">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rPr>
          <w:rFonts w:hint="default" w:ascii="黑体" w:hAnsi="黑体" w:eastAsia="黑体" w:cs="黑体"/>
          <w:sz w:val="32"/>
          <w:szCs w:val="32"/>
        </w:rPr>
      </w:pPr>
      <w:r>
        <w:rPr>
          <w:rFonts w:hint="default" w:ascii="黑体" w:hAnsi="黑体" w:eastAsia="黑体" w:cs="黑体"/>
          <w:sz w:val="32"/>
          <w:szCs w:val="32"/>
        </w:rPr>
        <w:t>三、整改落实情况及成效</w:t>
      </w:r>
    </w:p>
    <w:p w14:paraId="5D5852BA">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left"/>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w:t>
      </w:r>
      <w:r>
        <w:rPr>
          <w:rFonts w:hint="default" w:ascii="楷体_GB2312" w:hAnsi="楷体_GB2312" w:eastAsia="楷体_GB2312" w:cs="楷体_GB2312"/>
          <w:b/>
          <w:bCs/>
          <w:sz w:val="32"/>
          <w:szCs w:val="32"/>
        </w:rPr>
        <w:t>全面摸底</w:t>
      </w:r>
      <w:r>
        <w:rPr>
          <w:rFonts w:hint="eastAsia" w:ascii="楷体_GB2312" w:hAnsi="楷体_GB2312" w:eastAsia="楷体_GB2312" w:cs="楷体_GB2312"/>
          <w:b/>
          <w:bCs/>
          <w:sz w:val="32"/>
          <w:szCs w:val="32"/>
          <w:lang w:eastAsia="zh-CN"/>
        </w:rPr>
        <w:t>老旧小区</w:t>
      </w:r>
      <w:r>
        <w:rPr>
          <w:rFonts w:hint="default" w:ascii="楷体_GB2312" w:hAnsi="楷体_GB2312" w:eastAsia="楷体_GB2312" w:cs="楷体_GB2312"/>
          <w:b/>
          <w:bCs/>
          <w:sz w:val="32"/>
          <w:szCs w:val="32"/>
        </w:rPr>
        <w:t>地下管网，科学</w:t>
      </w:r>
      <w:r>
        <w:rPr>
          <w:rFonts w:hint="eastAsia" w:ascii="楷体_GB2312" w:hAnsi="楷体_GB2312" w:eastAsia="楷体_GB2312" w:cs="楷体_GB2312"/>
          <w:b/>
          <w:bCs/>
          <w:sz w:val="32"/>
          <w:szCs w:val="32"/>
          <w:lang w:eastAsia="zh-CN"/>
        </w:rPr>
        <w:t>布局</w:t>
      </w:r>
    </w:p>
    <w:p w14:paraId="4BB75143">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区雨污管网改造是一项系统性工程，我区对地下管线开展全面普查，老旧小区改造同步实施雨污网管改造，我区严格按照《邵阳市城镇排水与污水处理管理实施办法》规定，将雨污管网改造纳入老旧小区改造重点实施内容。</w:t>
      </w:r>
    </w:p>
    <w:p w14:paraId="3049D4BA">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left"/>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highlight w:val="none"/>
          <w:lang w:eastAsia="zh-CN"/>
        </w:rPr>
        <w:t>二）</w:t>
      </w:r>
      <w:r>
        <w:rPr>
          <w:rFonts w:hint="eastAsia" w:ascii="楷体_GB2312" w:hAnsi="楷体_GB2312" w:eastAsia="楷体_GB2312" w:cs="楷体_GB2312"/>
          <w:b/>
          <w:bCs/>
          <w:sz w:val="32"/>
          <w:szCs w:val="32"/>
          <w:lang w:val="en-US" w:eastAsia="zh-CN"/>
        </w:rPr>
        <w:t>全力推进项目建设，补齐短板</w:t>
      </w:r>
    </w:p>
    <w:p w14:paraId="62218FC2">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逐步实施雨污管网分流与老旧管网改造工程。2021年以来，我</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通过老旧小区改造、市政道路建设及改造、易涝点改造等项目的实施全力推进</w:t>
      </w:r>
      <w:r>
        <w:rPr>
          <w:rFonts w:hint="eastAsia" w:ascii="Times New Roman" w:hAnsi="Times New Roman" w:eastAsia="仿宋_GB2312" w:cs="Times New Roman"/>
          <w:sz w:val="32"/>
          <w:szCs w:val="32"/>
          <w:lang w:eastAsia="zh-CN"/>
        </w:rPr>
        <w:t>北塔区域</w:t>
      </w:r>
      <w:r>
        <w:rPr>
          <w:rFonts w:hint="default" w:ascii="Times New Roman" w:hAnsi="Times New Roman" w:eastAsia="仿宋_GB2312" w:cs="Times New Roman"/>
          <w:sz w:val="32"/>
          <w:szCs w:val="32"/>
        </w:rPr>
        <w:t>雨污分流改造工作。一是老旧小区改造同步实施雨污管网改造。2021年至2024年期间，</w:t>
      </w:r>
      <w:r>
        <w:rPr>
          <w:rFonts w:hint="eastAsia" w:ascii="Times New Roman" w:hAnsi="Times New Roman" w:eastAsia="仿宋_GB2312" w:cs="Times New Roman"/>
          <w:sz w:val="32"/>
          <w:szCs w:val="32"/>
          <w:lang w:eastAsia="zh-CN"/>
        </w:rPr>
        <w:t>结合</w:t>
      </w:r>
      <w:r>
        <w:rPr>
          <w:rFonts w:hint="default" w:ascii="Times New Roman" w:hAnsi="Times New Roman" w:eastAsia="仿宋_GB2312" w:cs="Times New Roman"/>
          <w:sz w:val="32"/>
          <w:szCs w:val="32"/>
        </w:rPr>
        <w:t>老旧小区改造</w:t>
      </w:r>
      <w:r>
        <w:rPr>
          <w:rFonts w:hint="eastAsia" w:ascii="Times New Roman" w:hAnsi="Times New Roman" w:eastAsia="仿宋_GB2312" w:cs="Times New Roman"/>
          <w:sz w:val="32"/>
          <w:szCs w:val="32"/>
          <w:lang w:eastAsia="zh-CN"/>
        </w:rPr>
        <w:t>实施</w:t>
      </w:r>
      <w:r>
        <w:rPr>
          <w:rFonts w:hint="default" w:ascii="Times New Roman" w:hAnsi="Times New Roman" w:eastAsia="仿宋_GB2312" w:cs="Times New Roman"/>
          <w:sz w:val="32"/>
          <w:szCs w:val="32"/>
        </w:rPr>
        <w:t>老旧污水管网改造</w:t>
      </w:r>
      <w:r>
        <w:rPr>
          <w:rFonts w:hint="eastAsia" w:ascii="Times New Roman" w:hAnsi="Times New Roman" w:eastAsia="仿宋_GB2312" w:cs="Times New Roman"/>
          <w:sz w:val="32"/>
          <w:szCs w:val="32"/>
          <w:lang w:eastAsia="zh-CN"/>
        </w:rPr>
        <w:t>（包含清淤疏浚等），例如：宁家花苑小区雨污分流工程新建管道</w:t>
      </w:r>
      <w:r>
        <w:rPr>
          <w:rFonts w:hint="eastAsia" w:ascii="Times New Roman" w:hAnsi="Times New Roman" w:eastAsia="仿宋_GB2312" w:cs="Times New Roman"/>
          <w:sz w:val="32"/>
          <w:szCs w:val="32"/>
          <w:lang w:val="en-US" w:eastAsia="zh-CN"/>
        </w:rPr>
        <w:t>561m，资枣社区一、二号安置小区</w:t>
      </w:r>
      <w:r>
        <w:rPr>
          <w:rFonts w:hint="eastAsia" w:ascii="Times New Roman" w:hAnsi="Times New Roman" w:eastAsia="仿宋_GB2312" w:cs="Times New Roman"/>
          <w:sz w:val="32"/>
          <w:szCs w:val="32"/>
          <w:lang w:eastAsia="zh-CN"/>
        </w:rPr>
        <w:t>雨污分流工程新建管道</w:t>
      </w:r>
      <w:r>
        <w:rPr>
          <w:rFonts w:hint="eastAsia" w:ascii="Times New Roman" w:hAnsi="Times New Roman" w:eastAsia="仿宋_GB2312" w:cs="Times New Roman"/>
          <w:sz w:val="32"/>
          <w:szCs w:val="32"/>
          <w:lang w:val="en-US" w:eastAsia="zh-CN"/>
        </w:rPr>
        <w:t>3465m，九江安置房小区</w:t>
      </w:r>
      <w:r>
        <w:rPr>
          <w:rFonts w:hint="eastAsia" w:ascii="Times New Roman" w:hAnsi="Times New Roman" w:eastAsia="仿宋_GB2312" w:cs="Times New Roman"/>
          <w:sz w:val="32"/>
          <w:szCs w:val="32"/>
          <w:lang w:eastAsia="zh-CN"/>
        </w:rPr>
        <w:t>雨污分流工程新建管道</w:t>
      </w:r>
      <w:r>
        <w:rPr>
          <w:rFonts w:hint="eastAsia" w:ascii="Times New Roman" w:hAnsi="Times New Roman" w:eastAsia="仿宋_GB2312" w:cs="Times New Roman"/>
          <w:sz w:val="32"/>
          <w:szCs w:val="32"/>
          <w:lang w:val="en-US" w:eastAsia="zh-CN"/>
        </w:rPr>
        <w:t>1642m，</w:t>
      </w:r>
      <w:r>
        <w:rPr>
          <w:rFonts w:hint="default" w:ascii="Times New Roman" w:hAnsi="Times New Roman" w:eastAsia="仿宋_GB2312" w:cs="Times New Roman"/>
          <w:sz w:val="32"/>
          <w:szCs w:val="32"/>
        </w:rPr>
        <w:t>累计完成老旧污水管网改造</w:t>
      </w:r>
      <w:r>
        <w:rPr>
          <w:rFonts w:hint="eastAsia" w:ascii="Times New Roman" w:hAnsi="Times New Roman" w:eastAsia="仿宋_GB2312" w:cs="Times New Roman"/>
          <w:sz w:val="32"/>
          <w:szCs w:val="32"/>
          <w:lang w:val="en-US" w:eastAsia="zh-CN"/>
        </w:rPr>
        <w:t>23.6</w:t>
      </w:r>
      <w:r>
        <w:rPr>
          <w:rFonts w:hint="default" w:ascii="Times New Roman" w:hAnsi="Times New Roman" w:eastAsia="仿宋_GB2312" w:cs="Times New Roman"/>
          <w:sz w:val="32"/>
          <w:szCs w:val="32"/>
        </w:rPr>
        <w:t>km。二是城市道路更新建设与改造污水管网。三是易涝点改造项目实施雨污分流改造污水管网。</w:t>
      </w:r>
    </w:p>
    <w:p w14:paraId="59B99401">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right="0" w:rightChars="0"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全面加强污水设施监管，规范运行。</w:t>
      </w:r>
    </w:p>
    <w:p w14:paraId="3428CCDA">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rPr>
          <w:rFonts w:hint="eastAsia" w:ascii="楷体_GB2312" w:hAnsi="楷体_GB2312" w:eastAsia="楷体_GB2312" w:cs="楷体_GB2312"/>
          <w:b/>
          <w:bCs/>
          <w:sz w:val="32"/>
          <w:szCs w:val="32"/>
          <w:lang w:val="en-US" w:eastAsia="zh-CN"/>
        </w:rPr>
      </w:pPr>
      <w:r>
        <w:rPr>
          <w:rFonts w:hint="eastAsia" w:ascii="Times New Roman" w:hAnsi="Times New Roman" w:eastAsia="仿宋_GB2312" w:cs="Times New Roman"/>
          <w:sz w:val="32"/>
          <w:szCs w:val="32"/>
          <w:lang w:val="en-US" w:eastAsia="zh-CN"/>
        </w:rPr>
        <w:t>目前，江北污水处理厂由联泰公司负责运维。为进一步加强日常监管工作，区城管局、区生态环境局、区城乡建设和交通运输局等部门对相关污水处理设施运维情况采取定期检查、不定期抽查方式，及时发现和整改存在的问题，并要求每季度对进出水水质进行抽检，检测结果予以公告，实现江北污水处理厂长期正常稳定运行、达标排放。</w:t>
      </w:r>
    </w:p>
    <w:p w14:paraId="09A6D130">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rPr>
          <w:rFonts w:hint="default" w:ascii="黑体" w:hAnsi="黑体" w:eastAsia="黑体" w:cs="黑体"/>
          <w:sz w:val="32"/>
          <w:szCs w:val="32"/>
        </w:rPr>
      </w:pPr>
      <w:r>
        <w:rPr>
          <w:rFonts w:hint="default" w:ascii="黑体" w:hAnsi="黑体" w:eastAsia="黑体" w:cs="黑体"/>
          <w:sz w:val="32"/>
          <w:szCs w:val="32"/>
        </w:rPr>
        <w:t>四、下一步工作计划</w:t>
      </w:r>
    </w:p>
    <w:p w14:paraId="0D3F5699">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left"/>
        <w:textAlignment w:val="auto"/>
        <w:rPr>
          <w:rFonts w:hint="default"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（一）</w:t>
      </w:r>
      <w:r>
        <w:rPr>
          <w:rFonts w:hint="default" w:ascii="楷体_GB2312" w:hAnsi="楷体_GB2312" w:eastAsia="楷体_GB2312" w:cs="楷体_GB2312"/>
          <w:b/>
          <w:bCs/>
          <w:sz w:val="32"/>
          <w:szCs w:val="32"/>
        </w:rPr>
        <w:t>持续加强管网改造建设。</w:t>
      </w:r>
    </w:p>
    <w:p w14:paraId="1C5A5FEE">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积极参与编制《邵阳市市辖区城市地下管网和地下综合管廊建设改造</w:t>
      </w:r>
      <w:r>
        <w:rPr>
          <w:rFonts w:hint="default" w:ascii="仿宋_GB2312" w:hAnsi="仿宋_GB2312" w:eastAsia="仿宋_GB2312" w:cs="仿宋_GB2312"/>
          <w:color w:val="000000"/>
          <w:kern w:val="0"/>
          <w:sz w:val="32"/>
          <w:szCs w:val="32"/>
          <w:lang w:val="en-US" w:eastAsia="zh-CN" w:bidi="ar"/>
        </w:rPr>
        <w:t>实施方案（2024-2028）和邵阳市城市排水专项规划（2018-2030）》，我区共谋划“邵阳市中山片区污水管网</w:t>
      </w:r>
      <w:r>
        <w:rPr>
          <w:rFonts w:hint="eastAsia" w:ascii="仿宋_GB2312" w:hAnsi="仿宋_GB2312" w:eastAsia="仿宋_GB2312" w:cs="仿宋_GB2312"/>
          <w:color w:val="000000"/>
          <w:kern w:val="0"/>
          <w:sz w:val="32"/>
          <w:szCs w:val="32"/>
          <w:lang w:val="en-US" w:eastAsia="zh-CN" w:bidi="ar"/>
        </w:rPr>
        <w:t>改造</w:t>
      </w:r>
      <w:r>
        <w:rPr>
          <w:rFonts w:hint="default" w:ascii="仿宋_GB2312" w:hAnsi="仿宋_GB2312" w:eastAsia="仿宋_GB2312" w:cs="仿宋_GB2312"/>
          <w:color w:val="000000"/>
          <w:kern w:val="0"/>
          <w:sz w:val="32"/>
          <w:szCs w:val="32"/>
          <w:lang w:val="en-US" w:eastAsia="zh-CN" w:bidi="ar"/>
        </w:rPr>
        <w:t>项目”</w:t>
      </w:r>
      <w:r>
        <w:rPr>
          <w:rFonts w:hint="eastAsia" w:ascii="仿宋_GB2312" w:hAnsi="仿宋_GB2312" w:eastAsia="仿宋_GB2312" w:cs="仿宋_GB2312"/>
          <w:color w:val="000000"/>
          <w:kern w:val="0"/>
          <w:sz w:val="32"/>
          <w:szCs w:val="32"/>
          <w:lang w:val="en-US" w:eastAsia="zh-CN" w:bidi="ar"/>
        </w:rPr>
        <w:t>（沿中山路和北塔路分别铺设污水管网11366m、6827m，预算总投资12552.32万元）</w:t>
      </w:r>
      <w:r>
        <w:rPr>
          <w:rFonts w:hint="default" w:ascii="仿宋_GB2312" w:hAnsi="仿宋_GB2312" w:eastAsia="仿宋_GB2312" w:cs="仿宋_GB2312"/>
          <w:color w:val="000000"/>
          <w:kern w:val="0"/>
          <w:sz w:val="32"/>
          <w:szCs w:val="32"/>
          <w:lang w:val="en-US" w:eastAsia="zh-CN" w:bidi="ar"/>
        </w:rPr>
        <w:t>、“邵阳市北塔城区污水管网建设项目”</w:t>
      </w:r>
      <w:r>
        <w:rPr>
          <w:rFonts w:hint="eastAsia" w:ascii="仿宋_GB2312" w:hAnsi="仿宋_GB2312" w:eastAsia="仿宋_GB2312" w:cs="仿宋_GB2312"/>
          <w:color w:val="000000"/>
          <w:kern w:val="0"/>
          <w:sz w:val="32"/>
          <w:szCs w:val="32"/>
          <w:lang w:val="en-US" w:eastAsia="zh-CN" w:bidi="ar"/>
        </w:rPr>
        <w:t>（铺设污水管网23470m，总投资约9752.38万元）</w:t>
      </w:r>
      <w:r>
        <w:rPr>
          <w:rFonts w:hint="default" w:ascii="仿宋_GB2312" w:hAnsi="仿宋_GB2312" w:eastAsia="仿宋_GB2312" w:cs="仿宋_GB2312"/>
          <w:color w:val="000000"/>
          <w:kern w:val="0"/>
          <w:sz w:val="32"/>
          <w:szCs w:val="32"/>
          <w:lang w:val="en-US" w:eastAsia="zh-CN" w:bidi="ar"/>
        </w:rPr>
        <w:t>等10个项目纳入《实施方案》。今后，将抓政策机遇，推动项目孵化</w:t>
      </w:r>
      <w:r>
        <w:rPr>
          <w:rFonts w:hint="default" w:ascii="Times New Roman" w:hAnsi="Times New Roman" w:eastAsia="仿宋_GB2312" w:cs="Times New Roman"/>
          <w:sz w:val="32"/>
          <w:szCs w:val="32"/>
        </w:rPr>
        <w:t>落地，积极争取上级资金，以项目建设为抓手，进一步加强城区老旧管网、合流制管网改造力度，逐步解决雨污合流问题，降低污水外溢风险，逐年提高进水COD浓度，逐年提高污水收集率。</w:t>
      </w:r>
    </w:p>
    <w:p w14:paraId="3A75DD4A">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left"/>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（二）加强建章立制，巩固扩大整改成果。</w:t>
      </w:r>
    </w:p>
    <w:p w14:paraId="4A865A4E">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在抓好整改的同时，深入分析问题产生的深层次原因，做到举一反三、标本兼治。建立健全各项规章制度，着眼于用制度管人、管事，把解决具体问题于推进制度建设紧密结合，建立健全相关工作机制，力争做到解决一个问题、堵塞一个漏洞、形成一套机制。</w:t>
      </w:r>
    </w:p>
    <w:p w14:paraId="6E8E16DB">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rPr>
          <w:rFonts w:hint="default" w:ascii="Times New Roman" w:hAnsi="Times New Roman" w:eastAsia="仿宋_GB2312" w:cs="Times New Roman"/>
          <w:sz w:val="32"/>
          <w:szCs w:val="32"/>
          <w:lang w:val="en-US" w:eastAsia="zh-CN"/>
        </w:rPr>
      </w:pPr>
    </w:p>
    <w:p w14:paraId="16C18CC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14:paraId="3D6386BF">
      <w:pPr>
        <w:keepNext w:val="0"/>
        <w:keepLines w:val="0"/>
        <w:pageBreakBefore w:val="0"/>
        <w:widowControl w:val="0"/>
        <w:kinsoku/>
        <w:wordWrap/>
        <w:overflowPunct/>
        <w:topLinePunct w:val="0"/>
        <w:autoSpaceDE/>
        <w:autoSpaceDN/>
        <w:bidi w:val="0"/>
        <w:adjustRightInd/>
        <w:snapToGrid/>
        <w:spacing w:line="580" w:lineRule="exact"/>
        <w:ind w:right="1260" w:rightChars="600" w:firstLine="640" w:firstLineChars="20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bookmarkStart w:id="0" w:name="_GoBack"/>
      <w:bookmarkEnd w:id="0"/>
    </w:p>
    <w:sectPr>
      <w:footerReference r:id="rId3" w:type="default"/>
      <w:pgSz w:w="11906" w:h="16838"/>
      <w:pgMar w:top="2098"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88DB31-2B2A-4C56-A7FC-DD4BBDDCA7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AA72772-0D77-4418-8959-9BBBC10E503C}"/>
  </w:font>
  <w:font w:name="方正小标宋_GBK">
    <w:panose1 w:val="03000509000000000000"/>
    <w:charset w:val="86"/>
    <w:family w:val="auto"/>
    <w:pitch w:val="default"/>
    <w:sig w:usb0="00000001" w:usb1="080E0000" w:usb2="00000000" w:usb3="00000000" w:csb0="00040000" w:csb1="00000000"/>
    <w:embedRegular r:id="rId3" w:fontKey="{43631CAC-177C-478F-97AB-3180DF266212}"/>
  </w:font>
  <w:font w:name="仿宋_GB2312">
    <w:panose1 w:val="02010609030101010101"/>
    <w:charset w:val="86"/>
    <w:family w:val="auto"/>
    <w:pitch w:val="default"/>
    <w:sig w:usb0="00000001" w:usb1="080E0000" w:usb2="00000000" w:usb3="00000000" w:csb0="00040000" w:csb1="00000000"/>
    <w:embedRegular r:id="rId4" w:fontKey="{79417286-E64A-4E0E-8605-2772C9BABD0D}"/>
  </w:font>
  <w:font w:name="楷体_GB2312">
    <w:panose1 w:val="02010609030101010101"/>
    <w:charset w:val="86"/>
    <w:family w:val="auto"/>
    <w:pitch w:val="default"/>
    <w:sig w:usb0="00000001" w:usb1="080E0000" w:usb2="00000000" w:usb3="00000000" w:csb0="00040000" w:csb1="00000000"/>
    <w:embedRegular r:id="rId5" w:fontKey="{158728F9-8D8F-4F5D-AF24-854D4626ABAB}"/>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964C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54555">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654555">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7B0508"/>
    <w:multiLevelType w:val="singleLevel"/>
    <w:tmpl w:val="BD7B050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223A9"/>
    <w:rsid w:val="059960BA"/>
    <w:rsid w:val="10B308C9"/>
    <w:rsid w:val="17FF5DC2"/>
    <w:rsid w:val="1E3F0B03"/>
    <w:rsid w:val="1FD4245F"/>
    <w:rsid w:val="1FDBC134"/>
    <w:rsid w:val="27F3A8B0"/>
    <w:rsid w:val="27FD7CF4"/>
    <w:rsid w:val="2B7F67CD"/>
    <w:rsid w:val="2F612C17"/>
    <w:rsid w:val="356E58C9"/>
    <w:rsid w:val="37D01FBA"/>
    <w:rsid w:val="37F7C8AD"/>
    <w:rsid w:val="3D605884"/>
    <w:rsid w:val="47772C37"/>
    <w:rsid w:val="4FF9E70C"/>
    <w:rsid w:val="5B0B4C2B"/>
    <w:rsid w:val="5F964DAE"/>
    <w:rsid w:val="61E27C6F"/>
    <w:rsid w:val="658056BE"/>
    <w:rsid w:val="65E223A9"/>
    <w:rsid w:val="6C67593C"/>
    <w:rsid w:val="6FDC4AB1"/>
    <w:rsid w:val="6FF97BE1"/>
    <w:rsid w:val="6FFCC6E8"/>
    <w:rsid w:val="710106F9"/>
    <w:rsid w:val="73DFBBF4"/>
    <w:rsid w:val="7D2EC2DC"/>
    <w:rsid w:val="7E738447"/>
    <w:rsid w:val="9CD732EB"/>
    <w:rsid w:val="A3DDC329"/>
    <w:rsid w:val="BDBDCE0E"/>
    <w:rsid w:val="D3182D93"/>
    <w:rsid w:val="D79EB392"/>
    <w:rsid w:val="DF7F8A83"/>
    <w:rsid w:val="F6BF5203"/>
    <w:rsid w:val="FA7BA3D3"/>
    <w:rsid w:val="FAFDB4FF"/>
    <w:rsid w:val="FBFFEA2C"/>
    <w:rsid w:val="FCFF7DDC"/>
    <w:rsid w:val="FDFF0D11"/>
    <w:rsid w:val="FF32825E"/>
    <w:rsid w:val="FFF71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2394</Words>
  <Characters>2530</Characters>
  <Lines>0</Lines>
  <Paragraphs>0</Paragraphs>
  <TotalTime>2</TotalTime>
  <ScaleCrop>false</ScaleCrop>
  <LinksUpToDate>false</LinksUpToDate>
  <CharactersWithSpaces>2651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2025-10-10T18:27:00Z</dcterms:created>
  <dc:creator>九九图文广告</dc:creator>
  <cp:lastModifiedBy>游洋</cp:lastModifiedBy>
  <cp:lastPrinted>2025-10-11T08:35:00Z</cp:lastPrinted>
  <dcterms:modified xsi:type="dcterms:W3CDTF">2025-10-13T04:24:22Z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D88ED1D2A9824A8E9B2692A00CD8FC75_13</vt:lpwstr>
  </property>
  <property fmtid="{D5CDD505-2E9C-101B-9397-08002B2CF9AE}" pid="4" name="KSOTemplateDocerSaveRecord">
    <vt:lpwstr>eyJoZGlkIjoiZjJlNzliOWY4YThhMzYyMjQ4ODRkYWM4NWE2ZDE1N2YiLCJ1c2VySWQiOiIxMTM3MDU2MjYzIn0=</vt:lpwstr>
  </property>
</Properties>
</file>