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北塔区住房和城乡建</w:t>
      </w: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设</w:t>
      </w:r>
      <w:r>
        <w:rPr>
          <w:rFonts w:hint="eastAsia" w:ascii="Times New Roman" w:hAnsi="Times New Roman" w:eastAsia="方正小标宋_GBK"/>
          <w:sz w:val="36"/>
          <w:szCs w:val="36"/>
        </w:rPr>
        <w:t>局单位</w:t>
      </w:r>
      <w:r>
        <w:rPr>
          <w:rFonts w:ascii="Times New Roman" w:hAnsi="Times New Roman" w:eastAsia="方正小标宋_GBK"/>
          <w:sz w:val="36"/>
          <w:szCs w:val="36"/>
        </w:rPr>
        <w:t>部门整体支出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_GBK"/>
          <w:sz w:val="36"/>
          <w:szCs w:val="36"/>
        </w:rPr>
        <w:t>绩效自评报告</w:t>
      </w:r>
    </w:p>
    <w:p>
      <w:pPr>
        <w:rPr>
          <w:rFonts w:ascii="Times New Roman" w:hAnsi="Times New Roman"/>
        </w:rPr>
      </w:pPr>
    </w:p>
    <w:p>
      <w:pPr>
        <w:pStyle w:val="17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一、单位基本情况</w:t>
      </w:r>
    </w:p>
    <w:p>
      <w:pPr>
        <w:spacing w:line="600" w:lineRule="exact"/>
        <w:ind w:firstLine="32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楷体_GB2312" w:eastAsia="楷体_GB2312"/>
          <w:sz w:val="32"/>
          <w:szCs w:val="32"/>
        </w:rPr>
        <w:t>（一）机构设置情况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北塔区住房和城乡建设局为正科级全额拨款行政单位。内设机构4个，所属事业单位1个，执法机构0个。内设机构分别是</w:t>
      </w:r>
      <w:r>
        <w:rPr>
          <w:rFonts w:hint="eastAsia" w:ascii="仿宋" w:hAnsi="仿宋" w:eastAsia="仿宋" w:cs="仿宋"/>
          <w:sz w:val="32"/>
          <w:szCs w:val="32"/>
        </w:rPr>
        <w:t>区住建局设办公室、工程建设股（加挂行政审批服务股牌子）、城乡建设股、工程监管股（加挂违法违章建筑建设管理办公室牌子）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pStyle w:val="17"/>
        <w:widowControl/>
        <w:numPr>
          <w:ilvl w:val="0"/>
          <w:numId w:val="1"/>
        </w:numPr>
        <w:spacing w:line="600" w:lineRule="exact"/>
        <w:ind w:left="420" w:firstLine="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人员编制情况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我单位核定编制16，实有在职干部职工16人，离退休人员8人。</w:t>
      </w:r>
    </w:p>
    <w:p>
      <w:pPr>
        <w:pStyle w:val="17"/>
        <w:widowControl/>
        <w:numPr>
          <w:ilvl w:val="0"/>
          <w:numId w:val="1"/>
        </w:numPr>
        <w:spacing w:line="600" w:lineRule="exact"/>
        <w:ind w:left="420" w:firstLine="0" w:firstLineChars="0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主要职能职责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1.宣传、贯彻和执行国家、省、市、区关于住房和城乡建设事业的方针、政策和法规，拟订全区住房和城乡建设相关行业发展战略、中长期规划、年度计划及政策和规章制度并监督执行。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  2.综合管理城市建设和城建监察工作；研究提出新城发展规划 ，参与编制新城发展计划，负责城区基础设施建设管理，指导集镇扩建管理工作。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3.负责全区住房制度政策规定、改革方案的拟定和实施，全区住房保障规划的制度和落实，经济适用房和廉租住房的建设和管理。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4.负责管理全区建筑市场（包括建筑劳务市场、勘察设计市场、房地产市场、招投标市场和施工现场等），负责全区建筑施工监督管理和查处建筑</w:t>
      </w:r>
      <w:bookmarkStart w:id="27" w:name="_GoBack"/>
      <w:bookmarkEnd w:id="27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市场违法违规行为，组织建设工程质量事故和安全事故的调查处理，参与重点工程建设管理。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5.负责区内的各类建设项目的报建审批，代理颁发全市统一编号的《中标通知书》和《建设施工许可证》。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6.依法依规归集应用于住房和城乡建设的各类资金，具体负责城乡建设项目资金计划、管理和使用。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7.加强和推进建筑节能，负责和指导全区规划、建设和管理工作；负责城市标志性建筑的保护工作。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8.研究制订全区建设行业教育的发展规划、人才培养规划，负责建设职工队伍培训和继续教育。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9.完成区委、区政府交办的其他工作。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（四）绩效目标设定情况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确保人员经费按照相关政策及时发放到位；严格控制三公经费支出，确保机关正常运行；发挥财政资金引导作用，优先保障民生项目，确保民生支出及时到位。</w:t>
      </w:r>
    </w:p>
    <w:p>
      <w:pPr>
        <w:pStyle w:val="17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二、一般公共预算支出情况</w:t>
      </w:r>
    </w:p>
    <w:p>
      <w:pPr>
        <w:pStyle w:val="17"/>
        <w:widowControl/>
        <w:spacing w:line="600" w:lineRule="exact"/>
        <w:ind w:left="640" w:firstLine="0" w:firstLineChars="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（一）经批复的预、决算情况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2023年北塔区住建局预算批复数270.14万元，其中一般公共预算拨款270.14万元；决算批复数7180.60万元，其中一般公共预算财政拨款收入6122.06万元，其他收入1058.54元。</w:t>
      </w:r>
    </w:p>
    <w:p>
      <w:pPr>
        <w:widowControl/>
        <w:spacing w:line="600" w:lineRule="exact"/>
        <w:ind w:firstLine="640" w:firstLineChars="200"/>
        <w:jc w:val="left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（二）部门预算执行情况</w:t>
      </w:r>
    </w:p>
    <w:p>
      <w:pPr>
        <w:pStyle w:val="17"/>
        <w:widowControl/>
        <w:spacing w:line="600" w:lineRule="exact"/>
        <w:ind w:left="640" w:firstLine="0" w:firstLineChars="0"/>
        <w:rPr>
          <w:rFonts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1.基本支出情况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2023年决算基本支出428.11万元，其中：工资及福利支出300.61万元，商品和服务支出113.02万元，对个人和家庭的补助8.96万元，资本性支出5.52万元。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pStyle w:val="17"/>
        <w:widowControl/>
        <w:spacing w:line="600" w:lineRule="exact"/>
        <w:ind w:left="640" w:firstLine="0" w:firstLineChars="0"/>
        <w:rPr>
          <w:rFonts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2.项目支出情况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ab/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（依据单位实施项目填写）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2023年决算项目支出6752.49万元，其中：一般公共服务支出696.96万元；公共卫生支出100万元；城乡社区支出698.50万元；住房保障支出3883.36万元；节能环保支出20万元；其他支出1353.67万元。</w:t>
      </w:r>
    </w:p>
    <w:p>
      <w:pPr>
        <w:pStyle w:val="17"/>
        <w:widowControl/>
        <w:spacing w:line="600" w:lineRule="exact"/>
        <w:ind w:left="420" w:firstLine="0" w:firstLineChars="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（三）“三公”经费使用和管理情况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2023年，北塔区住建局“三公经费”预算金额0万元。“三公”经费支出0万元，其中公务接待费0万元，</w:t>
      </w:r>
      <w:r>
        <w:rPr>
          <w:rFonts w:hint="eastAsia" w:ascii="仿宋" w:hAnsi="仿宋" w:eastAsia="仿宋"/>
          <w:sz w:val="32"/>
          <w:szCs w:val="32"/>
          <w:lang w:val="zh-CN"/>
        </w:rPr>
        <w:t>公务用车购置及运行维护费</w:t>
      </w:r>
      <w:r>
        <w:rPr>
          <w:rFonts w:hint="eastAsia" w:ascii="仿宋" w:hAnsi="仿宋" w:eastAsia="仿宋"/>
          <w:sz w:val="32"/>
          <w:szCs w:val="32"/>
        </w:rPr>
        <w:t>支出0万元。</w:t>
      </w:r>
    </w:p>
    <w:p>
      <w:pPr>
        <w:pStyle w:val="17"/>
        <w:widowControl/>
        <w:numPr>
          <w:ilvl w:val="0"/>
          <w:numId w:val="1"/>
        </w:numPr>
        <w:spacing w:line="600" w:lineRule="exact"/>
        <w:ind w:left="420" w:firstLine="0" w:firstLineChars="0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资金结转和结余情况</w:t>
      </w:r>
    </w:p>
    <w:p>
      <w:pPr>
        <w:pStyle w:val="17"/>
        <w:widowControl/>
        <w:spacing w:line="600" w:lineRule="exact"/>
        <w:ind w:left="42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2023年年初结转和结余0万元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7"/>
        <w:widowControl/>
        <w:numPr>
          <w:ilvl w:val="0"/>
          <w:numId w:val="1"/>
        </w:numPr>
        <w:spacing w:line="600" w:lineRule="exact"/>
        <w:ind w:left="420" w:firstLine="0" w:firstLineChars="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部门整体支出管理与制度建设情况</w:t>
      </w:r>
    </w:p>
    <w:p>
      <w:pPr>
        <w:pStyle w:val="17"/>
        <w:widowControl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2023年，我单位严格遵循有关规定，根据上级工作要求结合我单位实际，从预算编制与执行、资金分配与使用</w:t>
      </w:r>
      <w:r>
        <w:rPr>
          <w:rFonts w:hint="eastAsia" w:ascii="仿宋_GB2312" w:eastAsia="仿宋_GB2312"/>
          <w:sz w:val="32"/>
          <w:szCs w:val="32"/>
        </w:rPr>
        <w:t>、资</w:t>
      </w:r>
      <w:r>
        <w:rPr>
          <w:rFonts w:hint="eastAsia" w:ascii="仿宋" w:hAnsi="仿宋" w:eastAsia="仿宋"/>
          <w:sz w:val="32"/>
          <w:szCs w:val="32"/>
        </w:rPr>
        <w:t>金监督与管理以及财务会计信息、项目组织管理、项目绩效完成等方面严格把控。</w:t>
      </w:r>
    </w:p>
    <w:p>
      <w:pPr>
        <w:pStyle w:val="17"/>
        <w:widowControl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通过加强预算收支管理，不断建立健全内部管理制度，梳理内部管理流程，部门整体支出管理水平得到提升，制度建设不断强化。</w:t>
      </w:r>
    </w:p>
    <w:p>
      <w:pPr>
        <w:pStyle w:val="17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政府性基金预算支出情况</w:t>
      </w:r>
    </w:p>
    <w:p>
      <w:pPr>
        <w:pStyle w:val="17"/>
        <w:widowControl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pStyle w:val="17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国有资本经营预算支出情况</w:t>
      </w:r>
    </w:p>
    <w:p>
      <w:pPr>
        <w:pStyle w:val="17"/>
        <w:widowControl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pStyle w:val="17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社会保险基金预算支出情况</w:t>
      </w:r>
    </w:p>
    <w:p>
      <w:pPr>
        <w:pStyle w:val="17"/>
        <w:widowControl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六、部门整体支出绩效情况</w:t>
      </w:r>
    </w:p>
    <w:p>
      <w:pPr>
        <w:widowControl/>
        <w:spacing w:line="600" w:lineRule="exact"/>
        <w:ind w:firstLine="645"/>
        <w:jc w:val="left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（一）综合评价结论</w:t>
      </w:r>
    </w:p>
    <w:p>
      <w:pPr>
        <w:pStyle w:val="17"/>
        <w:widowControl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2023年对照《北塔区住建局单位2023年度部门整体支出绩效评价指标评分表》等方面具体指标综合评分，得分为98分，综合评价等级分为优秀。</w:t>
      </w:r>
    </w:p>
    <w:p>
      <w:pPr>
        <w:widowControl/>
        <w:numPr>
          <w:ilvl w:val="0"/>
          <w:numId w:val="3"/>
        </w:numPr>
        <w:spacing w:line="600" w:lineRule="exact"/>
        <w:ind w:firstLine="640" w:firstLineChars="200"/>
        <w:jc w:val="left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综合评价情况</w:t>
      </w:r>
    </w:p>
    <w:p>
      <w:pPr>
        <w:pStyle w:val="17"/>
        <w:widowControl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部门资金情况总分10分，得分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分。年度资金金额</w:t>
      </w:r>
      <w:r>
        <w:rPr>
          <w:rFonts w:hint="eastAsia" w:ascii="仿宋" w:hAnsi="仿宋" w:eastAsia="仿宋"/>
          <w:sz w:val="32"/>
          <w:szCs w:val="32"/>
        </w:rPr>
        <w:t>7180.60</w:t>
      </w:r>
      <w:r>
        <w:rPr>
          <w:rFonts w:ascii="仿宋" w:hAnsi="仿宋" w:eastAsia="仿宋"/>
          <w:sz w:val="32"/>
          <w:szCs w:val="32"/>
        </w:rPr>
        <w:t>万元，执行率为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/>
          <w:sz w:val="32"/>
          <w:szCs w:val="32"/>
        </w:rPr>
        <w:t>%。</w:t>
      </w:r>
    </w:p>
    <w:p>
      <w:pPr>
        <w:pStyle w:val="2"/>
        <w:ind w:left="0" w:firstLine="640"/>
        <w:rPr>
          <w:rFonts w:ascii="仿宋" w:hAnsi="仿宋" w:eastAsia="仿宋" w:cs="Times New Roman"/>
          <w:b w:val="0"/>
          <w:kern w:val="2"/>
          <w:szCs w:val="32"/>
          <w:lang w:val="en-US" w:bidi="ar-SA"/>
        </w:rPr>
      </w:pPr>
      <w:r>
        <w:rPr>
          <w:rFonts w:hint="eastAsia" w:ascii="仿宋" w:hAnsi="仿宋" w:eastAsia="仿宋" w:cs="Times New Roman"/>
          <w:b w:val="0"/>
          <w:kern w:val="2"/>
          <w:szCs w:val="32"/>
          <w:lang w:val="en-US" w:bidi="ar-SA"/>
        </w:rPr>
        <w:t>2、产出指标总分为40分，得分38分。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（1）数量指标2个均完成指标值。完成老旧小区改造项目17个；完成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北塔区市政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基础设施持续修复更新开盖更换大于等于100个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（2）质量指标完成2个指标值。各项工作按计划开展，全年工作完成及时率100%；工资津贴发放率100%；</w:t>
      </w:r>
    </w:p>
    <w:p>
      <w:pPr>
        <w:pStyle w:val="3"/>
        <w:numPr>
          <w:ilvl w:val="0"/>
          <w:numId w:val="4"/>
        </w:numPr>
        <w:spacing w:before="156"/>
        <w:ind w:firstLine="640"/>
        <w:rPr>
          <w:rFonts w:ascii="仿宋" w:hAnsi="仿宋" w:cs="Times New Roman"/>
          <w:sz w:val="32"/>
          <w:szCs w:val="32"/>
          <w:lang w:val="en-US" w:bidi="ar-SA"/>
        </w:rPr>
      </w:pPr>
      <w:r>
        <w:rPr>
          <w:rFonts w:hint="eastAsia" w:ascii="仿宋" w:hAnsi="仿宋" w:cs="Times New Roman"/>
          <w:sz w:val="32"/>
          <w:szCs w:val="32"/>
          <w:lang w:val="en-US" w:bidi="ar-SA"/>
        </w:rPr>
        <w:t>时效指标1个已完成指标值。重点工作按时办结100%。</w:t>
      </w:r>
    </w:p>
    <w:p>
      <w:pPr>
        <w:pStyle w:val="3"/>
        <w:spacing w:before="156"/>
        <w:ind w:firstLine="640"/>
        <w:rPr>
          <w:rFonts w:ascii="仿宋" w:hAnsi="仿宋" w:cs="Times New Roman"/>
          <w:sz w:val="32"/>
          <w:szCs w:val="32"/>
          <w:lang w:val="en-US" w:bidi="ar-SA"/>
        </w:rPr>
      </w:pPr>
      <w:r>
        <w:rPr>
          <w:rFonts w:hint="eastAsia" w:ascii="仿宋" w:hAnsi="仿宋" w:cs="Times New Roman"/>
          <w:sz w:val="32"/>
          <w:szCs w:val="32"/>
          <w:lang w:val="en-US" w:bidi="ar-SA"/>
        </w:rPr>
        <w:t>3、效益指标总分30分，得分30分。</w:t>
      </w:r>
    </w:p>
    <w:p>
      <w:pPr>
        <w:pStyle w:val="3"/>
        <w:spacing w:before="156"/>
        <w:ind w:firstLine="640"/>
        <w:rPr>
          <w:rFonts w:ascii="仿宋" w:hAnsi="仿宋" w:cs="Times New Roman"/>
          <w:sz w:val="32"/>
          <w:szCs w:val="32"/>
          <w:lang w:val="en-US" w:bidi="ar-SA"/>
        </w:rPr>
      </w:pPr>
      <w:r>
        <w:rPr>
          <w:rFonts w:hint="eastAsia" w:ascii="仿宋" w:hAnsi="仿宋" w:cs="Times New Roman"/>
          <w:sz w:val="32"/>
          <w:szCs w:val="32"/>
          <w:lang w:val="en-US" w:bidi="ar-SA"/>
        </w:rPr>
        <w:t>（1）经济效益指标2个均已完成指标值。2023年我单位</w:t>
      </w:r>
      <w:r>
        <w:rPr>
          <w:rFonts w:hint="eastAsia" w:ascii="仿宋" w:hAnsi="仿宋"/>
          <w:sz w:val="32"/>
          <w:szCs w:val="32"/>
        </w:rPr>
        <w:t>为北塔区经济发展提供了良好的规划</w:t>
      </w:r>
      <w:r>
        <w:rPr>
          <w:rFonts w:hint="eastAsia" w:ascii="仿宋" w:hAnsi="仿宋" w:cs="Times New Roman"/>
          <w:sz w:val="32"/>
          <w:szCs w:val="32"/>
          <w:lang w:val="en-US" w:bidi="ar-SA"/>
        </w:rPr>
        <w:t>；</w:t>
      </w:r>
      <w:r>
        <w:rPr>
          <w:rFonts w:hint="eastAsia" w:ascii="仿宋" w:hAnsi="仿宋" w:cs="宋体"/>
          <w:color w:val="000000"/>
          <w:sz w:val="32"/>
          <w:szCs w:val="32"/>
        </w:rPr>
        <w:t>财政资金使用效益</w:t>
      </w:r>
      <w:r>
        <w:rPr>
          <w:rFonts w:hint="eastAsia" w:ascii="仿宋" w:hAnsi="仿宋" w:cs="Times New Roman"/>
          <w:sz w:val="32"/>
          <w:szCs w:val="32"/>
          <w:lang w:val="en-US" w:bidi="ar-SA"/>
        </w:rPr>
        <w:t>较去年有所提升。</w:t>
      </w:r>
    </w:p>
    <w:p>
      <w:pPr>
        <w:pStyle w:val="2"/>
        <w:ind w:left="0" w:firstLine="640"/>
        <w:rPr>
          <w:rFonts w:ascii="仿宋" w:hAnsi="仿宋" w:eastAsia="仿宋" w:cs="Times New Roman"/>
          <w:b w:val="0"/>
          <w:kern w:val="2"/>
          <w:szCs w:val="32"/>
          <w:lang w:val="en-US" w:bidi="ar-SA"/>
        </w:rPr>
      </w:pPr>
      <w:r>
        <w:rPr>
          <w:rFonts w:hint="eastAsia" w:ascii="仿宋" w:hAnsi="仿宋" w:eastAsia="仿宋" w:cs="Times New Roman"/>
          <w:b w:val="0"/>
          <w:kern w:val="2"/>
          <w:szCs w:val="32"/>
          <w:lang w:val="en-US" w:bidi="ar-SA"/>
        </w:rPr>
        <w:t>（2）社会效益指标3个均已完成指标值。</w:t>
      </w:r>
      <w:r>
        <w:rPr>
          <w:rFonts w:hint="eastAsia" w:ascii="仿宋" w:hAnsi="仿宋" w:eastAsia="仿宋"/>
          <w:b w:val="0"/>
          <w:bCs/>
          <w:color w:val="000000"/>
          <w:szCs w:val="32"/>
        </w:rPr>
        <w:t>居民生活环境有所改善，居民生活质量逐步提高</w:t>
      </w:r>
      <w:r>
        <w:rPr>
          <w:rFonts w:hint="eastAsia" w:ascii="仿宋" w:hAnsi="仿宋" w:eastAsia="仿宋" w:cs="Times New Roman"/>
          <w:b w:val="0"/>
          <w:kern w:val="2"/>
          <w:szCs w:val="32"/>
          <w:lang w:val="en-US" w:bidi="ar-SA"/>
        </w:rPr>
        <w:t>；道路基础设施建设有所优化；社会安定和谐。</w:t>
      </w:r>
    </w:p>
    <w:p>
      <w:pPr>
        <w:pStyle w:val="2"/>
        <w:ind w:left="0" w:firstLine="640"/>
        <w:rPr>
          <w:rFonts w:ascii="仿宋" w:hAnsi="仿宋" w:eastAsia="仿宋" w:cs="Times New Roman"/>
          <w:b w:val="0"/>
          <w:kern w:val="2"/>
          <w:szCs w:val="32"/>
          <w:lang w:val="en-US" w:bidi="ar-SA"/>
        </w:rPr>
      </w:pPr>
      <w:r>
        <w:rPr>
          <w:rFonts w:hint="eastAsia" w:ascii="仿宋" w:hAnsi="仿宋" w:eastAsia="仿宋" w:cs="Times New Roman"/>
          <w:b w:val="0"/>
          <w:kern w:val="2"/>
          <w:szCs w:val="32"/>
          <w:lang w:val="en-US" w:bidi="ar-SA"/>
        </w:rPr>
        <w:t>（3）生态效益指标1个已完成指标值。生态文明有所提升。</w:t>
      </w:r>
    </w:p>
    <w:p>
      <w:pPr>
        <w:pStyle w:val="2"/>
        <w:ind w:left="0" w:firstLine="640"/>
        <w:rPr>
          <w:rFonts w:ascii="仿宋" w:hAnsi="仿宋" w:eastAsia="仿宋" w:cs="Times New Roman"/>
          <w:b w:val="0"/>
          <w:kern w:val="2"/>
          <w:szCs w:val="32"/>
          <w:lang w:val="en-US" w:bidi="ar-SA"/>
        </w:rPr>
      </w:pPr>
      <w:r>
        <w:rPr>
          <w:rFonts w:hint="eastAsia" w:ascii="仿宋" w:hAnsi="仿宋" w:eastAsia="仿宋" w:cs="Times New Roman"/>
          <w:b w:val="0"/>
          <w:kern w:val="2"/>
          <w:szCs w:val="32"/>
          <w:lang w:val="en-US" w:bidi="ar-SA"/>
        </w:rPr>
        <w:t>（4）可持续影响指标1个已完成指标值。民众思想文化素养有所提高，文明环境建设有所加强。</w:t>
      </w:r>
    </w:p>
    <w:p>
      <w:pPr>
        <w:pStyle w:val="2"/>
        <w:ind w:left="0" w:firstLine="640"/>
        <w:rPr>
          <w:rFonts w:ascii="仿宋" w:hAnsi="仿宋" w:eastAsia="仿宋" w:cs="Times New Roman"/>
          <w:b w:val="0"/>
          <w:kern w:val="2"/>
          <w:szCs w:val="32"/>
          <w:lang w:val="en-US" w:bidi="ar-SA"/>
        </w:rPr>
      </w:pPr>
      <w:r>
        <w:rPr>
          <w:rFonts w:hint="eastAsia" w:ascii="仿宋" w:hAnsi="仿宋" w:eastAsia="仿宋" w:cs="Times New Roman"/>
          <w:b w:val="0"/>
          <w:kern w:val="2"/>
          <w:szCs w:val="32"/>
          <w:lang w:val="en-US" w:bidi="ar-SA"/>
        </w:rPr>
        <w:t>4、满意度指标总分为10分，得分10分。在2023年度工作中，我单位坚持“以民为本”的工作理念，干部职工满意度98%，社会公众或服务对象满意度98%，均已完成指标值。</w:t>
      </w:r>
    </w:p>
    <w:p>
      <w:pPr>
        <w:pStyle w:val="3"/>
        <w:spacing w:before="156"/>
        <w:ind w:firstLine="640"/>
        <w:rPr>
          <w:rFonts w:ascii="仿宋" w:hAnsi="仿宋" w:cs="Times New Roman"/>
          <w:sz w:val="32"/>
          <w:szCs w:val="32"/>
          <w:lang w:val="en-US" w:bidi="ar-SA"/>
        </w:rPr>
      </w:pPr>
      <w:r>
        <w:rPr>
          <w:rFonts w:hint="eastAsia" w:ascii="仿宋" w:hAnsi="仿宋" w:cs="Times New Roman"/>
          <w:sz w:val="32"/>
          <w:szCs w:val="32"/>
          <w:lang w:val="en-US" w:bidi="ar-SA"/>
        </w:rPr>
        <w:t>5、成本指标总分为10分，得分10分，各项业务经费未超出预算，未超支审批。</w:t>
      </w:r>
    </w:p>
    <w:p>
      <w:pPr>
        <w:pStyle w:val="17"/>
        <w:widowControl/>
        <w:spacing w:line="600" w:lineRule="exact"/>
        <w:ind w:left="640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七、存在的问题及原因分析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1、预算编制不够明确和细化，预算编制的合理性需要提高，预算执行力度还要进一步加强。资金使用效益有待进一步提高，绩效目标设立不够明确、细化和量化。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2、财务制度方面不够规范，没有建立健全完善的机制体系，对绩效评价认识不足。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3、人员素质有待提高。由于人员变动，单位对相关绩效管理业务不熟练，加上缺乏系统的培训，业务操作水平有限。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八、下一步改进措施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2"/>
        <w:ind w:firstLine="640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 w:cs="Times New Roman"/>
          <w:b w:val="0"/>
          <w:kern w:val="2"/>
          <w:szCs w:val="32"/>
          <w:lang w:val="en-US" w:bidi="ar-SA"/>
        </w:rPr>
        <w:t>3、加强政策学习，提高思想认识。组织相关人员认真学习《会计法》、《预算法》等相关法规、制度，提高业务人员的业务水平及思想认识，为绩效评价工作夯实基础。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九、其他需要说明的情况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pStyle w:val="3"/>
        <w:spacing w:before="156"/>
        <w:ind w:left="0" w:firstLine="0" w:firstLineChars="0"/>
        <w:rPr>
          <w:rFonts w:cs="Times New Roman"/>
        </w:rPr>
      </w:pPr>
    </w:p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附件1-1      </w:t>
      </w:r>
    </w:p>
    <w:p>
      <w:pPr>
        <w:widowControl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</w:rPr>
        <w:t xml:space="preserve">北塔区住房和城乡建设局       </w:t>
      </w:r>
      <w:r>
        <w:rPr>
          <w:rFonts w:ascii="Times New Roman" w:hAnsi="Times New Roman"/>
          <w:kern w:val="0"/>
          <w:sz w:val="24"/>
        </w:rPr>
        <w:t>填报时间：</w:t>
      </w:r>
      <w:r>
        <w:rPr>
          <w:rFonts w:hint="eastAsia" w:ascii="Times New Roman" w:hAnsi="Times New Roman"/>
          <w:kern w:val="0"/>
          <w:sz w:val="24"/>
        </w:rPr>
        <w:t>2024.7.22   单位：万元</w:t>
      </w:r>
    </w:p>
    <w:tbl>
      <w:tblPr>
        <w:tblStyle w:val="10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1"/>
        <w:gridCol w:w="1717"/>
        <w:gridCol w:w="2326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编制数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年末实际在职人数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16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16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当年决算数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当年预算数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上年决算数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239.34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428.11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其中： 1、压缩一般性支出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出国（境）经费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7180.60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30.8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11887.16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、业务工作专项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6752.49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11887.16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一般公共服务支出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696.96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696.96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公共卫生支出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100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城乡社区支出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698.50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698.50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2952.4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住房保障支出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3883.36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3883.36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3470.48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节能环保支出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54.44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1353.67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1353.67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4834.52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、运行维护专项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428.11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一般公共服务支出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210.26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210.26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社会保障和就业支出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22.42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22.42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城乡社区支出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140.06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140.06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287.55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其他支出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55.37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55.37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166.12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1088.51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1469.75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703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ab/>
            </w:r>
            <w:r>
              <w:rPr>
                <w:rFonts w:hint="eastAsia" w:ascii="Times New Roman" w:hAnsi="Times New Roman"/>
                <w:kern w:val="0"/>
                <w:szCs w:val="21"/>
              </w:rPr>
              <w:t>严格控制三公经费支出　　</w:t>
            </w:r>
          </w:p>
        </w:tc>
      </w:tr>
    </w:tbl>
    <w:p>
      <w:pPr>
        <w:spacing w:beforeLines="20"/>
        <w:rPr>
          <w:rFonts w:ascii="Times New Roman" w:hAnsi="Times New Roman"/>
          <w:kern w:val="0"/>
          <w:szCs w:val="22"/>
        </w:rPr>
      </w:pPr>
      <w:r>
        <w:rPr>
          <w:rFonts w:ascii="Times New Roman" w:hAnsi="Times New Roman"/>
          <w:kern w:val="0"/>
          <w:szCs w:val="22"/>
        </w:rPr>
        <w:t>说明：“公用经费”填报基本支出中的一般商品和服务支出；“项目支出”需要填报基本支出以外的所有项目支出情况，包括业务工作项目、运行维护项目和县级专项资金等。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联系电话：</w:t>
      </w:r>
      <w:r>
        <w:rPr>
          <w:rFonts w:hint="eastAsia"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单位负责人签字：</w:t>
      </w:r>
    </w:p>
    <w:p>
      <w:pPr>
        <w:spacing w:beforeLines="20"/>
        <w:rPr>
          <w:rFonts w:ascii="Times New Roman" w:hAnsi="Times New Roman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Lines="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1-2 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Times New Roman" w:hAnsi="Times New Roman" w:eastAsia="方正小标宋_GBK"/>
          <w:sz w:val="28"/>
          <w:szCs w:val="28"/>
        </w:rPr>
      </w:pPr>
      <w:r>
        <w:rPr>
          <w:rFonts w:ascii="Times New Roman" w:hAnsi="Times New Roman" w:eastAsia="方正小标宋_GBK"/>
          <w:sz w:val="28"/>
          <w:szCs w:val="28"/>
        </w:rPr>
        <w:t xml:space="preserve">（ </w:t>
      </w:r>
      <w:r>
        <w:rPr>
          <w:rFonts w:hint="eastAsia" w:ascii="Times New Roman" w:hAnsi="Times New Roman" w:eastAsia="方正小标宋_GBK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年度</w:t>
      </w:r>
      <w:r>
        <w:rPr>
          <w:rFonts w:ascii="Times New Roman" w:hAnsi="Times New Roman" w:eastAsia="方正小标宋_GBK"/>
          <w:sz w:val="28"/>
          <w:szCs w:val="28"/>
        </w:rPr>
        <w:t>）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填报单位（盖章）：</w:t>
      </w:r>
      <w:r>
        <w:rPr>
          <w:rFonts w:hint="eastAsia" w:ascii="Times New Roman" w:hAnsi="Times New Roman"/>
          <w:kern w:val="0"/>
          <w:sz w:val="24"/>
        </w:rPr>
        <w:t xml:space="preserve">北塔区住房和城乡建设局  </w:t>
      </w:r>
      <w:r>
        <w:rPr>
          <w:rFonts w:ascii="Times New Roman" w:hAnsi="Times New Roman"/>
          <w:sz w:val="24"/>
        </w:rPr>
        <w:t>填报时间：</w:t>
      </w:r>
      <w:r>
        <w:rPr>
          <w:rFonts w:hint="eastAsia" w:ascii="Times New Roman" w:hAnsi="Times New Roman"/>
          <w:kern w:val="0"/>
          <w:sz w:val="24"/>
        </w:rPr>
        <w:t>2024.7.22 单位：万元</w:t>
      </w:r>
    </w:p>
    <w:tbl>
      <w:tblPr>
        <w:tblStyle w:val="10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900"/>
        <w:gridCol w:w="1050"/>
        <w:gridCol w:w="1005"/>
        <w:gridCol w:w="1695"/>
        <w:gridCol w:w="1521"/>
        <w:gridCol w:w="1466"/>
        <w:gridCol w:w="73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部门资金（万元）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预算执行率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270.14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7180.60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2658.10%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按收入性质分类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按支出性质分类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一般公共预算拨款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6122.06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428.11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政府性基金拨款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1058.54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1.人员经费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309.56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纳入管理的非税收入拨款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2.公用经费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118.55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……拨款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其中：三公经费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6752.49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年度总体目标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年初预期（设定）目标　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在本年度收支预算内，确保完成以下整体目标：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目标1：人员经费按照相关政策及时发放到位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目标2：严格控制三公经费，确保机关正常运行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目标3：做好社会保障工作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按照财政预算，严控三公经费，2023年本单位正常运行，人员相关经费按照政策及时发放到位。民生支出及时到位，本乡经济平稳发展。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三级指标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老旧小区改造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17个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17个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北塔区市政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基础设施持续修复更新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开盖更换大于等于100个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100个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t>各项工作按计划开展，全年工作完成及时率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工资津贴发放率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重点工作办结率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按时办结100%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按时办结100%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各项业务经费不超出预算，超支审批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t>为</w:t>
            </w:r>
            <w:r>
              <w:rPr>
                <w:rFonts w:hint="eastAsia"/>
              </w:rPr>
              <w:t>北塔</w:t>
            </w:r>
            <w:r>
              <w:t>区经济发展提供好的规划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逐步提高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有所提高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1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提高财政资金使用效益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较去年有所提高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有所提高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改善居民生活环境，提高居民生活质量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逐步提高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有所保障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道路基础设施建设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改善城区道路完善基础设施建设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道路基础设施建设有所优化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安全保障和社会和谐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通过排查化解安全隐患、矛盾纠纷，确保社会安定和谐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社会和谐稳定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264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ascii="微软雅黑" w:hAnsi="微软雅黑" w:eastAsia="微软雅黑" w:cs="微软雅黑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0"/>
                <w:szCs w:val="20"/>
                <w:lang w:val="en-US" w:bidi="ar-SA"/>
              </w:rPr>
              <w:t>生态文明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将卫生环境保护贯穿到辖区村（社区）、丰富文化生活，加强乡风文明建设，着力建设生态环保，节能高效的社会环境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787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文明环境</w:t>
            </w:r>
          </w:p>
        </w:tc>
        <w:tc>
          <w:tcPr>
            <w:tcW w:w="1521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通过乡风文明建设逐步提高民众思想文化素养，创造持续的文明环境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民众思想文化素养提高，文明环境持续加强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干部职工满意度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员工满意度≥95%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社会公众或服务对象满意度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社会公众或服务对象满意度≥95%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/>
    <w:p>
      <w:pPr>
        <w:pStyle w:val="2"/>
        <w:ind w:firstLine="643"/>
      </w:pPr>
    </w:p>
    <w:p>
      <w:pPr>
        <w:pStyle w:val="3"/>
        <w:spacing w:before="156"/>
        <w:ind w:firstLine="480"/>
      </w:pPr>
    </w:p>
    <w:p>
      <w:pPr>
        <w:pStyle w:val="3"/>
        <w:spacing w:before="156"/>
        <w:ind w:firstLine="480"/>
      </w:pPr>
    </w:p>
    <w:p>
      <w:pPr>
        <w:pStyle w:val="3"/>
        <w:spacing w:before="156"/>
        <w:ind w:firstLine="480"/>
      </w:pPr>
    </w:p>
    <w:p>
      <w:pPr>
        <w:pStyle w:val="8"/>
        <w:widowControl/>
        <w:shd w:val="clear" w:color="auto" w:fill="FFFFFF"/>
        <w:spacing w:beforeAutospacing="0" w:afterAutospacing="0" w:line="480" w:lineRule="atLeas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项目支出绩效自评报告</w:t>
      </w:r>
    </w:p>
    <w:p>
      <w:pPr>
        <w:pStyle w:val="8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</w:rPr>
      </w:pPr>
      <w:r>
        <w:rPr>
          <w:rFonts w:ascii="仿宋_GB2312" w:hAnsi="方正小标宋_GBK" w:eastAsia="仿宋_GB2312" w:cs="仿宋_GB2312"/>
          <w:color w:val="000000"/>
          <w:shd w:val="clear" w:color="auto" w:fill="FFFFFF"/>
        </w:rPr>
        <w:t> 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一、项目基本情况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2" w:firstLineChars="20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（一）项目概况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1.项目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决策背景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在区委、区人民政府的正确领导和市住建局的精心指导下，围绕“四区二城”的战略建设目标，推进北塔区城乡建设的高质量发展。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jc w:val="both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  2.项目主要内容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2023年度邵阳市北塔区住房和城乡建设局项目支出共计5697.80万元，系城镇老旧小区改造、环保督查问题整改、危房改造、电梯增设、市政维修及创文固卫等重点工作、项目的支出。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3.项目组织管理机构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项目实施单位为邵阳市北塔区住房和城乡建设局，由住房和城乡建设局统一编制预算、统一制定绩效目标、统一项目资金管理、统一资金安排使用，对资金使用进行监督管理与审核、审批。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2" w:firstLineChars="20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（二）预算资金使用管理情况</w:t>
      </w:r>
    </w:p>
    <w:p>
      <w:pPr>
        <w:snapToGrid w:val="0"/>
        <w:spacing w:line="520" w:lineRule="exact"/>
        <w:ind w:firstLine="640" w:firstLineChars="200"/>
        <w:outlineLvl w:val="1"/>
        <w:rPr>
          <w:rFonts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1.</w:t>
      </w:r>
      <w:r>
        <w:rPr>
          <w:rFonts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预算资金安排及管理情况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1）资金来源及拨付流程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财政预算安排。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（2）资金到位情况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上年结转0万元，年初预算安排270.14万元，年度下达7180.60万元，合计达7180.60万元。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（3）资金使用情况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2023年项目决算支出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5697.80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万元,</w:t>
      </w:r>
      <w:r>
        <w:rPr>
          <w:rFonts w:hint="eastAsia" w:ascii="仿宋" w:hAnsi="仿宋" w:eastAsia="仿宋" w:cs="仿宋"/>
          <w:sz w:val="32"/>
          <w:szCs w:val="32"/>
        </w:rPr>
        <w:t>年末结转和结余0.00万元。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（4）资金管理制度及执行情况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单位制定了《邵阳市北塔区住房和城乡建设局财务制度》、《北塔区住房和城乡建设局专项资金管理制度》，主要对项目资金的使用、支付流程、项目资金监督等方面做出了具体规定。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2.项目组织实施管理情况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（一）资金支出情况。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2023年项目决算支出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5697.80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万元。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（二）资金管理情况。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在项目资金使用管理上，严格按照国家财经法规和内部财务管理制度的规定开支。资金结付有完整的审批程序和手续，严格按照财经法规有关要求，做到专款专用，单位领导对资金的使用进行全程监督，保证资金使用的合规性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（三）资金绩效情况。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工程项目的完成，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极大保障、方便了当地老百姓的住房和出行，为促进本地经济社会发展提供保障。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2" w:firstLineChars="200"/>
        <w:jc w:val="both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（三）预算绩效目标情况</w:t>
      </w:r>
    </w:p>
    <w:p>
      <w:pPr>
        <w:pStyle w:val="8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1.绩效目标：高标准完成绩效目标。</w:t>
      </w:r>
    </w:p>
    <w:p>
      <w:pPr>
        <w:pStyle w:val="9"/>
        <w:snapToGrid w:val="0"/>
        <w:spacing w:line="520" w:lineRule="exact"/>
        <w:rPr>
          <w:rFonts w:ascii="仿宋" w:hAnsi="仿宋" w:eastAsia="仿宋" w:cs="仿宋"/>
          <w:color w:val="000000"/>
          <w:kern w:val="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shd w:val="clear" w:color="auto" w:fill="FFFFFF"/>
        </w:rPr>
        <w:t>2.绩效指标：高标准完成绩效指标。</w:t>
      </w:r>
    </w:p>
    <w:p>
      <w:pPr>
        <w:pStyle w:val="9"/>
        <w:snapToGrid w:val="0"/>
        <w:spacing w:line="520" w:lineRule="exact"/>
        <w:rPr>
          <w:rFonts w:ascii="黑体" w:hAnsi="黑体" w:eastAsia="黑体" w:cs="黑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shd w:val="clear" w:color="auto" w:fill="FFFFFF"/>
        </w:rPr>
        <w:t>二、绩效评价工作情况</w:t>
      </w:r>
    </w:p>
    <w:p>
      <w:p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（一）绩效评价目的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根据上级部门的工作部署和要求，运用科学、规范的绩效评价方法，客观、公正地对2023年工作项目支出进行评价，以反映项目资金的绩效，通过绩效评价，树立绩效管理理念，做好预算绩效管理，提高财政资金效益。</w:t>
      </w:r>
    </w:p>
    <w:p>
      <w:pPr>
        <w:numPr>
          <w:ilvl w:val="0"/>
          <w:numId w:val="5"/>
        </w:num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Toc11844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被评价单位、绩效评价范围与时段</w:t>
      </w:r>
      <w:bookmarkEnd w:id="0"/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本次绩效评价主要是针对本单位2023年期间项目决算支出696.82万元进行项目评价。</w:t>
      </w:r>
    </w:p>
    <w:p>
      <w:pPr>
        <w:numPr>
          <w:ilvl w:val="0"/>
          <w:numId w:val="5"/>
        </w:num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1" w:name="_Toc31835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绩效评价原则、评价指标体系、评价方法</w:t>
      </w:r>
      <w:bookmarkEnd w:id="1"/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（1）科学规范原则。绩效评价应当严格执行规定的程序，按照科学可行的要求，采用定量与定性分析相结合的方法。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（2）公开公正原则。绩效评价应当符合真实、客观、公正的要求，依法公开并接受监督。</w:t>
      </w:r>
    </w:p>
    <w:p>
      <w:pPr>
        <w:snapToGrid w:val="0"/>
        <w:spacing w:line="52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bookmarkStart w:id="2" w:name="_Toc32076"/>
      <w:bookmarkStart w:id="3" w:name="_Toc7615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三、主要绩效及评价结论</w:t>
      </w:r>
      <w:bookmarkEnd w:id="2"/>
      <w:bookmarkEnd w:id="3"/>
    </w:p>
    <w:p>
      <w:p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（一）社会效益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改善居民群众的生产、生活条件,为老百姓的安全出行提供提供便利。</w:t>
      </w:r>
    </w:p>
    <w:p>
      <w:pPr>
        <w:numPr>
          <w:ilvl w:val="0"/>
          <w:numId w:val="6"/>
        </w:num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生态效益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改善居民群众的生产、生活条件。</w:t>
      </w:r>
    </w:p>
    <w:p>
      <w:pPr>
        <w:numPr>
          <w:ilvl w:val="0"/>
          <w:numId w:val="6"/>
        </w:num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可持续影响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推动社会发展，提升可持续发展能力。</w:t>
      </w:r>
    </w:p>
    <w:p>
      <w:pPr>
        <w:numPr>
          <w:ilvl w:val="0"/>
          <w:numId w:val="6"/>
        </w:num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满意度情况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绩效评价小组针对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本单位项目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情况通过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电子问卷向单位职工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相关受益群体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发放问卷进行满意度调查，共收集有效问卷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份。经统计，202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年满意度为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100.00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%</w:t>
      </w:r>
    </w:p>
    <w:p>
      <w:pPr>
        <w:numPr>
          <w:ilvl w:val="0"/>
          <w:numId w:val="6"/>
        </w:num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评价结论</w:t>
      </w:r>
    </w:p>
    <w:p>
      <w:pPr>
        <w:pStyle w:val="20"/>
        <w:ind w:firstLine="640"/>
        <w:rPr>
          <w:rFonts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  <w:t>根据资金绩效评价指标体系和绩效检查情况，202</w:t>
      </w:r>
      <w:r>
        <w:rPr>
          <w:rFonts w:hint="eastAsia"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  <w:t>年度部门</w:t>
      </w:r>
      <w:r>
        <w:rPr>
          <w:rFonts w:hint="eastAsia"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  <w:t>项目</w:t>
      </w:r>
      <w:r>
        <w:rPr>
          <w:rFonts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  <w:t>支出重点绩效评价分值100分，从部门决策、部门预算、内部制度管理、部门产出、部门效益等方面总体评价，实得</w:t>
      </w:r>
      <w:r>
        <w:rPr>
          <w:rFonts w:hint="eastAsia"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  <w:t>96.00</w:t>
      </w:r>
      <w:r>
        <w:rPr>
          <w:rFonts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  <w:t>分，被评为</w:t>
      </w:r>
      <w:r>
        <w:rPr>
          <w:rFonts w:hint="eastAsia"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  <w:t>“优”等级（详见附件）</w:t>
      </w:r>
      <w:r>
        <w:rPr>
          <w:rFonts w:ascii="仿宋" w:hAnsi="仿宋" w:eastAsia="仿宋" w:cs="仿宋"/>
          <w:snapToGrid/>
          <w:color w:val="000000"/>
          <w:sz w:val="32"/>
          <w:szCs w:val="32"/>
          <w:shd w:val="clear" w:color="auto" w:fill="FFFFFF"/>
        </w:rPr>
        <w:t>。</w:t>
      </w:r>
    </w:p>
    <w:p>
      <w:pPr>
        <w:snapToGrid w:val="0"/>
        <w:spacing w:line="52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bookmarkStart w:id="4" w:name="_Toc27541"/>
      <w:bookmarkStart w:id="5" w:name="_Toc16332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四、绩效评价指标分析</w:t>
      </w:r>
      <w:bookmarkEnd w:id="4"/>
      <w:bookmarkEnd w:id="5"/>
    </w:p>
    <w:p>
      <w:p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6" w:name="_Toc17679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(一)项目决策情况</w:t>
      </w:r>
      <w:bookmarkEnd w:id="6"/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项目费用支出纳入区财政预算统一管理，年初预算编制纳入单位项目费用支付，在区财政局将项目资金调拨到位后，依据相关职能职责和工作程序，依法依规，有序开展费用的核算和支付。</w:t>
      </w:r>
    </w:p>
    <w:p>
      <w:pPr>
        <w:snapToGrid w:val="0"/>
        <w:spacing w:line="520" w:lineRule="exact"/>
        <w:ind w:firstLine="642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7" w:name="_Toc28411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(二)项目过程情况</w:t>
      </w:r>
      <w:bookmarkEnd w:id="7"/>
    </w:p>
    <w:p>
      <w:pPr>
        <w:snapToGrid w:val="0"/>
        <w:spacing w:line="520" w:lineRule="exact"/>
        <w:ind w:firstLine="640" w:firstLineChars="200"/>
        <w:outlineLvl w:val="2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bookmarkStart w:id="8" w:name="_Toc10140"/>
      <w:bookmarkStart w:id="9" w:name="_Toc6604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1.资金管理</w:t>
      </w:r>
      <w:bookmarkEnd w:id="8"/>
    </w:p>
    <w:p>
      <w:pPr>
        <w:spacing w:line="60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单位</w:t>
      </w:r>
      <w:r>
        <w:rPr>
          <w:rFonts w:ascii="Times New Roman Regular" w:hAnsi="Times New Roman Regular" w:eastAsia="仿宋" w:cs="Times New Roman Regular"/>
          <w:sz w:val="32"/>
          <w:szCs w:val="32"/>
        </w:rPr>
        <w:t>制定了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《邵阳市北塔交通局财务管理办法》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从资金支出审批、业务办理、报销规定、报账流程、财务监督等方面进行了有关规定，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严格按照有关财务制度，加强机关财务管理，节约使用资金，降低行政成本。</w:t>
      </w:r>
    </w:p>
    <w:p>
      <w:pPr>
        <w:snapToGrid w:val="0"/>
        <w:spacing w:line="520" w:lineRule="exact"/>
        <w:ind w:firstLine="640" w:firstLineChars="200"/>
        <w:outlineLvl w:val="2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bookmarkStart w:id="10" w:name="_Toc121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2.项目实施</w:t>
      </w:r>
      <w:bookmarkEnd w:id="10"/>
    </w:p>
    <w:p>
      <w:pPr>
        <w:pStyle w:val="8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</w:rPr>
        <w:t xml:space="preserve">根据项目申报指南及有关要求，严格按照预算管理级次自下而上、逐级根据需要，编制项目支出计划。在对各项目申报材料和项目支出预算合理性、可行性和必要性进行审核的基础上，确定了项目实施单位，并按照部门预算管理程序和要求编制申请项目支出预算。在项目组织的过程中做到有依有据，合理合法，监管与审核并重，项目组织程序有序，有利于保障和提高项目实施效果。 </w:t>
      </w:r>
    </w:p>
    <w:p>
      <w:pPr>
        <w:pStyle w:val="9"/>
        <w:snapToGrid w:val="0"/>
        <w:spacing w:line="520" w:lineRule="exact"/>
        <w:ind w:firstLine="643"/>
        <w:outlineLvl w:val="1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(三)项目产出情况</w:t>
      </w:r>
      <w:bookmarkEnd w:id="9"/>
    </w:p>
    <w:p>
      <w:pPr>
        <w:snapToGrid w:val="0"/>
        <w:spacing w:line="520" w:lineRule="exact"/>
        <w:ind w:firstLine="640" w:firstLineChars="200"/>
        <w:outlineLvl w:val="2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bookmarkStart w:id="11" w:name="_Toc20742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1.产出数量</w:t>
      </w:r>
      <w:bookmarkEnd w:id="11"/>
    </w:p>
    <w:p>
      <w:pPr>
        <w:pStyle w:val="9"/>
        <w:snapToGrid w:val="0"/>
        <w:spacing w:line="520" w:lineRule="exact"/>
        <w:ind w:firstLine="640"/>
        <w:outlineLvl w:val="2"/>
        <w:rPr>
          <w:rFonts w:ascii="仿宋" w:hAnsi="仿宋" w:eastAsia="仿宋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 Regular"/>
          <w:sz w:val="32"/>
          <w:szCs w:val="32"/>
        </w:rPr>
        <w:t>一是城镇老旧小区改造工作：完成省定重点民生实事2023年城镇老旧小区改造9个小区，市定民生实事项目8个；二是市政维修工程：修复破损路面约1.1万平方米，修补安砌路侧石约1.4千米，疏通下水管（涵）4.2千米，修复或新铺人行道板约1.5万平方米；三是创文固卫：完成市、区两级交办的整改事项220余起。</w:t>
      </w:r>
    </w:p>
    <w:p>
      <w:pPr>
        <w:snapToGrid w:val="0"/>
        <w:spacing w:line="520" w:lineRule="exact"/>
        <w:ind w:firstLine="640" w:firstLineChars="200"/>
        <w:outlineLvl w:val="2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bookmarkStart w:id="12" w:name="_Toc5372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2.产出质量</w:t>
      </w:r>
      <w:bookmarkEnd w:id="12"/>
    </w:p>
    <w:p>
      <w:pPr>
        <w:pStyle w:val="9"/>
        <w:spacing w:line="620" w:lineRule="exact"/>
        <w:ind w:firstLine="640"/>
        <w:rPr>
          <w:rFonts w:ascii="仿宋" w:hAnsi="仿宋" w:eastAsia="仿宋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仿宋"/>
          <w:color w:val="000000" w:themeColor="text1"/>
          <w:sz w:val="32"/>
          <w:szCs w:val="32"/>
        </w:rPr>
        <w:t>2023年城镇老旧小区改造工作第三片区（北江豪庭）项目获市住建局推荐，获评民生实事典型工程。</w:t>
      </w:r>
    </w:p>
    <w:p>
      <w:pPr>
        <w:snapToGrid w:val="0"/>
        <w:spacing w:line="520" w:lineRule="exact"/>
        <w:ind w:firstLine="640" w:firstLineChars="200"/>
        <w:outlineLvl w:val="2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bookmarkStart w:id="13" w:name="_Toc25948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3.产出成本</w:t>
      </w:r>
      <w:bookmarkEnd w:id="13"/>
    </w:p>
    <w:p>
      <w:pPr>
        <w:pStyle w:val="9"/>
        <w:snapToGrid w:val="0"/>
        <w:spacing w:line="520" w:lineRule="exact"/>
        <w:ind w:firstLine="0" w:firstLineChars="0"/>
        <w:outlineLvl w:val="2"/>
        <w:rPr>
          <w:rFonts w:ascii="仿宋" w:hAnsi="仿宋" w:eastAsia="仿宋" w:cs="华文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华文仿宋"/>
          <w:color w:val="000000" w:themeColor="text1"/>
          <w:sz w:val="32"/>
          <w:szCs w:val="32"/>
        </w:rPr>
        <w:t>2023年项目决算支出为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5697.80</w:t>
      </w:r>
      <w:r>
        <w:rPr>
          <w:rFonts w:hint="eastAsia" w:ascii="仿宋" w:hAnsi="仿宋" w:eastAsia="仿宋" w:cs="华文仿宋"/>
          <w:color w:val="000000" w:themeColor="text1"/>
          <w:sz w:val="32"/>
          <w:szCs w:val="32"/>
        </w:rPr>
        <w:t>万元。</w:t>
      </w:r>
    </w:p>
    <w:p>
      <w:pPr>
        <w:pStyle w:val="9"/>
        <w:snapToGrid w:val="0"/>
        <w:spacing w:line="520" w:lineRule="exact"/>
        <w:ind w:firstLine="640"/>
        <w:outlineLvl w:val="2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bookmarkStart w:id="14" w:name="_Toc21477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4.产出时效</w:t>
      </w:r>
      <w:bookmarkEnd w:id="14"/>
    </w:p>
    <w:p>
      <w:pPr>
        <w:pStyle w:val="9"/>
        <w:snapToGrid w:val="0"/>
        <w:spacing w:line="520" w:lineRule="exact"/>
        <w:ind w:firstLine="640"/>
        <w:outlineLvl w:val="2"/>
        <w:rPr>
          <w:rFonts w:ascii="仿宋" w:hAnsi="仿宋" w:eastAsia="仿宋" w:cs="华文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华文仿宋"/>
          <w:color w:val="000000" w:themeColor="text1"/>
          <w:sz w:val="32"/>
          <w:szCs w:val="32"/>
        </w:rPr>
        <w:t>2023年度。</w:t>
      </w:r>
    </w:p>
    <w:p>
      <w:pPr>
        <w:pStyle w:val="9"/>
        <w:snapToGrid w:val="0"/>
        <w:spacing w:line="520" w:lineRule="exact"/>
        <w:ind w:firstLine="643"/>
        <w:outlineLvl w:val="1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15" w:name="_Toc3072"/>
      <w:bookmarkStart w:id="16" w:name="_Toc12690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(四)项目效益情况</w:t>
      </w:r>
      <w:bookmarkEnd w:id="15"/>
      <w:bookmarkEnd w:id="16"/>
    </w:p>
    <w:p>
      <w:pPr>
        <w:snapToGrid w:val="0"/>
        <w:spacing w:line="52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bookmarkStart w:id="17" w:name="_Toc390096931"/>
      <w:bookmarkStart w:id="18" w:name="_Toc390267055"/>
      <w:bookmarkStart w:id="19" w:name="_Toc12414"/>
      <w:bookmarkStart w:id="20" w:name="_Toc2424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五、项目主要经验、存在的问题</w:t>
      </w:r>
      <w:bookmarkEnd w:id="17"/>
      <w:bookmarkEnd w:id="18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及建议</w:t>
      </w:r>
      <w:bookmarkEnd w:id="19"/>
      <w:bookmarkEnd w:id="20"/>
    </w:p>
    <w:p>
      <w:pPr>
        <w:snapToGrid w:val="0"/>
        <w:spacing w:line="520" w:lineRule="exact"/>
        <w:ind w:firstLine="642" w:firstLineChars="200"/>
        <w:outlineLvl w:val="1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21" w:name="_Toc23434"/>
      <w:bookmarkStart w:id="22" w:name="_Toc5316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（一）项目主要经验</w:t>
      </w:r>
      <w:bookmarkEnd w:id="21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及做法</w:t>
      </w:r>
      <w:bookmarkEnd w:id="22"/>
    </w:p>
    <w:p>
      <w:pPr>
        <w:spacing w:line="580" w:lineRule="exact"/>
        <w:ind w:firstLine="640" w:firstLineChars="200"/>
        <w:outlineLvl w:val="1"/>
        <w:rPr>
          <w:rFonts w:ascii="仿宋" w:hAnsi="仿宋" w:eastAsia="仿宋" w:cs="华文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华文仿宋"/>
          <w:color w:val="000000" w:themeColor="text1"/>
          <w:sz w:val="32"/>
          <w:szCs w:val="32"/>
        </w:rPr>
        <w:t>1.合理有据编制预算。要按照上级文件精神，弄清楚经费使用标准，尽可能精细化、精准化编制预算，确保每一笔资金使用有来源、有去处、有意义、有成效。</w:t>
      </w:r>
    </w:p>
    <w:p>
      <w:pPr>
        <w:snapToGrid w:val="0"/>
        <w:spacing w:line="520" w:lineRule="exact"/>
        <w:ind w:firstLine="642" w:firstLineChars="200"/>
        <w:outlineLvl w:val="1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23" w:name="_Toc2597"/>
      <w:bookmarkStart w:id="24" w:name="_Toc6772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（二）存在的问题</w:t>
      </w:r>
      <w:bookmarkEnd w:id="23"/>
      <w:bookmarkEnd w:id="24"/>
    </w:p>
    <w:p>
      <w:pPr>
        <w:pStyle w:val="20"/>
        <w:ind w:firstLine="640"/>
        <w:rPr>
          <w:rFonts w:ascii="仿宋" w:hAnsi="仿宋" w:eastAsia="仿宋" w:cs="华文仿宋"/>
          <w:snapToGrid/>
          <w:color w:val="000000" w:themeColor="text1"/>
          <w:kern w:val="2"/>
          <w:sz w:val="32"/>
          <w:szCs w:val="32"/>
        </w:rPr>
      </w:pPr>
      <w:r>
        <w:rPr>
          <w:rFonts w:hint="eastAsia" w:ascii="仿宋" w:hAnsi="仿宋" w:eastAsia="仿宋" w:cs="华文仿宋"/>
          <w:snapToGrid/>
          <w:color w:val="000000" w:themeColor="text1"/>
          <w:kern w:val="2"/>
          <w:sz w:val="32"/>
          <w:szCs w:val="32"/>
        </w:rPr>
        <w:t>无</w:t>
      </w:r>
    </w:p>
    <w:p>
      <w:pPr>
        <w:numPr>
          <w:ilvl w:val="0"/>
          <w:numId w:val="5"/>
        </w:numPr>
        <w:snapToGrid w:val="0"/>
        <w:spacing w:line="520" w:lineRule="exact"/>
        <w:ind w:firstLine="642" w:firstLineChars="200"/>
        <w:outlineLvl w:val="1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25" w:name="_Toc16271"/>
      <w:bookmarkStart w:id="26" w:name="_Toc29278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  <w:t>有关建议</w:t>
      </w:r>
      <w:bookmarkEnd w:id="25"/>
      <w:bookmarkEnd w:id="26"/>
    </w:p>
    <w:p>
      <w:pPr>
        <w:spacing w:line="580" w:lineRule="exact"/>
        <w:ind w:firstLine="640" w:firstLineChars="200"/>
        <w:outlineLvl w:val="1"/>
        <w:rPr>
          <w:rFonts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无</w:t>
      </w:r>
    </w:p>
    <w:p>
      <w:pPr>
        <w:pStyle w:val="8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华文仿宋"/>
          <w:color w:val="000000" w:themeColor="text1"/>
          <w:kern w:val="2"/>
          <w:sz w:val="32"/>
          <w:szCs w:val="32"/>
        </w:rPr>
      </w:pPr>
      <w:r>
        <w:rPr>
          <w:rFonts w:ascii="仿宋" w:hAnsi="仿宋" w:eastAsia="仿宋" w:cs="华文仿宋"/>
          <w:color w:val="000000" w:themeColor="text1"/>
          <w:kern w:val="2"/>
          <w:sz w:val="32"/>
          <w:szCs w:val="32"/>
        </w:rPr>
        <w:t>报告应包括以下附件：</w:t>
      </w:r>
    </w:p>
    <w:p>
      <w:pPr>
        <w:pStyle w:val="8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华文仿宋"/>
          <w:color w:val="000000" w:themeColor="text1"/>
          <w:kern w:val="2"/>
          <w:sz w:val="32"/>
          <w:szCs w:val="32"/>
        </w:rPr>
      </w:pPr>
      <w:r>
        <w:rPr>
          <w:rFonts w:ascii="仿宋" w:hAnsi="仿宋" w:eastAsia="仿宋" w:cs="华文仿宋"/>
          <w:color w:val="000000" w:themeColor="text1"/>
          <w:kern w:val="2"/>
          <w:sz w:val="32"/>
          <w:szCs w:val="32"/>
        </w:rPr>
        <w:t>项目支出绩效自评表（一个项目支出一张表）</w:t>
      </w:r>
    </w:p>
    <w:p>
      <w:pPr>
        <w:pStyle w:val="8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cs="仿宋_GB2312"/>
          <w:color w:val="000000"/>
          <w:shd w:val="clear" w:color="auto" w:fill="FFFFFF"/>
        </w:rPr>
      </w:pPr>
    </w:p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2023年度项目支出绩效自评表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101.53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101.53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101.53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101.53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101.53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101.53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防止疫情扩散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·效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办公大楼消杀次数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3次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4次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宣传防疫次数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≥10次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疫情期间单位人员安排率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疫情期间单位人员用餐、住宿保障率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2022年12月31日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2022年12月31日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指标不超出预算安排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75.38万元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75.38万元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优化资源，提高财政资金使用效益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为疫情期间人民群众提供安全保障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持续保障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持续保障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提高环境保护资金使用效益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持续提高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节约财政资金，提升服务质量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社会公众或服务对象满意度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赵君璧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2024年7月25日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11"/>
        <w:gridCol w:w="1305"/>
        <w:gridCol w:w="1122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邵阳市污水处理厂污泥集中处置中心拆迁安置用地勘察费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305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26.11</w:t>
            </w:r>
          </w:p>
        </w:tc>
        <w:tc>
          <w:tcPr>
            <w:tcW w:w="1122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26.11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305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26.11</w:t>
            </w:r>
          </w:p>
        </w:tc>
        <w:tc>
          <w:tcPr>
            <w:tcW w:w="1122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26.11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年内完成用地勘察并移交相关资料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≤27万元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≤27万元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落实绿色勘察要求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严格实施绿色勘察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严格实施绿色勘察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赵君璧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2024年7月25日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北塔路边坡临时修复工程设计费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园林绿化（污水处理厂工程款）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46.18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46.18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46.18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46.18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46.18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46.18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污水管道管道改善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≥100m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≥100m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资枣路安置地附属工程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63.87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63.87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63.87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63.87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63.87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63.87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江北大市场循环交通监控建设项目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≤2万元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落实绿色勘察要求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严格实施绿色勘察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严格实施绿色勘察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吉首金厦（1标）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立面改造面积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北塔区屈原路、青云路、匡家安置区配套排水管网建设项目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9万元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9万元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北塔区万岁庙路、新岁路配套排水管网建设项目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魏源路-北塔路交叉口渠化工程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≤8万元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≤8万元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南山路-西湖北路T行交叉口临时交通组织渠化工程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≤8万元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≤8万元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城镇老旧小区第三片区（丝绸厂、市毛纺厂）老旧小区配套基础设施建设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49.86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49.86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49.86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49.86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49.86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49.86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新兴花苑老旧小区改造配套基础设施建设项目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≤7万元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≤7万元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218"/>
        <w:gridCol w:w="74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2023年城镇老旧小区第五片区（新兴花苑、柘木小区）改造配套基础设施建设项目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402.62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402.62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402.62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402.62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402.62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402.62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≤410万元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≤410万元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1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203"/>
        <w:gridCol w:w="759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2023年城镇老旧小区第四片区（谊和苑、环卫局家属楼、农科社区家属楼）改造配套基础设施建设项目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273.26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273.26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273.26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273.26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273.26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273.26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≤280万元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≤280万元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88"/>
        <w:gridCol w:w="77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2023年城镇老旧小区第一片区改造配套基础设施建设项目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517.37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517.37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517.37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517.37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517.37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517.37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6个月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6个月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≤520万元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≤520万元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2023年城镇老旧小区改造丰江小区改造项目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31.19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31.19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31.19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31.19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31.19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31.19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≤32万元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≤32万元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88"/>
        <w:gridCol w:w="77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2023年城镇老旧小区第三片区（资枣小区、北江豪庭）改造配套基础设施建设项目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307.19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307.19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307.19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307.19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307.19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307.19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6个月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6个月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≤310万元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≤310万元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203"/>
        <w:gridCol w:w="759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2023年城镇老旧小区第二片区（状元菜市场小区、状元府邸、丰江小区）改造配套基础设施建设项目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322.08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322.08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322.08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322.08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322.08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322.08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≤350万元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≤350万元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住建局付2023年城镇老旧小区（湘窖酒业小区）改造配套基础设施建设项目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4.67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4.67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4.67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4.67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4.67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4.67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资江北路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6.52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6.52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6.52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6.52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6.52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6.52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≤7万元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≤7万元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城镇老旧小区第六片区（江北大市场二期）老旧小区改造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45.65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45.65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45.65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45.65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45.65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45.65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北塔区园艺场老旧小区配套基础设施建设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26.09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26.09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26.09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26.09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26.09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26.09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城镇老旧小区第七片区（江北商贸城）老旧小区配套基础设施建设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≤18万元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≤18万元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城镇老旧小区第五片区（灯饰城、农商银行家属区、新华书店家属区）老旧小区配套基础设施建设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城镇老旧小区第一片区（粮食局家属区、江北步行街、工商银行家属区）老旧小区配套基础设施建设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24.99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24.99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24.99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24.99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24.99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24.99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城镇老旧小区第四片区（江北干杂城小区）老旧小区配套基础设施建设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城镇老旧小区第二片区（邵阳女子职业学校家属区、国家电网江北家属区）老旧小区配套基础设施建设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55.93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55.93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55.93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55.93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55.93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55.93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城镇老旧小区第八片区（市煤炭局家属区、国税局家属区）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28.01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28.01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28.01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28.01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28.01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28.01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市园艺场老旧小区改造配套基础设施建设项目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22.35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22.35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22.35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22.35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资新小区老旧小区改造配套基础设施建设项目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32.84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32.84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32.84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32.84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32.84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32.84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观音庵小区老旧小区改造配套基础设施建设项目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12.21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12.21</w:t>
            </w:r>
          </w:p>
        </w:tc>
        <w:tc>
          <w:tcPr>
            <w:tcW w:w="1134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12.21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12.21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12.21</w:t>
            </w:r>
          </w:p>
        </w:tc>
        <w:tc>
          <w:tcPr>
            <w:tcW w:w="1134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12.21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≤13万元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≤13万元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</w:p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88"/>
        <w:gridCol w:w="77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EPC（渔苗厂、迴水湾、老内衣厂）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260.77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260.77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260.77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260.77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260.77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260.77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≤270万元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≤270万元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棉纺厂老旧小区提质改造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39.23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39.23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39.23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39.23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39.23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39.23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原种场保障性租赁住房建设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北塔区园艺场保障性租赁住房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雪源路杆线迁移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43.63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43.63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43.63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43.63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43.63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43.63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迁电杆数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≥15根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≥15根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城市C、D级危房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35.70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35.70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35.70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35.70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补偿户数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≥30户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≥30户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城中村改造综合整治规划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老钢材市场片区改造项目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211"/>
        <w:gridCol w:w="751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资州片区防洪排涝工程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149.20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149.20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149.20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149.20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149.20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149.20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年内完成工程量的30%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排水管道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≥1000m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≥1000m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≤150万元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≤150万元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9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宝庆夜市特色路灯安装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路灯安装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≥30个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≥30个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西湖桥安置小区老旧小区改造配套基础设施建设项目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44.52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44.52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44.52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44.52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44.52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44.52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..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西湖桥两侧立面改造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58.75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58.75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58.75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58.75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58.75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58.75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立面改造面积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96"/>
        <w:gridCol w:w="766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北塔区龙源路排水工程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103.46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103.46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103.46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103.46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103.46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103.46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管道更换长度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≥1000m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≥1000m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≤110万元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≤110万元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4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枫江溪北岸截污干管建设工程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9.70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9.70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9.70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9.70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211"/>
        <w:gridCol w:w="751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2023年3月至2024年2月市政设施维修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206.0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206.0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206.00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206.0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206.0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206.00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井盖更换数量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≥50个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≥50个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≤12个月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≤12个月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≤220万元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≤220万元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9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211"/>
        <w:gridCol w:w="751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北塔区2022年市政设施维修建设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422.50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422.50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422.50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422.50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422.50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422.50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井盖更换数量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≥50个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≥50个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≤12个月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≤12个月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≤450万元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≤450万元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9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96"/>
        <w:gridCol w:w="766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北塔区建成区2020年7月至2021年12月市政设施维修建设工程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470.00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470.00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470.00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470.00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470.00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470.00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井盖更换数量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≥50个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≥50个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≤12个月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≤12个月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≤500万元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≤500万元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4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资兴路建设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198.26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198.26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198.26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198.26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198.26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198.26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陈家桥统筹规划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北塔区一期民用建筑能源资源消耗统计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年内完成项目设统计并移交相关资料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≤7万元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≤7万元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北塔区二期民用建筑能源资源消耗统计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年内完成项目统计并移交相关资料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≤9万元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≤9万元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城镇老旧小区第九片区（原地税局小区、江北批发市场小区、滨江嘉园）老旧小区配套基础设施建设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5.74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5.74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5.74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5.74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5.74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5.74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 6万元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 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北塔路（魏源路-崀山路）西侧人行道改造设计费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江北污水处理厂沿线紧急维修工程劳务费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64.22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64.22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64.22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64.22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64.22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64.22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维修长度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≤70万元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≤70万元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南山路-西湖北路交叉口临时顺接设计费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≤28万元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≤28万元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中山路（屈原路-西湖路）提质改造咨询服务费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9.90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9.90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9.90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9.90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9.90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9.90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项目实施的实际工作量与可研工作量的比率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落实绿色可研要求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严格实施绿色可研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严格实施绿色可研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长江经济带生态环境整改咨询服务费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年内完成项目可研并移交相关资料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项目实施的实际工作量与可研工作量的比率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≤8万元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≤8万元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落实绿色可研要求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严格实施绿色可研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严格实施绿色可研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中山大桥及配套道路、雪峰片区、广厦文创园项目设计费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邵阳生态产业示范园规划咨询服务费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年内完成项目可研并移交相关资料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项目实施的实际工作量与可研工作量的比率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落实绿色可研要求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严格实施绿色可研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严格实施绿色可研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2021年度联通公司整理通信线路施工费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年内完工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线路规整长度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≥1000m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≥1000m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≤30万元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北塔公园周边景观改造设计费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14.40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14.40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14.40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14.40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14.40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14.40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年内完成项目设计并移交相关资料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≤15万元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≤15万元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落实绿色设计要求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严格实施绿色设计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江北农场保障性租赁住房建设咨询费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1.50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1.50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1.50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1.50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年内完成项目可研并移交相关资料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项目实施的实际工作量与可研工作量的比率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项目成果具有推动地方经济发展的价值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价值较大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落实绿色可研要求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严格实施绿色可研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严格实施绿色可研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是否具有进一步工作价值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具有进一步工作价值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项目所在地基层部门和当地群众对项目的满意程度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96"/>
        <w:gridCol w:w="766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北塔区老旧小区改造工程（长沙建设发展公司）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完成工程量50%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≤200万元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≤200万元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4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既有住宅电梯增设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13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民生实事项目：老旧小区2023年加装电梯9台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完成老旧小区加装电梯9台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老旧小区电梯加装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9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9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电梯检测质量合格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2023.12. 30日前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2023.12. 30日前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每台控制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30万内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270万元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250万元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财政奖励基础设施投资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逐步提高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提升居民生活品质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装配式组件节能减排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5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5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使用环保材料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10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张雯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农村贫困户危房改造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7.17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7.17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7.17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7.17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7.17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7.17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民生实事项目：农村危房改造10户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完成农村危房改造10户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农村危房改造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评定质量合格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2023.11. 30日前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2023.11. 30日前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每户控制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5万内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财政支持乡村振兴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逐步提高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困难群众安居保障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装配式组件节能减排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使用环保材料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徐小韵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危房改造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22.4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22.4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民生实事项目：农村危房改造10户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完成农村危房改造10户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农村危房改造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评定质量合格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2023.11. 30日前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2023.11. 30日前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每户控制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5万内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财政支持乡村振兴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逐步提高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困难群众安居保障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装配式组件节能减排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使用环保材料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徐小韵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居民自建房安全专项整治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8.85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8.85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8.85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8.85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8.85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8.85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完成426栋经营性自建房整治工作，并对经营房屋悬挂安全明白卡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完成426栋经营性自建房整治工作，对经营房屋悬挂安全明白卡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经营房屋整治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426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评定质量合格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2023.6. 30日前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2023.6. 30日前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每户控制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0.1万内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42.6万元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财政支持经济发展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逐步提高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确保群众经营安全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施工节能减排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使用环保材料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徐小韵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85.91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85.91</w:t>
            </w:r>
          </w:p>
        </w:tc>
        <w:tc>
          <w:tcPr>
            <w:tcW w:w="1134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85.91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85.91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85.91</w:t>
            </w:r>
          </w:p>
        </w:tc>
        <w:tc>
          <w:tcPr>
            <w:tcW w:w="1134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85.91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完成844栋非经营性自建房整治工作，拆除隐患房屋150栋以上，对未拆隐患房屋进行管控围挡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完成844栋非经营性自建房整治工作，拆除隐患房屋182栋以上，对未拆隐患房屋进行管控围挡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隐患房屋整治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844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评定质量合格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2023.6. 30日前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2023.6. 30日前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每户控制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0.15万内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126.6万元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85.91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财政支持乡村振兴建设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逐步提高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确保群众安居保障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施工节能减排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使用环保材料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居民满意度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 xml:space="preserve">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徐小韵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陈桥乡污水管道勘察工程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5.00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5.00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5.00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污水管道勘察完成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测量范围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12km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12km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测量控制点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≥3次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3次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测量质量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widowControl/>
              <w:tabs>
                <w:tab w:val="center" w:pos="496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测量完成时限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2023年12月31日完成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按期完成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项目总成本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不超5万元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5万元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节约财政支出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持续节约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持续节约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人居环境改善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持续优化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持续优化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改善城市环境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改善环境，提升效益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持续提高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left" w:pos="480"/>
              </w:tabs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社会公众或服务对象满意度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满意度≥95%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98%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创文创卫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12.63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12.63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12.63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12.63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12.63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12.63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年内完成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清扫次数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≥5次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widowControl/>
              <w:tabs>
                <w:tab w:val="center" w:pos="496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测量完成时限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2023年12月30日完成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按期完成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指标不超出预算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≤12.63万元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12.63万元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优化资源，提高财政资金使用效益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加强文化建设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持续加强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持续加强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改善社会环境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改善环境，提升效益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持续提高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left" w:pos="480"/>
              </w:tabs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社会公众或服务对象满意度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ind w:firstLine="1760" w:firstLineChars="400"/>
        <w:jc w:val="both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56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资源路（啤酒厂-雪源路）道路工程测量测绘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2.80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2.80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2.80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1000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2.80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2.80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2.80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年内完成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测绘范围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测量质量合格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widowControl/>
              <w:tabs>
                <w:tab w:val="center" w:pos="496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测量完成时限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10日内完成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按期完成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指标不超出预算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≤2.8万元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2.8万元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优化资源，提高财政资金使用效益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为人民群众提高安全保障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持续保障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持续保障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提高环境保护资金使用效益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持续提高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节约财政资金，提升服务质量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left" w:pos="480"/>
              </w:tabs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社会公众或服务对象满意度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98%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/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ind w:firstLine="223"/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资源路（啤酒厂-崀山路）道路工程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35.29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35.29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35.29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35.29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年内完成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道路改善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≥1000㎡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评分等级优秀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优秀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≤36万元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≤36万元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资州路300米路基、路面、人行道、灯化、绿化工程磨石溪改道工程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资州路300米土石方、下水道、路基、灯化工程已完成，磨石溪改道工程除部分土方回填外，其余已完成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项目实施的实际工作量与施工合同工作量的比率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≥40%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≥50%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项目工作和成果质量评分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评分等级优秀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项目评审验收、资料归档是否按归档时间执行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按时评审验收、资料按时归档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指标不超过预算安排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≤400万元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≤400万元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可进一步工作的经济价值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经济效益好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44"/>
          <w:shd w:val="clear" w:color="auto" w:fill="FFFFFF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资源路杆线迁移工程款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63.59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63.59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63.59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63.59</w:t>
            </w:r>
          </w:p>
        </w:tc>
        <w:tc>
          <w:tcPr>
            <w:tcW w:w="1209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63.59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63.59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年内完成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项目实施的实际工作量与设计批复工作量的比率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≤6个月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tabs>
                <w:tab w:val="center" w:pos="366"/>
                <w:tab w:val="left" w:pos="561"/>
              </w:tabs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控制成本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≤64万元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≤64万元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带动行业发展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促进产业结构调整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持续促进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对居民经济影响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增加居民收入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持续增加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改善生活环境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改善居民群众的生产、生活条件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持续改善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推动社会发展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提升可持续发展能力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持续提升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公众社会满意度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 New Roman Regular">
    <w:altName w:val="DejaVu Sans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9895C"/>
    <w:multiLevelType w:val="singleLevel"/>
    <w:tmpl w:val="9429895C"/>
    <w:lvl w:ilvl="0" w:tentative="0">
      <w:start w:val="2"/>
      <w:numFmt w:val="chineseCounting"/>
      <w:suff w:val="nothing"/>
      <w:lvlText w:val="（%1）"/>
      <w:lvlJc w:val="left"/>
      <w:pPr>
        <w:ind w:left="-220"/>
      </w:pPr>
      <w:rPr>
        <w:rFonts w:hint="eastAsia"/>
      </w:rPr>
    </w:lvl>
  </w:abstractNum>
  <w:abstractNum w:abstractNumId="1">
    <w:nsid w:val="BD14B45A"/>
    <w:multiLevelType w:val="singleLevel"/>
    <w:tmpl w:val="BD14B45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8FA68F1"/>
    <w:multiLevelType w:val="singleLevel"/>
    <w:tmpl w:val="D8FA68F1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E0A35C5F"/>
    <w:multiLevelType w:val="singleLevel"/>
    <w:tmpl w:val="E0A35C5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A42BD04"/>
    <w:multiLevelType w:val="singleLevel"/>
    <w:tmpl w:val="4A42BD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5BE9E6E"/>
    <w:multiLevelType w:val="singleLevel"/>
    <w:tmpl w:val="75BE9E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ODU2NjNjNjUzYmY2YWFjZTFlMWI3MGRkOGY5YjMifQ=="/>
  </w:docVars>
  <w:rsids>
    <w:rsidRoot w:val="00A47B91"/>
    <w:rsid w:val="00016686"/>
    <w:rsid w:val="00051252"/>
    <w:rsid w:val="00076CE6"/>
    <w:rsid w:val="00077F75"/>
    <w:rsid w:val="000A0B18"/>
    <w:rsid w:val="0014738F"/>
    <w:rsid w:val="001543F1"/>
    <w:rsid w:val="00170D9E"/>
    <w:rsid w:val="001827A4"/>
    <w:rsid w:val="00235B61"/>
    <w:rsid w:val="0024098F"/>
    <w:rsid w:val="002E1094"/>
    <w:rsid w:val="003075CA"/>
    <w:rsid w:val="00326B16"/>
    <w:rsid w:val="00343594"/>
    <w:rsid w:val="003E1E0F"/>
    <w:rsid w:val="004276FE"/>
    <w:rsid w:val="00450EA2"/>
    <w:rsid w:val="0045369C"/>
    <w:rsid w:val="00551765"/>
    <w:rsid w:val="005B6C25"/>
    <w:rsid w:val="005C19B1"/>
    <w:rsid w:val="005F6BBF"/>
    <w:rsid w:val="00632CDC"/>
    <w:rsid w:val="00642F4F"/>
    <w:rsid w:val="00643F6D"/>
    <w:rsid w:val="006600A7"/>
    <w:rsid w:val="0066224B"/>
    <w:rsid w:val="006D6091"/>
    <w:rsid w:val="0070692A"/>
    <w:rsid w:val="00712D7C"/>
    <w:rsid w:val="008300B3"/>
    <w:rsid w:val="008701FF"/>
    <w:rsid w:val="0087323D"/>
    <w:rsid w:val="008C754E"/>
    <w:rsid w:val="00926495"/>
    <w:rsid w:val="009D7AC0"/>
    <w:rsid w:val="00A11729"/>
    <w:rsid w:val="00A47B91"/>
    <w:rsid w:val="00A70FE9"/>
    <w:rsid w:val="00AD357B"/>
    <w:rsid w:val="00B0026E"/>
    <w:rsid w:val="00B5517C"/>
    <w:rsid w:val="00B81CC4"/>
    <w:rsid w:val="00BC3B79"/>
    <w:rsid w:val="00C116EB"/>
    <w:rsid w:val="00C15672"/>
    <w:rsid w:val="00C56C29"/>
    <w:rsid w:val="00C65058"/>
    <w:rsid w:val="00D00569"/>
    <w:rsid w:val="00D06844"/>
    <w:rsid w:val="00D439B2"/>
    <w:rsid w:val="00DA6ACC"/>
    <w:rsid w:val="00DB060F"/>
    <w:rsid w:val="00DD4266"/>
    <w:rsid w:val="00DF184C"/>
    <w:rsid w:val="00E05F86"/>
    <w:rsid w:val="00E1627D"/>
    <w:rsid w:val="00E81625"/>
    <w:rsid w:val="00F76AFA"/>
    <w:rsid w:val="0AB94565"/>
    <w:rsid w:val="14790065"/>
    <w:rsid w:val="3BFB0407"/>
    <w:rsid w:val="44B40F02"/>
    <w:rsid w:val="7F07086F"/>
    <w:rsid w:val="F7BCF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0"/>
    <w:pPr>
      <w:keepNext/>
      <w:keepLines/>
      <w:spacing w:beforeLines="0"/>
      <w:ind w:firstLine="482"/>
      <w:outlineLvl w:val="0"/>
    </w:pPr>
    <w:rPr>
      <w:rFonts w:eastAsia="黑体"/>
      <w:b/>
      <w:kern w:val="44"/>
      <w:sz w:val="3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16"/>
    <w:qFormat/>
    <w:uiPriority w:val="0"/>
    <w:pPr>
      <w:adjustRightInd w:val="0"/>
      <w:snapToGrid w:val="0"/>
      <w:spacing w:beforeLines="50" w:after="0" w:line="360" w:lineRule="auto"/>
      <w:ind w:left="120" w:firstLine="200" w:firstLineChars="200"/>
    </w:pPr>
    <w:rPr>
      <w:rFonts w:ascii="Times New Roman" w:hAnsi="Times New Roman" w:eastAsia="仿宋" w:cs="仿宋"/>
      <w:sz w:val="24"/>
      <w:lang w:val="zh-CN" w:bidi="zh-CN"/>
    </w:rPr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ody Text Indent"/>
    <w:basedOn w:val="1"/>
    <w:link w:val="18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link w:val="19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11"/>
    <w:link w:val="2"/>
    <w:qFormat/>
    <w:uiPriority w:val="0"/>
    <w:rPr>
      <w:rFonts w:ascii="Times New Roman" w:hAnsi="Times New Roman" w:eastAsia="黑体" w:cs="仿宋"/>
      <w:b/>
      <w:kern w:val="44"/>
      <w:sz w:val="32"/>
      <w:szCs w:val="22"/>
      <w:lang w:val="zh-CN" w:bidi="zh-CN"/>
    </w:rPr>
  </w:style>
  <w:style w:type="character" w:customStyle="1" w:styleId="15">
    <w:name w:val="正文文本 Char"/>
    <w:basedOn w:val="11"/>
    <w:link w:val="4"/>
    <w:uiPriority w:val="0"/>
    <w:rPr>
      <w:kern w:val="2"/>
      <w:sz w:val="21"/>
      <w:szCs w:val="24"/>
    </w:rPr>
  </w:style>
  <w:style w:type="character" w:customStyle="1" w:styleId="16">
    <w:name w:val="正文首行缩进 Char"/>
    <w:basedOn w:val="15"/>
    <w:link w:val="3"/>
    <w:qFormat/>
    <w:uiPriority w:val="0"/>
    <w:rPr>
      <w:rFonts w:ascii="Times New Roman" w:hAnsi="Times New Roman" w:eastAsia="仿宋" w:cs="仿宋"/>
      <w:sz w:val="24"/>
      <w:lang w:val="zh-CN" w:bidi="zh-CN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8">
    <w:name w:val="正文文本缩进 Char"/>
    <w:basedOn w:val="11"/>
    <w:link w:val="5"/>
    <w:qFormat/>
    <w:uiPriority w:val="0"/>
    <w:rPr>
      <w:kern w:val="2"/>
      <w:sz w:val="21"/>
      <w:szCs w:val="24"/>
    </w:rPr>
  </w:style>
  <w:style w:type="character" w:customStyle="1" w:styleId="19">
    <w:name w:val="正文首行缩进 2 Char"/>
    <w:basedOn w:val="18"/>
    <w:link w:val="9"/>
    <w:uiPriority w:val="0"/>
  </w:style>
  <w:style w:type="paragraph" w:customStyle="1" w:styleId="20">
    <w:name w:val="Body Text First Indent 21"/>
    <w:basedOn w:val="1"/>
    <w:qFormat/>
    <w:uiPriority w:val="0"/>
    <w:pPr>
      <w:adjustRightInd w:val="0"/>
      <w:snapToGrid w:val="0"/>
      <w:spacing w:line="660" w:lineRule="exact"/>
      <w:ind w:firstLine="420" w:firstLineChars="200"/>
    </w:pPr>
    <w:rPr>
      <w:rFonts w:ascii="仿宋_GB2312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134</Pages>
  <Words>43038</Words>
  <Characters>48733</Characters>
  <Lines>248</Lines>
  <Paragraphs>145</Paragraphs>
  <TotalTime>17</TotalTime>
  <ScaleCrop>false</ScaleCrop>
  <LinksUpToDate>false</LinksUpToDate>
  <CharactersWithSpaces>56338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2024-09-18T17:05:00Z</dcterms:created>
  <dc:creator>Administrator</dc:creator>
  <cp:lastModifiedBy>syjy521</cp:lastModifiedBy>
  <cp:lastPrinted>2024-08-20T08:28:00Z</cp:lastPrinted>
  <dcterms:modified xsi:type="dcterms:W3CDTF">2024-10-24T16:22:35Z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6E8294EB4D664310A2C8EBE77E2C38FA_13</vt:lpwstr>
  </property>
</Properties>
</file>