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本部门共有编制人数3人，实有人数3人，内设股室3个,分别为办公室，组织基层女工和宣传教育网络信息部，权益保障和财务资产部。</w:t>
      </w:r>
    </w:p>
    <w:p>
      <w:pPr>
        <w:numPr>
          <w:ilvl w:val="0"/>
          <w:numId w:val="1"/>
        </w:num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（一）依据工会法建立和健全全区各级工会组织。</w:t>
      </w:r>
      <w:r>
        <w:rPr>
          <w:rFonts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（二）维护职工合法权益和女职工的特殊利益。</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（三）宣传劳动法规，处理职工来信来访，参与劳动争议事件的仲裁、 调解，协调劳资矛盾。</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（四）对职工进行思想政治教育和文化科学技术教育，组织文化娱乐体 育活动。</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rPr>
        <w:t>（五）参与关于经济和社会发展计划及涉及职工利益的重大政策、措施 的制定，反映职工群众的意见和要求。</w:t>
      </w:r>
      <w:r>
        <w:rPr>
          <w:rFonts w:hint="default" w:ascii="等线" w:hAnsi="等线" w:eastAsia="等线" w:cs="Times New Roman"/>
          <w:color w:val="000000"/>
          <w:kern w:val="2"/>
          <w:sz w:val="32"/>
          <w:szCs w:val="32"/>
        </w:rPr>
        <w:t>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000000"/>
          <w:kern w:val="2"/>
          <w:sz w:val="32"/>
          <w:szCs w:val="32"/>
        </w:rPr>
        <w:t>（六）管理工会经费，保护工会财产。</w:t>
      </w:r>
      <w:r>
        <w:rPr>
          <w:rFonts w:hint="default" w:ascii="等线" w:hAnsi="等线" w:eastAsia="等线" w:cs="Times New Roman"/>
          <w:color w:val="000000"/>
          <w:kern w:val="2"/>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总工会财政预算拨款收入为149.2万元，其中年初预算数43.84万元，追加预算数105.36万元；上年结转和结余为7.25万元；2022年度实际支出149.2万元（基本支出149.2万元、项目支出0万元），其中一般公共服务支出140.42万元、社会保障和就业支出3.37万元、卫生健康支出2.41万元、住房保障支出3万元；年末结转和结余7.25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2022年度区总工会基本支出年初预算安排为33.58万元，本年实际支出为149.2万元，主要为人员经费支出和公用经费支出，其中人员经费支出38.39万元、公用经费支出110.81万元。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本年项目支出年初预算安排为3万元，本年实际支出为0万元， 本单位都是用于基本支出，没有项目支出。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149.2万元，预算安排数33.58万元，预算执行率为444%，当年预算有超支115.62万元；⑵公用经费预算0万元，实际支出110.81万元，公用经费控制率为0%；、（3）“三公经费”年初预算安排0万元，实际支出0.08万元，“三公经费”控制率为0%。（4）政府采购年初预算3万元，实际政府采购金额0万元，政府采购执行率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区总工会及时在区政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区总工会拥有各类资产总额99.01万元，其中流动资产96.27万元，固定资产净值2.74万元。单位为加强资产管理，内部制定了资产管理制度，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562" w:firstLineChars="200"/>
        <w:jc w:val="left"/>
        <w:rPr>
          <w:rFonts w:hint="eastAsia" w:ascii="宋体" w:hAnsi="宋体" w:eastAsia="宋体" w:cs="宋体"/>
          <w:b/>
          <w:bCs/>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shd w:val="clear" w:fill="FFFFFF"/>
          <w:lang w:val="en-US" w:eastAsia="zh-CN" w:bidi="ar-SA"/>
        </w:rPr>
        <w:t>（二）职责覆行和主要绩效情况</w:t>
      </w:r>
    </w:p>
    <w:p>
      <w:pPr>
        <w:pStyle w:val="4"/>
        <w:numPr>
          <w:ilvl w:val="0"/>
          <w:numId w:val="0"/>
        </w:numPr>
        <w:spacing w:line="338" w:lineRule="auto"/>
        <w:ind w:right="153" w:rightChars="0" w:firstLine="560" w:firstLineChars="200"/>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加强理论学习，强化党建引领。不断强化理论武装，坚持每月一次的中心组学习，压实领导班子学习责任，严格落实中心组理论学习制度，认真学习贯彻习近平总书记关于工人阶级和工会工作的重要论述，从思想上武装干部头脑，督促引领工会干部增强“四个意识”，坚定“四个自信”，坚决做到“两个维护”，提升工会干部讲政治的思想自觉和行动自觉。开展“主题党日”活动12次，坚持以常态化、制度化的学习有效提升党员干部政治理论素养，以理论筑牢初心，不断提高思想教育质量，常态化坚持好“三会一课”制度，以集中学习和实践学习相结合的方式，促进政治理论学习往实里走，往深处走。8月16日，开展第一书记上党课，在联点农科社区宣讲《习近平谈治国理政》第四卷，进一步增强党员干部政治判断力、政治领悟力、政治执行力，弘扬伟大</w:t>
      </w:r>
      <w:bookmarkStart w:id="0" w:name="_GoBack"/>
      <w:bookmarkEnd w:id="0"/>
      <w:r>
        <w:rPr>
          <w:rFonts w:hint="eastAsia" w:ascii="宋体" w:hAnsi="宋体" w:eastAsia="宋体" w:cs="宋体"/>
          <w:i w:val="0"/>
          <w:iCs w:val="0"/>
          <w:caps w:val="0"/>
          <w:color w:val="444444"/>
          <w:spacing w:val="0"/>
          <w:kern w:val="2"/>
          <w:sz w:val="28"/>
          <w:szCs w:val="28"/>
          <w:shd w:val="clear" w:fill="FFFFFF"/>
          <w:lang w:val="en-US" w:eastAsia="zh-CN" w:bidi="ar-SA"/>
        </w:rPr>
        <w:t>建党精神，牢记初心使命。8月25日，开展“新中国史”学习教育宣讲会，推动党史学习教育深入职工，深入基层，深入人心，引导干部职工深刻感悟中国共产党始终不渝为人民的初心宗旨。为学习宣传贯彻党的二十大精神，推动宪法全面贯彻实施，12月5日北塔区总工会开展学习党的二十大精神宣讲会；12月7日北塔区总工会在湘窖酒业开展学习党的二十大精神宣传活动；12月9日，北塔区总工会参加区委宣传部组织的关于开展党的二十大精神宣讲会。</w:t>
      </w:r>
    </w:p>
    <w:p>
      <w:pPr>
        <w:ind w:firstLine="642" w:firstLineChars="200"/>
        <w:jc w:val="both"/>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（二）持续开展工会服务活动。</w:t>
      </w:r>
    </w:p>
    <w:p>
      <w:pPr>
        <w:keepNext w:val="0"/>
        <w:keepLines w:val="0"/>
        <w:widowControl/>
        <w:suppressLineNumbers w:val="0"/>
        <w:ind w:firstLine="642" w:firstLineChars="200"/>
        <w:jc w:val="both"/>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仿宋" w:hAnsi="仿宋" w:eastAsia="仿宋"/>
          <w:b/>
          <w:bCs/>
          <w:sz w:val="32"/>
          <w:szCs w:val="32"/>
          <w:lang w:val="en-US" w:eastAsia="zh-CN"/>
        </w:rPr>
        <w:t>一是组织开展走访慰问活动。</w:t>
      </w:r>
      <w:r>
        <w:rPr>
          <w:rFonts w:hint="eastAsia" w:ascii="仿宋" w:hAnsi="仿宋" w:eastAsia="仿宋"/>
          <w:sz w:val="32"/>
          <w:szCs w:val="32"/>
          <w:lang w:val="en-US" w:eastAsia="zh-CN"/>
        </w:rPr>
        <w:t>“两</w:t>
      </w:r>
      <w:r>
        <w:rPr>
          <w:rFonts w:hint="eastAsia" w:ascii="宋体" w:hAnsi="宋体" w:eastAsia="宋体" w:cs="宋体"/>
          <w:i w:val="0"/>
          <w:iCs w:val="0"/>
          <w:caps w:val="0"/>
          <w:color w:val="444444"/>
          <w:spacing w:val="0"/>
          <w:kern w:val="2"/>
          <w:sz w:val="28"/>
          <w:szCs w:val="28"/>
          <w:shd w:val="clear" w:fill="FFFFFF"/>
          <w:lang w:val="en-US" w:eastAsia="zh-CN" w:bidi="ar-SA"/>
        </w:rPr>
        <w:t>节</w:t>
      </w:r>
      <w:r>
        <w:rPr>
          <w:rFonts w:hint="default" w:ascii="宋体" w:hAnsi="宋体" w:eastAsia="宋体" w:cs="宋体"/>
          <w:i w:val="0"/>
          <w:iCs w:val="0"/>
          <w:caps w:val="0"/>
          <w:color w:val="444444"/>
          <w:spacing w:val="0"/>
          <w:kern w:val="2"/>
          <w:sz w:val="28"/>
          <w:szCs w:val="28"/>
          <w:shd w:val="clear" w:fill="FFFFFF"/>
          <w:lang w:val="en-US" w:eastAsia="zh-CN" w:bidi="ar-SA"/>
        </w:rPr>
        <w:t>”</w:t>
      </w:r>
      <w:r>
        <w:rPr>
          <w:rFonts w:hint="eastAsia" w:ascii="宋体" w:hAnsi="宋体" w:eastAsia="宋体" w:cs="宋体"/>
          <w:i w:val="0"/>
          <w:iCs w:val="0"/>
          <w:caps w:val="0"/>
          <w:color w:val="444444"/>
          <w:spacing w:val="0"/>
          <w:kern w:val="2"/>
          <w:sz w:val="28"/>
          <w:szCs w:val="28"/>
          <w:shd w:val="clear" w:fill="FFFFFF"/>
          <w:lang w:val="en-US" w:eastAsia="zh-CN" w:bidi="ar-SA"/>
        </w:rPr>
        <w:t>期间走访慰问困难职工20人，发放慰问金2万元。开展“送温暖”慰问活动，慰问困难职工18人，发放中央财政专项帮扶资金2.3万元。开展“情暖童心 筑梦未来”六一儿童关爱活动，共慰问14名困境儿童，送去书包、文具等爱心礼物。3月30日开展“防疫有我 暖心盒饭”服务活动，为一线防疫工作人员送去爱心餐、矿泉水、牛奶等物资。8月19日--23日，开展2022年“夏送清凉”活动，为高温一线作业劳动者、乡村振兴驻村帮扶工作队员、户外劳动者、环卫工人送去防暑降温物品和饼干牛奶矿泉水等食品。开展2022年“金秋助学”活动，申报两名在档困难职工子女助学金共4000元。9月份开展“关爱农民工 情暖中秋节”政策宣传暨困难农民工慰问活动，为农民工送去油、王老吉等物资。开展“2022年疫情期间工会常态化送温暖”补助困难职工和新就业形态劳动者共40人，发放慰问资金4万元。7月28日按照《湖南省工会专项帮扶资金使用管理实施细则》要求，下拨省财政困难职工专项帮扶资金和省财政常态化送温暖资金共计3.14万元。</w:t>
      </w:r>
    </w:p>
    <w:p>
      <w:pPr>
        <w:keepNext w:val="0"/>
        <w:keepLines w:val="0"/>
        <w:widowControl/>
        <w:suppressLineNumbers w:val="0"/>
        <w:ind w:firstLine="642"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仿宋" w:hAnsi="仿宋" w:eastAsia="仿宋"/>
          <w:b/>
          <w:bCs/>
          <w:sz w:val="32"/>
          <w:szCs w:val="32"/>
          <w:lang w:val="en-US" w:eastAsia="zh-CN"/>
        </w:rPr>
        <w:t>二是开展乡村振兴工作。</w:t>
      </w:r>
      <w:r>
        <w:rPr>
          <w:rFonts w:hint="eastAsia" w:ascii="宋体" w:hAnsi="宋体" w:eastAsia="宋体" w:cs="宋体"/>
          <w:i w:val="0"/>
          <w:iCs w:val="0"/>
          <w:caps w:val="0"/>
          <w:color w:val="444444"/>
          <w:spacing w:val="0"/>
          <w:kern w:val="2"/>
          <w:sz w:val="28"/>
          <w:szCs w:val="28"/>
          <w:shd w:val="clear" w:fill="FFFFFF"/>
          <w:lang w:val="en-US" w:eastAsia="zh-CN" w:bidi="ar-SA"/>
        </w:rPr>
        <w:t>发放乡村振兴帮扶资金3万元，发放乡村振兴工作经费共2000元，并组织两节“送法下乡”活动，发放宣传读本1200余份，入户宣传30余家，为开创新时代乡村振兴新局面营造良好的法治氛围。开展“情暖人间与爱同行”慰问乡村企业困难职工活动，共慰问困难职工20余名，发放米、油、防疫物资等慰问品，大力推进扶贫帮困工作。</w:t>
      </w:r>
    </w:p>
    <w:p>
      <w:pPr>
        <w:keepNext w:val="0"/>
        <w:keepLines w:val="0"/>
        <w:widowControl/>
        <w:suppressLineNumbers w:val="0"/>
        <w:ind w:firstLine="642"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仿宋" w:hAnsi="仿宋" w:eastAsia="仿宋"/>
          <w:b/>
          <w:bCs/>
          <w:color w:val="auto"/>
          <w:sz w:val="32"/>
          <w:szCs w:val="32"/>
          <w:lang w:val="en-US" w:eastAsia="zh-CN"/>
        </w:rPr>
        <w:t>三是开展新就业形态劳动者送温暖服务。</w:t>
      </w:r>
      <w:r>
        <w:rPr>
          <w:rFonts w:hint="eastAsia" w:ascii="宋体" w:hAnsi="宋体" w:eastAsia="宋体" w:cs="宋体"/>
          <w:i w:val="0"/>
          <w:iCs w:val="0"/>
          <w:caps w:val="0"/>
          <w:color w:val="444444"/>
          <w:spacing w:val="0"/>
          <w:kern w:val="2"/>
          <w:sz w:val="28"/>
          <w:szCs w:val="28"/>
          <w:shd w:val="clear" w:fill="FFFFFF"/>
          <w:lang w:val="en-US" w:eastAsia="zh-CN" w:bidi="ar-SA"/>
        </w:rPr>
        <w:t>12月6日，区总工会在邵阳市北塔区政务服务中心开展了“新就业形态劳动者温暖服务季”活动暨户外劳动者服务站点集中揭牌仪式,来自城管、环卫工、外卖员、快递员、网约车司机、保安共计50人一线员工代表参加了仪式，此次活动开展送入会服务、送思想文化、送身心健康、送平安保障、送温暖关爱、送工作岗位、送技能提升、送法律服务等“八送”举措。</w:t>
      </w:r>
    </w:p>
    <w:p>
      <w:pPr>
        <w:spacing w:line="360" w:lineRule="auto"/>
        <w:ind w:firstLine="640"/>
        <w:jc w:val="both"/>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仿宋" w:hAnsi="仿宋" w:eastAsia="仿宋"/>
          <w:b/>
          <w:bCs/>
          <w:sz w:val="32"/>
          <w:szCs w:val="32"/>
          <w:lang w:val="en-US" w:eastAsia="zh-CN"/>
        </w:rPr>
        <w:t>四是开展艾滋病宣传活动。</w:t>
      </w:r>
      <w:r>
        <w:rPr>
          <w:rFonts w:hint="eastAsia" w:ascii="宋体" w:hAnsi="宋体" w:eastAsia="宋体" w:cs="宋体"/>
          <w:i w:val="0"/>
          <w:iCs w:val="0"/>
          <w:caps w:val="0"/>
          <w:color w:val="444444"/>
          <w:spacing w:val="0"/>
          <w:kern w:val="2"/>
          <w:sz w:val="28"/>
          <w:szCs w:val="28"/>
          <w:shd w:val="clear" w:fill="FFFFFF"/>
          <w:lang w:val="en-US" w:eastAsia="zh-CN" w:bidi="ar-SA"/>
        </w:rPr>
        <w:t>12月1日，总工会在西湖社区开展“共抗艾滋  共享健康--2022年第35个世界艾滋病日”主题宣传活动，现场发放宣传单600余份。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在编制部门年度预算时，虽然根据本单位职能职责和年度工作计划，但在20</w:t>
      </w:r>
      <w:r>
        <w:rPr>
          <w:rFonts w:hint="eastAsia" w:ascii="宋体" w:hAnsi="宋体" w:eastAsia="宋体" w:cs="宋体"/>
          <w:sz w:val="32"/>
          <w:szCs w:val="32"/>
          <w:lang w:val="en-US" w:eastAsia="zh-CN"/>
        </w:rPr>
        <w:t>22</w:t>
      </w:r>
      <w:r>
        <w:rPr>
          <w:rFonts w:hint="eastAsia" w:ascii="宋体" w:hAnsi="宋体" w:eastAsia="宋体" w:cs="宋体"/>
          <w:sz w:val="32"/>
          <w:szCs w:val="32"/>
        </w:rPr>
        <w:t>年部门预算执行过程中，仍然存在以下问题，年初预算编制不合理或部分经费计划比较紧张，往往需要在年度中间进行预算追加和调整。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加快推动内部控制建设，大力压减一般性支出，严格控制非刚性支出，切实发挥资金效益。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聚焦提升财务人员业务技能、财经纪律意识等方面，加强新《预算法》《新政府会计制度》等学习培训，进一步提升业务人员能力。</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89</w:t>
            </w:r>
          </w:p>
        </w:tc>
      </w:tr>
    </w:tbl>
    <w:p>
      <w:pPr>
        <w:spacing w:line="600" w:lineRule="exact"/>
        <w:rPr>
          <w:rFonts w:ascii="宋体" w:hAns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10"/>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微软雅黑">
    <w:altName w:val="Droid Sans Fallback"/>
    <w:panose1 w:val="020B0503020204020204"/>
    <w:charset w:val="86"/>
    <w:family w:val="auto"/>
    <w:pitch w:val="default"/>
    <w:sig w:usb0="00000000" w:usb1="00000000" w:usb2="00000016" w:usb3="00000000" w:csb0="0004001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
    <w:altName w:val="Droid Sans Fallback"/>
    <w:panose1 w:val="02010609060101010101"/>
    <w:charset w:val="86"/>
    <w:family w:val="auto"/>
    <w:pitch w:val="default"/>
    <w:sig w:usb0="00000000" w:usb1="00000000" w:usb2="00000016" w:usb3="00000000" w:csb0="00040001" w:csb1="00000000"/>
  </w:font>
  <w:font w:name="仿宋">
    <w:altName w:val="Droid Sans Fallbac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1E8D5"/>
    <w:multiLevelType w:val="singleLevel"/>
    <w:tmpl w:val="D991E8D5"/>
    <w:lvl w:ilvl="0" w:tentative="0">
      <w:start w:val="4"/>
      <w:numFmt w:val="chineseCounting"/>
      <w:suff w:val="nothing"/>
      <w:lvlText w:val="%1、"/>
      <w:lvlJc w:val="left"/>
      <w:rPr>
        <w:rFonts w:hint="eastAsia"/>
      </w:rPr>
    </w:lvl>
  </w:abstractNum>
  <w:abstractNum w:abstractNumId="1">
    <w:nsid w:val="647F0A91"/>
    <w:multiLevelType w:val="singleLevel"/>
    <w:tmpl w:val="647F0A9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9FE4BE"/>
    <w:rsid w:val="3FAB09ED"/>
    <w:rsid w:val="44AF5D78"/>
    <w:rsid w:val="45833892"/>
    <w:rsid w:val="45CB4E15"/>
    <w:rsid w:val="4659519D"/>
    <w:rsid w:val="4ACA7AAB"/>
    <w:rsid w:val="4B991F60"/>
    <w:rsid w:val="4D113C42"/>
    <w:rsid w:val="4E58558A"/>
    <w:rsid w:val="4F3501F1"/>
    <w:rsid w:val="52C04276"/>
    <w:rsid w:val="53202F66"/>
    <w:rsid w:val="55C776C9"/>
    <w:rsid w:val="575435C3"/>
    <w:rsid w:val="58CA4CA4"/>
    <w:rsid w:val="59A70B1E"/>
    <w:rsid w:val="59E60318"/>
    <w:rsid w:val="5CBC5F90"/>
    <w:rsid w:val="5D7DE140"/>
    <w:rsid w:val="5E6D1153"/>
    <w:rsid w:val="5F83500A"/>
    <w:rsid w:val="60745B56"/>
    <w:rsid w:val="641F097E"/>
    <w:rsid w:val="65236940"/>
    <w:rsid w:val="664A41B0"/>
    <w:rsid w:val="66D16D4F"/>
    <w:rsid w:val="66FE6113"/>
    <w:rsid w:val="6B874FA2"/>
    <w:rsid w:val="6FD52562"/>
    <w:rsid w:val="6FD5603A"/>
    <w:rsid w:val="70514092"/>
    <w:rsid w:val="70852420"/>
    <w:rsid w:val="73125FD0"/>
    <w:rsid w:val="76DC35F5"/>
    <w:rsid w:val="76F7CC97"/>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1"/>
    <w:rPr>
      <w:sz w:val="31"/>
      <w:szCs w:val="31"/>
    </w:rPr>
  </w:style>
  <w:style w:type="paragraph" w:styleId="5">
    <w:name w:val="Body Text Indent"/>
    <w:basedOn w:val="1"/>
    <w:semiHidden/>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semiHidden/>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2</TotalTime>
  <ScaleCrop>false</ScaleCrop>
  <LinksUpToDate>false</LinksUpToDate>
  <CharactersWithSpaces>2541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2022-06-29T01:10:00Z</dcterms:created>
  <dc:creator>Administrator</dc:creator>
  <cp:lastModifiedBy>syjy521</cp:lastModifiedBy>
  <dcterms:modified xsi:type="dcterms:W3CDTF">2024-10-24T17:02:50Z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617C586B5342468EA6D592A5CC46A7B7_13</vt:lpwstr>
  </property>
</Properties>
</file>