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方正小标宋_GBK" w:hAnsi="方正小标宋_GBK" w:eastAsia="方正小标宋_GBK" w:cs="方正小标宋_GBK"/>
          <w:i w:val="0"/>
          <w:iCs w:val="0"/>
          <w:caps w:val="0"/>
          <w:color w:val="000000"/>
          <w:spacing w:val="0"/>
          <w:sz w:val="40"/>
          <w:szCs w:val="40"/>
          <w:shd w:val="clear"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ascii="方正小标宋_GBK" w:hAnsi="方正小标宋_GBK" w:eastAsia="方正小标宋_GBK" w:cs="方正小标宋_GBK"/>
          <w:b/>
          <w:bCs/>
          <w:i w:val="0"/>
          <w:iCs w:val="0"/>
          <w:caps w:val="0"/>
          <w:color w:val="000000"/>
          <w:spacing w:val="0"/>
          <w:sz w:val="36"/>
          <w:szCs w:val="36"/>
        </w:rPr>
      </w:pPr>
      <w:r>
        <w:rPr>
          <w:rFonts w:hint="eastAsia" w:ascii="方正小标宋_GBK" w:hAnsi="方正小标宋_GBK" w:eastAsia="方正小标宋_GBK" w:cs="方正小标宋_GBK"/>
          <w:b/>
          <w:bCs/>
          <w:i w:val="0"/>
          <w:iCs w:val="0"/>
          <w:caps w:val="0"/>
          <w:color w:val="000000"/>
          <w:spacing w:val="0"/>
          <w:sz w:val="36"/>
          <w:szCs w:val="36"/>
          <w:shd w:val="clear" w:fill="FFFFFF"/>
          <w:lang w:eastAsia="zh-CN"/>
        </w:rPr>
        <w:t>北塔区</w:t>
      </w:r>
      <w:r>
        <w:rPr>
          <w:rFonts w:hint="eastAsia" w:ascii="方正小标宋_GBK" w:hAnsi="方正小标宋_GBK" w:eastAsia="方正小标宋_GBK" w:cs="方正小标宋_GBK"/>
          <w:b/>
          <w:bCs/>
          <w:i w:val="0"/>
          <w:iCs w:val="0"/>
          <w:caps w:val="0"/>
          <w:color w:val="000000"/>
          <w:spacing w:val="0"/>
          <w:sz w:val="36"/>
          <w:szCs w:val="36"/>
          <w:shd w:val="clear" w:fill="FFFFFF"/>
          <w:lang w:val="en-US" w:eastAsia="zh-CN"/>
        </w:rPr>
        <w:t>行政审批局2023年</w:t>
      </w:r>
      <w:r>
        <w:rPr>
          <w:rFonts w:hint="eastAsia" w:ascii="方正小标宋_GBK" w:hAnsi="方正小标宋_GBK" w:eastAsia="方正小标宋_GBK" w:cs="方正小标宋_GBK"/>
          <w:b/>
          <w:bCs/>
          <w:i w:val="0"/>
          <w:iCs w:val="0"/>
          <w:caps w:val="0"/>
          <w:color w:val="000000"/>
          <w:spacing w:val="0"/>
          <w:sz w:val="36"/>
          <w:szCs w:val="36"/>
          <w:shd w:val="clear" w:fill="FFFFFF"/>
        </w:rPr>
        <w:t>部门整体支出绩效自评报告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hint="eastAsia" w:ascii="宋体" w:hAnsi="宋体" w:eastAsia="宋体" w:cs="宋体"/>
          <w:i w:val="0"/>
          <w:iCs w:val="0"/>
          <w:caps w:val="0"/>
          <w:color w:val="000000"/>
          <w:spacing w:val="0"/>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宋体" w:hAnsi="宋体" w:eastAsia="宋体" w:cs="宋体"/>
          <w:b/>
          <w:bCs/>
          <w:i w:val="0"/>
          <w:iCs w:val="0"/>
          <w:caps w:val="0"/>
          <w:color w:val="000000"/>
          <w:spacing w:val="0"/>
          <w:sz w:val="28"/>
          <w:szCs w:val="28"/>
        </w:rPr>
      </w:pPr>
      <w:r>
        <w:rPr>
          <w:rFonts w:hint="eastAsia" w:ascii="宋体" w:hAnsi="宋体" w:eastAsia="宋体" w:cs="宋体"/>
          <w:b/>
          <w:bCs/>
          <w:i w:val="0"/>
          <w:iCs w:val="0"/>
          <w:caps w:val="0"/>
          <w:color w:val="000000"/>
          <w:spacing w:val="0"/>
          <w:sz w:val="32"/>
          <w:szCs w:val="32"/>
          <w:shd w:val="clear" w:fill="FFFFFF"/>
        </w:rPr>
        <w:t>一、</w:t>
      </w:r>
      <w:r>
        <w:rPr>
          <w:rFonts w:hint="eastAsia" w:ascii="宋体" w:hAnsi="宋体" w:eastAsia="宋体" w:cs="宋体"/>
          <w:b/>
          <w:bCs/>
          <w:i w:val="0"/>
          <w:iCs w:val="0"/>
          <w:caps w:val="0"/>
          <w:color w:val="000000"/>
          <w:spacing w:val="0"/>
          <w:sz w:val="28"/>
          <w:szCs w:val="28"/>
          <w:shd w:val="clear" w:fill="FFFFFF"/>
        </w:rPr>
        <w:t>部门、单位基本情况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宋体" w:hAnsi="宋体" w:eastAsia="宋体" w:cs="宋体"/>
          <w:b w:val="0"/>
          <w:bCs w:val="0"/>
          <w:i w:val="0"/>
          <w:iCs w:val="0"/>
          <w:caps w:val="0"/>
          <w:color w:val="000000"/>
          <w:spacing w:val="0"/>
          <w:sz w:val="36"/>
          <w:szCs w:val="36"/>
          <w:shd w:val="clear" w:fill="FFFFFF"/>
        </w:rPr>
      </w:pPr>
      <w:r>
        <w:rPr>
          <w:rFonts w:hint="eastAsia" w:ascii="宋体" w:hAnsi="宋体" w:eastAsia="宋体" w:cs="宋体"/>
          <w:b w:val="0"/>
          <w:bCs w:val="0"/>
          <w:i w:val="0"/>
          <w:iCs w:val="0"/>
          <w:caps w:val="0"/>
          <w:color w:val="000000"/>
          <w:spacing w:val="0"/>
          <w:sz w:val="36"/>
          <w:szCs w:val="36"/>
          <w:shd w:val="clear" w:fill="FFFFFF"/>
        </w:rPr>
        <w:t>（</w:t>
      </w:r>
      <w:r>
        <w:rPr>
          <w:rFonts w:hint="eastAsia" w:ascii="宋体" w:hAnsi="宋体" w:eastAsia="宋体" w:cs="宋体"/>
          <w:b w:val="0"/>
          <w:bCs w:val="0"/>
          <w:i w:val="0"/>
          <w:iCs w:val="0"/>
          <w:caps w:val="0"/>
          <w:color w:val="000000"/>
          <w:spacing w:val="0"/>
          <w:sz w:val="28"/>
          <w:szCs w:val="28"/>
          <w:shd w:val="clear" w:fill="FFFFFF"/>
        </w:rPr>
        <w:t>一）机构设置情况</w:t>
      </w:r>
    </w:p>
    <w:p>
      <w:pPr>
        <w:numPr>
          <w:ilvl w:val="0"/>
          <w:numId w:val="0"/>
        </w:numPr>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spacing w:val="9"/>
          <w:kern w:val="0"/>
          <w:sz w:val="21"/>
          <w:szCs w:val="21"/>
        </w:rPr>
        <w:t xml:space="preserve"> </w:t>
      </w:r>
      <w:r>
        <w:rPr>
          <w:rFonts w:hint="eastAsia" w:ascii="宋体" w:hAnsi="宋体" w:eastAsia="宋体" w:cs="宋体"/>
          <w:i w:val="0"/>
          <w:iCs w:val="0"/>
          <w:caps w:val="0"/>
          <w:color w:val="000000"/>
          <w:spacing w:val="0"/>
          <w:sz w:val="28"/>
          <w:szCs w:val="28"/>
          <w:shd w:val="clear" w:fill="FFFFFF"/>
        </w:rPr>
        <w:t>内设股室4个，分别是：办公室（加挂政工股牌子）、行政审批综合事务股（加挂政策法规股牌子）、电子政务股、行政效能股（加挂政府热线监管股牌子）。 </w:t>
      </w: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宋体" w:hAnsi="宋体" w:eastAsia="宋体" w:cs="宋体"/>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人员编制情况</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560" w:firstLineChars="200"/>
        <w:textAlignment w:val="auto"/>
        <w:rPr>
          <w:rFonts w:hint="eastAsia" w:ascii="宋体" w:hAnsi="宋体" w:eastAsia="宋体" w:cs="宋体"/>
          <w:i w:val="0"/>
          <w:iCs w:val="0"/>
          <w:caps w:val="0"/>
          <w:color w:val="000000"/>
          <w:spacing w:val="0"/>
          <w:sz w:val="28"/>
          <w:szCs w:val="28"/>
          <w:shd w:val="clear" w:fill="FFFFFF"/>
          <w:lang w:eastAsia="zh-CN"/>
        </w:rPr>
      </w:pPr>
      <w:r>
        <w:rPr>
          <w:rFonts w:hint="eastAsia" w:ascii="宋体" w:hAnsi="宋体" w:eastAsia="宋体" w:cs="宋体"/>
          <w:color w:val="000000"/>
          <w:kern w:val="2"/>
          <w:sz w:val="28"/>
          <w:szCs w:val="28"/>
        </w:rPr>
        <w:t>本部门共有编制人数</w:t>
      </w:r>
      <w:r>
        <w:rPr>
          <w:rFonts w:hint="eastAsia" w:ascii="宋体" w:hAnsi="宋体" w:eastAsia="宋体" w:cs="宋体"/>
          <w:color w:val="000000"/>
          <w:kern w:val="2"/>
          <w:sz w:val="28"/>
          <w:szCs w:val="28"/>
          <w:lang w:val="en-US" w:eastAsia="zh-CN"/>
        </w:rPr>
        <w:t>8</w:t>
      </w:r>
      <w:r>
        <w:rPr>
          <w:rFonts w:hint="eastAsia" w:ascii="宋体" w:hAnsi="宋体" w:eastAsia="宋体" w:cs="宋体"/>
          <w:color w:val="000000"/>
          <w:kern w:val="2"/>
          <w:sz w:val="28"/>
          <w:szCs w:val="28"/>
        </w:rPr>
        <w:t>人，实有人数</w:t>
      </w:r>
      <w:r>
        <w:rPr>
          <w:rFonts w:hint="eastAsia" w:ascii="宋体" w:hAnsi="宋体" w:eastAsia="宋体" w:cs="宋体"/>
          <w:color w:val="000000"/>
          <w:kern w:val="2"/>
          <w:sz w:val="28"/>
          <w:szCs w:val="28"/>
          <w:lang w:val="en-US" w:eastAsia="zh-CN"/>
        </w:rPr>
        <w:t>7</w:t>
      </w:r>
      <w:r>
        <w:rPr>
          <w:rFonts w:hint="eastAsia" w:ascii="宋体" w:hAnsi="宋体" w:eastAsia="宋体" w:cs="宋体"/>
          <w:color w:val="000000"/>
          <w:kern w:val="2"/>
          <w:sz w:val="28"/>
          <w:szCs w:val="28"/>
        </w:rPr>
        <w:t>人</w:t>
      </w:r>
      <w:r>
        <w:rPr>
          <w:rFonts w:hint="eastAsia" w:ascii="宋体" w:hAnsi="宋体" w:eastAsia="宋体" w:cs="宋体"/>
          <w:color w:val="000000"/>
          <w:kern w:val="2"/>
          <w:sz w:val="28"/>
          <w:szCs w:val="28"/>
          <w:lang w:eastAsia="zh-CN"/>
        </w:rPr>
        <w:t>。</w:t>
      </w: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eastAsia" w:ascii="宋体" w:hAnsi="宋体" w:eastAsia="宋体" w:cs="宋体"/>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主要职能职责</w:t>
      </w:r>
    </w:p>
    <w:p>
      <w:pPr>
        <w:keepNext w:val="0"/>
        <w:keepLines w:val="0"/>
        <w:widowControl/>
        <w:suppressLineNumbers w:val="0"/>
        <w:shd w:val="clear" w:fill="FFFFFF"/>
        <w:spacing w:before="0" w:beforeAutospacing="0" w:after="2" w:afterAutospacing="0" w:line="480" w:lineRule="atLeast"/>
        <w:ind w:left="0" w:right="0" w:firstLine="480"/>
        <w:jc w:val="both"/>
        <w:rPr>
          <w:rFonts w:ascii="等线" w:hAnsi="等线" w:eastAsia="等线" w:cs="等线"/>
          <w:i w:val="0"/>
          <w:iCs w:val="0"/>
          <w:caps w:val="0"/>
          <w:color w:val="1E1E1E"/>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1、贯彻执行中央、省、市有关政务中心建设、政府信息公开和行政许可、行政审批工作的方针、政策，研究拟定全区政务中心建设和政务公开工作规划，经批准后组织实施。 </w:t>
      </w:r>
    </w:p>
    <w:p>
      <w:pPr>
        <w:keepNext w:val="0"/>
        <w:keepLines w:val="0"/>
        <w:widowControl/>
        <w:suppressLineNumbers w:val="0"/>
        <w:shd w:val="clear" w:fill="FFFFFF"/>
        <w:spacing w:before="0" w:beforeAutospacing="0" w:after="2" w:afterAutospacing="0" w:line="480" w:lineRule="atLeast"/>
        <w:ind w:left="0" w:right="0" w:firstLine="480"/>
        <w:jc w:val="both"/>
        <w:rPr>
          <w:rFonts w:hint="eastAsia" w:ascii="等线" w:hAnsi="等线" w:eastAsia="等线" w:cs="等线"/>
          <w:i w:val="0"/>
          <w:iCs w:val="0"/>
          <w:caps w:val="0"/>
          <w:color w:val="1E1E1E"/>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2、负责指导、协调、监督区属部门集中办理行政许可审批，行政事业和服务性收费；负责组织提供有关公共便民服务。 </w:t>
      </w:r>
    </w:p>
    <w:p>
      <w:pPr>
        <w:keepNext w:val="0"/>
        <w:keepLines w:val="0"/>
        <w:widowControl/>
        <w:suppressLineNumbers w:val="0"/>
        <w:shd w:val="clear" w:fill="FFFFFF"/>
        <w:spacing w:before="0" w:beforeAutospacing="0" w:after="2" w:afterAutospacing="0" w:line="480" w:lineRule="atLeast"/>
        <w:ind w:left="0" w:right="0" w:firstLine="480"/>
        <w:jc w:val="both"/>
        <w:rPr>
          <w:rFonts w:hint="eastAsia" w:ascii="等线" w:hAnsi="等线" w:eastAsia="等线" w:cs="等线"/>
          <w:i w:val="0"/>
          <w:iCs w:val="0"/>
          <w:caps w:val="0"/>
          <w:color w:val="1E1E1E"/>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3、负责全区各级各部门政务公开工作的指导、协调、监督、管理、服务和考核工作；负责受理对中心行政审批运作的投诉，并负责投诉事项的办理和督查工作；负责对政务大厅工作人员的管理和培训，提出绩效考核意见，不断提高政务服务水平。 </w:t>
      </w:r>
    </w:p>
    <w:p>
      <w:pPr>
        <w:keepNext w:val="0"/>
        <w:keepLines w:val="0"/>
        <w:widowControl/>
        <w:suppressLineNumbers w:val="0"/>
        <w:shd w:val="clear" w:fill="FFFFFF"/>
        <w:spacing w:before="0" w:beforeAutospacing="0" w:after="2" w:afterAutospacing="0" w:line="480" w:lineRule="atLeast"/>
        <w:ind w:left="0" w:right="0" w:firstLine="480"/>
        <w:jc w:val="both"/>
        <w:rPr>
          <w:rFonts w:hint="eastAsia" w:ascii="等线" w:hAnsi="等线" w:eastAsia="等线" w:cs="等线"/>
          <w:i w:val="0"/>
          <w:iCs w:val="0"/>
          <w:caps w:val="0"/>
          <w:color w:val="1E1E1E"/>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4、负责拟定中心窗口设立及政务服务事项工作方案，报区委、区政府批准后组织实施；负责查验进驻中心的收费项目及标准是否符合有关政策；协调处理窗口单位之间的工作关系；组织各窗口高效、快捷的实施行政审批和证照办理工作。 </w:t>
      </w:r>
    </w:p>
    <w:p>
      <w:pPr>
        <w:keepNext w:val="0"/>
        <w:keepLines w:val="0"/>
        <w:widowControl/>
        <w:suppressLineNumbers w:val="0"/>
        <w:shd w:val="clear" w:fill="FFFFFF"/>
        <w:spacing w:before="0" w:beforeAutospacing="0" w:after="2" w:afterAutospacing="0" w:line="480" w:lineRule="atLeast"/>
        <w:ind w:left="0" w:right="0" w:firstLine="480"/>
        <w:jc w:val="both"/>
        <w:rPr>
          <w:rFonts w:hint="eastAsia" w:ascii="等线" w:hAnsi="等线" w:eastAsia="等线" w:cs="等线"/>
          <w:i w:val="0"/>
          <w:iCs w:val="0"/>
          <w:caps w:val="0"/>
          <w:color w:val="1E1E1E"/>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5、做好“12345”政府服务热线的答复与处理工作。 </w:t>
      </w:r>
    </w:p>
    <w:p>
      <w:pPr>
        <w:keepNext w:val="0"/>
        <w:keepLines w:val="0"/>
        <w:widowControl/>
        <w:suppressLineNumbers w:val="0"/>
        <w:shd w:val="clear" w:fill="FFFFFF"/>
        <w:spacing w:before="0" w:beforeAutospacing="0" w:after="2" w:afterAutospacing="0" w:line="480" w:lineRule="atLeast"/>
        <w:ind w:left="0" w:right="0" w:firstLine="480"/>
        <w:jc w:val="both"/>
        <w:rPr>
          <w:rFonts w:hint="eastAsia" w:ascii="等线" w:hAnsi="等线" w:eastAsia="等线" w:cs="等线"/>
          <w:i w:val="0"/>
          <w:iCs w:val="0"/>
          <w:caps w:val="0"/>
          <w:color w:val="1E1E1E"/>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6、承办区委、区人民政府交办的其他事项。 </w:t>
      </w:r>
    </w:p>
    <w:p>
      <w:pPr>
        <w:rPr>
          <w:sz w:val="21"/>
          <w:szCs w:val="21"/>
        </w:rPr>
      </w:pP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eastAsia" w:ascii="宋体" w:hAnsi="宋体" w:eastAsia="宋体" w:cs="宋体"/>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绩效目标设定情况</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我单位紧紧围绕全区工作大局，2023年强化财源建设及税收征管，严格落实“过紧日子”要求，优化财政收支结构，统筹抓好稳增长、调结构、促转型、惠民生等各项工作，全力保障民生等重点支出需要，全面严格规范财政收支管理，防范债务风险，进一步严肃财经纪律。</w:t>
      </w:r>
    </w:p>
    <w:p>
      <w:pPr>
        <w:keepNext w:val="0"/>
        <w:keepLines w:val="0"/>
        <w:pageBreakBefore w:val="0"/>
        <w:numPr>
          <w:ilvl w:val="0"/>
          <w:numId w:val="0"/>
        </w:numPr>
        <w:kinsoku/>
        <w:wordWrap/>
        <w:overflowPunct/>
        <w:topLinePunct w:val="0"/>
        <w:autoSpaceDE/>
        <w:autoSpaceDN/>
        <w:bidi w:val="0"/>
        <w:adjustRightInd/>
        <w:snapToGrid w:val="0"/>
        <w:spacing w:line="520" w:lineRule="exact"/>
        <w:ind w:firstLine="0"/>
        <w:textAlignment w:val="auto"/>
        <w:rPr>
          <w:rFonts w:hint="eastAsia" w:ascii="宋体" w:hAnsi="宋体" w:eastAsia="宋体" w:cs="宋体"/>
          <w:b/>
          <w:bCs/>
          <w:i w:val="0"/>
          <w:iCs w:val="0"/>
          <w:caps w:val="0"/>
          <w:color w:val="000000"/>
          <w:spacing w:val="0"/>
          <w:kern w:val="0"/>
          <w:sz w:val="32"/>
          <w:szCs w:val="32"/>
          <w:shd w:val="clear" w:fill="FFFFFF"/>
          <w:lang w:val="en-US" w:eastAsia="zh-CN" w:bidi="ar"/>
        </w:rPr>
      </w:pPr>
      <w:r>
        <w:rPr>
          <w:rFonts w:hint="eastAsia" w:ascii="宋体" w:hAnsi="宋体" w:eastAsia="宋体" w:cs="宋体"/>
          <w:b/>
          <w:bCs/>
          <w:i w:val="0"/>
          <w:iCs w:val="0"/>
          <w:caps w:val="0"/>
          <w:color w:val="000000"/>
          <w:spacing w:val="0"/>
          <w:kern w:val="0"/>
          <w:sz w:val="32"/>
          <w:szCs w:val="32"/>
          <w:shd w:val="clear" w:fill="FFFFFF"/>
          <w:lang w:val="en-US" w:eastAsia="zh-CN" w:bidi="ar"/>
        </w:rPr>
        <w:t>二、部门整体支出管理及使用情况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rPr>
        <w:t>（一）预算执行、使用、管理总体情况。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8"/>
          <w:szCs w:val="28"/>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lang w:val="en-US" w:eastAsia="zh-CN"/>
        </w:rPr>
        <w:t>2023年度一般公共预算财政拨款年初结转和结余0万元，本年收入484.14万元，本年支出484.14万元，年末结转和结余0万元。预算执行取得预期效果，财政运行整体良好。</w:t>
      </w:r>
    </w:p>
    <w:p>
      <w:pPr>
        <w:pStyle w:val="9"/>
        <w:keepNext w:val="0"/>
        <w:keepLines w:val="0"/>
        <w:widowControl/>
        <w:suppressLineNumbers w:val="0"/>
        <w:spacing w:before="300" w:beforeAutospacing="0" w:after="300" w:afterAutospacing="0" w:line="33" w:lineRule="atLeast"/>
        <w:ind w:left="0" w:right="0" w:firstLine="640" w:firstLineChars="200"/>
        <w:jc w:val="both"/>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（二）部门预算执行情况</w:t>
      </w:r>
    </w:p>
    <w:p>
      <w:pPr>
        <w:pStyle w:val="9"/>
        <w:keepNext w:val="0"/>
        <w:keepLines w:val="0"/>
        <w:widowControl/>
        <w:suppressLineNumbers w:val="0"/>
        <w:spacing w:before="300" w:beforeAutospacing="0" w:after="300" w:afterAutospacing="0" w:line="33"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rPr>
        <w:t>1.基本支出情况</w:t>
      </w:r>
    </w:p>
    <w:p>
      <w:pPr>
        <w:pStyle w:val="9"/>
        <w:keepNext w:val="0"/>
        <w:keepLines w:val="0"/>
        <w:widowControl/>
        <w:suppressLineNumbers w:val="0"/>
        <w:spacing w:before="300" w:beforeAutospacing="0" w:after="300" w:afterAutospacing="0" w:line="33" w:lineRule="atLeast"/>
        <w:ind w:left="0" w:right="0" w:firstLine="480" w:firstLineChars="200"/>
        <w:jc w:val="both"/>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rPr>
        <w:t>2023年一般公共预算</w:t>
      </w:r>
      <w:r>
        <w:rPr>
          <w:rFonts w:hint="eastAsia" w:ascii="宋体" w:hAnsi="宋体" w:eastAsia="宋体" w:cs="宋体"/>
          <w:color w:val="000000"/>
          <w:kern w:val="2"/>
          <w:sz w:val="24"/>
          <w:szCs w:val="24"/>
          <w:lang w:val="en-US" w:eastAsia="zh-CN"/>
        </w:rPr>
        <w:t>财政</w:t>
      </w:r>
      <w:r>
        <w:rPr>
          <w:rFonts w:hint="eastAsia" w:ascii="宋体" w:hAnsi="宋体" w:eastAsia="宋体" w:cs="宋体"/>
          <w:color w:val="000000"/>
          <w:kern w:val="2"/>
          <w:sz w:val="24"/>
          <w:szCs w:val="24"/>
        </w:rPr>
        <w:t>拨款</w:t>
      </w:r>
      <w:r>
        <w:rPr>
          <w:rFonts w:hint="eastAsia" w:ascii="宋体" w:hAnsi="宋体" w:eastAsia="宋体" w:cs="宋体"/>
          <w:color w:val="000000"/>
          <w:kern w:val="2"/>
          <w:sz w:val="24"/>
          <w:szCs w:val="24"/>
          <w:lang w:val="en-US" w:eastAsia="zh-CN"/>
        </w:rPr>
        <w:t>基本支出年初结转和结余0万元</w:t>
      </w:r>
      <w:r>
        <w:rPr>
          <w:rFonts w:hint="eastAsia" w:ascii="宋体" w:hAnsi="宋体" w:eastAsia="宋体" w:cs="宋体"/>
          <w:color w:val="000000"/>
          <w:kern w:val="2"/>
          <w:sz w:val="24"/>
          <w:szCs w:val="24"/>
        </w:rPr>
        <w:t>,</w:t>
      </w:r>
      <w:r>
        <w:rPr>
          <w:rFonts w:hint="eastAsia" w:ascii="宋体" w:hAnsi="宋体" w:eastAsia="宋体" w:cs="宋体"/>
          <w:color w:val="000000"/>
          <w:kern w:val="2"/>
          <w:sz w:val="24"/>
          <w:szCs w:val="24"/>
          <w:lang w:val="en-US" w:eastAsia="zh-CN"/>
        </w:rPr>
        <w:t>本年年初预算数86.91万元，全年预算数371.88万元，本年支出371.88万元。预算执行率100%，年末结转和结余0万元，没有超出预算规模、范围和标准。</w:t>
      </w:r>
    </w:p>
    <w:p>
      <w:pPr>
        <w:pStyle w:val="9"/>
        <w:keepNext w:val="0"/>
        <w:keepLines w:val="0"/>
        <w:widowControl/>
        <w:suppressLineNumbers w:val="0"/>
        <w:spacing w:before="300" w:beforeAutospacing="0" w:after="300" w:afterAutospacing="0" w:line="33"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rPr>
        <w:t>2.项目支出情况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rPr>
        <w:t>2023年</w:t>
      </w:r>
      <w:r>
        <w:rPr>
          <w:rFonts w:hint="eastAsia" w:ascii="宋体" w:hAnsi="宋体" w:eastAsia="宋体" w:cs="宋体"/>
          <w:color w:val="000000"/>
          <w:kern w:val="2"/>
          <w:sz w:val="24"/>
          <w:szCs w:val="24"/>
          <w:lang w:val="en-US" w:eastAsia="zh-CN"/>
        </w:rPr>
        <w:t>度项目支出112.27万元。是指我办为完成特定行政工作任务或事业发展目标而发生的支出，包括有关事业发展专项、专项业务费、基本建设支出等。</w:t>
      </w:r>
    </w:p>
    <w:p>
      <w:pPr>
        <w:pStyle w:val="9"/>
        <w:keepNext w:val="0"/>
        <w:keepLines w:val="0"/>
        <w:widowControl/>
        <w:numPr>
          <w:ilvl w:val="0"/>
          <w:numId w:val="2"/>
        </w:numPr>
        <w:suppressLineNumbers w:val="0"/>
        <w:spacing w:before="300" w:beforeAutospacing="0" w:after="300" w:afterAutospacing="0" w:line="33" w:lineRule="atLeast"/>
        <w:ind w:left="0" w:right="0" w:firstLine="560" w:firstLineChars="200"/>
        <w:jc w:val="both"/>
        <w:rPr>
          <w:rFonts w:hint="eastAsia" w:ascii="宋体" w:hAnsi="宋体" w:eastAsia="宋体" w:cs="宋体"/>
          <w:color w:val="000000"/>
          <w:kern w:val="2"/>
          <w:sz w:val="28"/>
          <w:szCs w:val="28"/>
          <w:lang w:val="en-US" w:eastAsia="zh-CN"/>
        </w:rPr>
      </w:pPr>
      <w:r>
        <w:rPr>
          <w:rFonts w:hint="eastAsia" w:ascii="宋体" w:hAnsi="宋体" w:eastAsia="宋体" w:cs="宋体"/>
          <w:color w:val="000000"/>
          <w:kern w:val="2"/>
          <w:sz w:val="28"/>
          <w:szCs w:val="28"/>
          <w:lang w:val="en-US" w:eastAsia="zh-CN"/>
        </w:rPr>
        <w:t>“三公</w:t>
      </w:r>
      <w:r>
        <w:rPr>
          <w:rFonts w:hint="default" w:ascii="宋体" w:hAnsi="宋体" w:eastAsia="宋体" w:cs="宋体"/>
          <w:color w:val="000000"/>
          <w:kern w:val="2"/>
          <w:sz w:val="28"/>
          <w:szCs w:val="28"/>
          <w:lang w:val="en-US" w:eastAsia="zh-CN"/>
        </w:rPr>
        <w:t>”</w:t>
      </w:r>
      <w:r>
        <w:rPr>
          <w:rFonts w:hint="eastAsia" w:ascii="宋体" w:hAnsi="宋体" w:eastAsia="宋体" w:cs="宋体"/>
          <w:color w:val="000000"/>
          <w:kern w:val="2"/>
          <w:sz w:val="28"/>
          <w:szCs w:val="28"/>
          <w:lang w:val="en-US" w:eastAsia="zh-CN"/>
        </w:rPr>
        <w:t>经费使用情况和管理情况</w:t>
      </w:r>
    </w:p>
    <w:p>
      <w:pPr>
        <w:pStyle w:val="9"/>
        <w:keepNext w:val="0"/>
        <w:keepLines w:val="0"/>
        <w:widowControl/>
        <w:numPr>
          <w:ilvl w:val="0"/>
          <w:numId w:val="0"/>
        </w:numPr>
        <w:suppressLineNumbers w:val="0"/>
        <w:spacing w:before="300" w:beforeAutospacing="0" w:after="300" w:afterAutospacing="0" w:line="33" w:lineRule="atLeast"/>
        <w:ind w:leftChars="200" w:right="0" w:rightChars="0"/>
        <w:jc w:val="both"/>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2023年“三公”经费年初预算数0.68万元（公务接待费0.68万元、公务用车购置及运行费用0万元、出国（境）经费0万元）。2023年“三公”经费实际支出0万元。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宋体" w:hAnsi="宋体" w:eastAsia="宋体" w:cs="宋体"/>
          <w:b/>
          <w:bCs/>
          <w:i w:val="0"/>
          <w:iCs w:val="0"/>
          <w:caps w:val="0"/>
          <w:color w:val="000000"/>
          <w:spacing w:val="0"/>
          <w:sz w:val="28"/>
          <w:szCs w:val="28"/>
          <w:shd w:val="clear" w:fill="FFFFFF"/>
        </w:rPr>
      </w:pPr>
      <w:r>
        <w:rPr>
          <w:rFonts w:hint="eastAsia" w:ascii="宋体" w:hAnsi="宋体" w:eastAsia="宋体" w:cs="宋体"/>
          <w:b/>
          <w:bCs/>
          <w:i w:val="0"/>
          <w:iCs w:val="0"/>
          <w:caps w:val="0"/>
          <w:color w:val="000000"/>
          <w:spacing w:val="0"/>
          <w:sz w:val="28"/>
          <w:szCs w:val="28"/>
          <w:shd w:val="clear" w:fill="FFFFFF"/>
        </w:rPr>
        <w:t>三、政府性基金预算支出情况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560" w:firstLineChars="200"/>
        <w:textAlignment w:val="auto"/>
        <w:rPr>
          <w:rFonts w:hint="eastAsia" w:ascii="仿宋" w:hAnsi="仿宋" w:eastAsia="仿宋" w:cs="仿宋"/>
          <w:i w:val="0"/>
          <w:iCs w:val="0"/>
          <w:caps w:val="0"/>
          <w:color w:val="000000"/>
          <w:spacing w:val="0"/>
          <w:sz w:val="40"/>
          <w:szCs w:val="40"/>
          <w:shd w:val="clear" w:fill="FFFFFF"/>
        </w:rPr>
      </w:pPr>
      <w:r>
        <w:rPr>
          <w:rFonts w:hint="eastAsia" w:ascii="宋体" w:hAnsi="宋体" w:eastAsia="宋体" w:cs="宋体"/>
          <w:i w:val="0"/>
          <w:iCs w:val="0"/>
          <w:caps w:val="0"/>
          <w:color w:val="000000"/>
          <w:spacing w:val="0"/>
          <w:sz w:val="28"/>
          <w:szCs w:val="28"/>
          <w:shd w:val="clear" w:fill="FFFFFF"/>
        </w:rPr>
        <w:t>2023年，我</w:t>
      </w:r>
      <w:r>
        <w:rPr>
          <w:rFonts w:hint="eastAsia" w:ascii="宋体" w:hAnsi="宋体" w:eastAsia="宋体" w:cs="宋体"/>
          <w:i w:val="0"/>
          <w:iCs w:val="0"/>
          <w:caps w:val="0"/>
          <w:color w:val="000000"/>
          <w:spacing w:val="0"/>
          <w:sz w:val="28"/>
          <w:szCs w:val="28"/>
          <w:shd w:val="clear" w:fill="FFFFFF"/>
          <w:lang w:val="en-US" w:eastAsia="zh-CN"/>
        </w:rPr>
        <w:t>局</w:t>
      </w:r>
      <w:r>
        <w:rPr>
          <w:rFonts w:hint="eastAsia" w:ascii="宋体" w:hAnsi="宋体" w:eastAsia="宋体" w:cs="宋体"/>
          <w:i w:val="0"/>
          <w:iCs w:val="0"/>
          <w:caps w:val="0"/>
          <w:color w:val="000000"/>
          <w:spacing w:val="0"/>
          <w:sz w:val="28"/>
          <w:szCs w:val="28"/>
          <w:shd w:val="clear" w:fill="FFFFFF"/>
        </w:rPr>
        <w:t>无政府性基金预算支出。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宋体" w:hAnsi="宋体" w:eastAsia="宋体" w:cs="宋体"/>
          <w:b/>
          <w:bCs/>
          <w:i w:val="0"/>
          <w:iCs w:val="0"/>
          <w:caps w:val="0"/>
          <w:color w:val="000000"/>
          <w:spacing w:val="0"/>
          <w:sz w:val="28"/>
          <w:szCs w:val="28"/>
          <w:shd w:val="clear" w:fill="FFFFFF"/>
        </w:rPr>
      </w:pPr>
      <w:r>
        <w:rPr>
          <w:rFonts w:hint="eastAsia" w:ascii="宋体" w:hAnsi="宋体" w:eastAsia="宋体" w:cs="宋体"/>
          <w:b/>
          <w:bCs/>
          <w:i w:val="0"/>
          <w:iCs w:val="0"/>
          <w:caps w:val="0"/>
          <w:color w:val="000000"/>
          <w:spacing w:val="0"/>
          <w:sz w:val="28"/>
          <w:szCs w:val="28"/>
          <w:shd w:val="clear" w:fill="FFFFFF"/>
        </w:rPr>
        <w:t>四、国有资本经营预算支出情况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仿宋" w:hAnsi="仿宋" w:eastAsia="宋体" w:cs="仿宋"/>
          <w:i w:val="0"/>
          <w:iCs w:val="0"/>
          <w:caps w:val="0"/>
          <w:color w:val="000000"/>
          <w:spacing w:val="0"/>
          <w:sz w:val="40"/>
          <w:szCs w:val="40"/>
          <w:shd w:val="clear" w:fill="FFFFFF"/>
          <w:lang w:eastAsia="zh-CN"/>
        </w:rPr>
      </w:pPr>
      <w:r>
        <w:rPr>
          <w:rFonts w:hint="eastAsia" w:ascii="仿宋" w:hAnsi="仿宋" w:eastAsia="仿宋" w:cs="仿宋"/>
          <w:i w:val="0"/>
          <w:iCs w:val="0"/>
          <w:caps w:val="0"/>
          <w:color w:val="000000"/>
          <w:spacing w:val="0"/>
          <w:sz w:val="40"/>
          <w:szCs w:val="40"/>
          <w:shd w:val="clear" w:fill="FFFFFF"/>
        </w:rPr>
        <w:t>　</w:t>
      </w:r>
      <w:r>
        <w:rPr>
          <w:rFonts w:hint="eastAsia" w:ascii="宋体" w:hAnsi="宋体" w:eastAsia="宋体" w:cs="宋体"/>
          <w:i w:val="0"/>
          <w:iCs w:val="0"/>
          <w:caps w:val="0"/>
          <w:color w:val="000000"/>
          <w:spacing w:val="0"/>
          <w:sz w:val="28"/>
          <w:szCs w:val="28"/>
          <w:shd w:val="clear" w:fill="FFFFFF"/>
        </w:rPr>
        <w:t>2023年，我</w:t>
      </w:r>
      <w:r>
        <w:rPr>
          <w:rFonts w:hint="eastAsia" w:ascii="宋体" w:hAnsi="宋体" w:eastAsia="宋体" w:cs="宋体"/>
          <w:i w:val="0"/>
          <w:iCs w:val="0"/>
          <w:caps w:val="0"/>
          <w:color w:val="000000"/>
          <w:spacing w:val="0"/>
          <w:sz w:val="28"/>
          <w:szCs w:val="28"/>
          <w:shd w:val="clear" w:fill="FFFFFF"/>
          <w:lang w:val="en-US" w:eastAsia="zh-CN"/>
        </w:rPr>
        <w:t>局</w:t>
      </w:r>
      <w:r>
        <w:rPr>
          <w:rFonts w:hint="eastAsia" w:ascii="宋体" w:hAnsi="宋体" w:eastAsia="宋体" w:cs="宋体"/>
          <w:i w:val="0"/>
          <w:iCs w:val="0"/>
          <w:caps w:val="0"/>
          <w:color w:val="000000"/>
          <w:spacing w:val="0"/>
          <w:sz w:val="28"/>
          <w:szCs w:val="28"/>
          <w:shd w:val="clear" w:fill="FFFFFF"/>
        </w:rPr>
        <w:t>无国有资本经营预算支出</w:t>
      </w:r>
      <w:r>
        <w:rPr>
          <w:rFonts w:hint="eastAsia" w:ascii="宋体" w:hAnsi="宋体" w:eastAsia="宋体" w:cs="宋体"/>
          <w:i w:val="0"/>
          <w:iCs w:val="0"/>
          <w:caps w:val="0"/>
          <w:color w:val="000000"/>
          <w:spacing w:val="0"/>
          <w:sz w:val="28"/>
          <w:szCs w:val="28"/>
          <w:shd w:val="clear"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仿宋" w:hAnsi="仿宋" w:eastAsia="仿宋" w:cs="仿宋"/>
          <w:b/>
          <w:bCs/>
          <w:i w:val="0"/>
          <w:iCs w:val="0"/>
          <w:caps w:val="0"/>
          <w:color w:val="000000"/>
          <w:spacing w:val="0"/>
          <w:sz w:val="28"/>
          <w:szCs w:val="28"/>
          <w:shd w:val="clear" w:fill="FFFFFF"/>
        </w:rPr>
      </w:pPr>
      <w:r>
        <w:rPr>
          <w:rFonts w:hint="eastAsia" w:ascii="宋体" w:hAnsi="宋体" w:eastAsia="宋体" w:cs="宋体"/>
          <w:b/>
          <w:bCs/>
          <w:i w:val="0"/>
          <w:iCs w:val="0"/>
          <w:caps w:val="0"/>
          <w:color w:val="000000"/>
          <w:spacing w:val="0"/>
          <w:sz w:val="28"/>
          <w:szCs w:val="28"/>
          <w:shd w:val="clear" w:fill="FFFFFF"/>
        </w:rPr>
        <w:t>五、社会保险基金预算支出情况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40"/>
          <w:szCs w:val="40"/>
          <w:shd w:val="clear" w:fill="FFFFFF"/>
        </w:rPr>
        <w:t>　</w:t>
      </w:r>
      <w:r>
        <w:rPr>
          <w:rFonts w:hint="eastAsia" w:ascii="宋体" w:hAnsi="宋体" w:eastAsia="宋体" w:cs="宋体"/>
          <w:i w:val="0"/>
          <w:iCs w:val="0"/>
          <w:caps w:val="0"/>
          <w:color w:val="000000"/>
          <w:spacing w:val="0"/>
          <w:sz w:val="28"/>
          <w:szCs w:val="28"/>
          <w:shd w:val="clear" w:fill="FFFFFF"/>
        </w:rPr>
        <w:t>2023年，我</w:t>
      </w:r>
      <w:r>
        <w:rPr>
          <w:rFonts w:hint="eastAsia" w:ascii="宋体" w:hAnsi="宋体" w:eastAsia="宋体" w:cs="宋体"/>
          <w:i w:val="0"/>
          <w:iCs w:val="0"/>
          <w:caps w:val="0"/>
          <w:color w:val="000000"/>
          <w:spacing w:val="0"/>
          <w:sz w:val="28"/>
          <w:szCs w:val="28"/>
          <w:shd w:val="clear" w:fill="FFFFFF"/>
          <w:lang w:val="en-US" w:eastAsia="zh-CN"/>
        </w:rPr>
        <w:t>局</w:t>
      </w:r>
      <w:r>
        <w:rPr>
          <w:rFonts w:hint="eastAsia" w:ascii="宋体" w:hAnsi="宋体" w:eastAsia="宋体" w:cs="宋体"/>
          <w:i w:val="0"/>
          <w:iCs w:val="0"/>
          <w:caps w:val="0"/>
          <w:color w:val="000000"/>
          <w:spacing w:val="0"/>
          <w:sz w:val="28"/>
          <w:szCs w:val="28"/>
          <w:shd w:val="clear" w:fill="FFFFFF"/>
        </w:rPr>
        <w:t>无社会保险基金预算支出。</w:t>
      </w:r>
    </w:p>
    <w:p>
      <w:pPr>
        <w:pStyle w:val="9"/>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宋体" w:hAnsi="宋体" w:eastAsia="宋体" w:cs="宋体"/>
          <w:b w:val="0"/>
          <w:bCs w:val="0"/>
          <w:i w:val="0"/>
          <w:iCs w:val="0"/>
          <w:caps w:val="0"/>
          <w:color w:val="000000"/>
          <w:spacing w:val="0"/>
          <w:sz w:val="32"/>
          <w:szCs w:val="32"/>
          <w:shd w:val="clear" w:fill="FFFFFF"/>
        </w:rPr>
      </w:pPr>
      <w:r>
        <w:rPr>
          <w:rFonts w:hint="eastAsia" w:ascii="宋体" w:hAnsi="宋体" w:eastAsia="宋体" w:cs="宋体"/>
          <w:b w:val="0"/>
          <w:bCs w:val="0"/>
          <w:i w:val="0"/>
          <w:iCs w:val="0"/>
          <w:caps w:val="0"/>
          <w:color w:val="000000"/>
          <w:spacing w:val="0"/>
          <w:sz w:val="32"/>
          <w:szCs w:val="32"/>
          <w:shd w:val="clear" w:fill="FFFFFF"/>
          <w:lang w:val="en-US" w:eastAsia="zh-CN"/>
        </w:rPr>
        <w:t>六</w:t>
      </w:r>
      <w:r>
        <w:rPr>
          <w:rFonts w:hint="eastAsia" w:ascii="宋体" w:hAnsi="宋体" w:eastAsia="宋体" w:cs="宋体"/>
          <w:b/>
          <w:bCs/>
          <w:i w:val="0"/>
          <w:iCs w:val="0"/>
          <w:caps w:val="0"/>
          <w:color w:val="000000"/>
          <w:spacing w:val="0"/>
          <w:sz w:val="32"/>
          <w:szCs w:val="32"/>
          <w:shd w:val="clear" w:fill="FFFFFF"/>
          <w:lang w:val="en-US" w:eastAsia="zh-CN"/>
        </w:rPr>
        <w:t>、</w:t>
      </w:r>
      <w:r>
        <w:rPr>
          <w:rFonts w:hint="eastAsia" w:ascii="宋体" w:hAnsi="宋体" w:eastAsia="宋体" w:cs="宋体"/>
          <w:b/>
          <w:bCs/>
          <w:i w:val="0"/>
          <w:iCs w:val="0"/>
          <w:caps w:val="0"/>
          <w:color w:val="000000"/>
          <w:spacing w:val="0"/>
          <w:sz w:val="32"/>
          <w:szCs w:val="32"/>
          <w:shd w:val="clear" w:fill="FFFFFF"/>
        </w:rPr>
        <w:t>部门整体支出绩效情况</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宋体" w:hAnsi="宋体" w:eastAsia="宋体" w:cs="宋体"/>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（一）综合评价结论。</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80" w:firstLineChars="20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2023年，我</w:t>
      </w:r>
      <w:r>
        <w:rPr>
          <w:rFonts w:hint="eastAsia" w:ascii="宋体" w:hAnsi="宋体" w:eastAsia="宋体" w:cs="宋体"/>
          <w:i w:val="0"/>
          <w:iCs w:val="0"/>
          <w:caps w:val="0"/>
          <w:color w:val="000000"/>
          <w:spacing w:val="0"/>
          <w:sz w:val="24"/>
          <w:szCs w:val="24"/>
          <w:shd w:val="clear" w:fill="FFFFFF"/>
          <w:lang w:val="en-US" w:eastAsia="zh-CN"/>
        </w:rPr>
        <w:t>局</w:t>
      </w:r>
      <w:r>
        <w:rPr>
          <w:rFonts w:hint="eastAsia" w:ascii="宋体" w:hAnsi="宋体" w:eastAsia="宋体" w:cs="宋体"/>
          <w:i w:val="0"/>
          <w:iCs w:val="0"/>
          <w:caps w:val="0"/>
          <w:color w:val="000000"/>
          <w:spacing w:val="0"/>
          <w:sz w:val="24"/>
          <w:szCs w:val="24"/>
          <w:shd w:val="clear" w:fill="FFFFFF"/>
        </w:rPr>
        <w:t>认真做好年度财政资金的绩效评价工作，在资金使用和管理方面，进一步强化资金统筹，优化资金结构，明确开支范围，细化资金用途，确保部门职责任务顺利完成。我</w:t>
      </w:r>
      <w:r>
        <w:rPr>
          <w:rFonts w:hint="eastAsia" w:ascii="宋体" w:hAnsi="宋体" w:eastAsia="宋体" w:cs="宋体"/>
          <w:i w:val="0"/>
          <w:iCs w:val="0"/>
          <w:caps w:val="0"/>
          <w:color w:val="000000"/>
          <w:spacing w:val="0"/>
          <w:sz w:val="24"/>
          <w:szCs w:val="24"/>
          <w:shd w:val="clear" w:fill="FFFFFF"/>
          <w:lang w:val="en-US" w:eastAsia="zh-CN"/>
        </w:rPr>
        <w:t>局</w:t>
      </w:r>
      <w:r>
        <w:rPr>
          <w:rFonts w:hint="eastAsia" w:ascii="宋体" w:hAnsi="宋体" w:eastAsia="宋体" w:cs="宋体"/>
          <w:i w:val="0"/>
          <w:iCs w:val="0"/>
          <w:caps w:val="0"/>
          <w:color w:val="000000"/>
          <w:spacing w:val="0"/>
          <w:sz w:val="24"/>
          <w:szCs w:val="24"/>
          <w:shd w:val="clear" w:fill="FFFFFF"/>
        </w:rPr>
        <w:t>对绩效评价情况进行了综合评定自评分数为9</w:t>
      </w:r>
      <w:r>
        <w:rPr>
          <w:rFonts w:hint="eastAsia" w:ascii="宋体" w:hAnsi="宋体" w:eastAsia="宋体" w:cs="宋体"/>
          <w:i w:val="0"/>
          <w:iCs w:val="0"/>
          <w:caps w:val="0"/>
          <w:color w:val="000000"/>
          <w:spacing w:val="0"/>
          <w:sz w:val="24"/>
          <w:szCs w:val="24"/>
          <w:shd w:val="clear" w:fill="FFFFFF"/>
          <w:lang w:val="en-US" w:eastAsia="zh-CN"/>
        </w:rPr>
        <w:t>8</w:t>
      </w:r>
      <w:r>
        <w:rPr>
          <w:rFonts w:hint="eastAsia" w:ascii="宋体" w:hAnsi="宋体" w:eastAsia="宋体" w:cs="宋体"/>
          <w:i w:val="0"/>
          <w:iCs w:val="0"/>
          <w:caps w:val="0"/>
          <w:color w:val="000000"/>
          <w:spacing w:val="0"/>
          <w:sz w:val="24"/>
          <w:szCs w:val="24"/>
          <w:shd w:val="clear" w:fill="FFFFFF"/>
        </w:rPr>
        <w:t>分，绩效评价等次为“优秀”。</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宋体" w:hAnsi="宋体" w:eastAsia="宋体" w:cs="宋体"/>
          <w:b/>
          <w:bCs/>
          <w:i w:val="0"/>
          <w:iCs w:val="0"/>
          <w:caps w:val="0"/>
          <w:color w:val="000000"/>
          <w:spacing w:val="0"/>
          <w:sz w:val="36"/>
          <w:szCs w:val="36"/>
          <w:shd w:val="clear" w:fill="FFFFFF"/>
        </w:rPr>
      </w:pPr>
      <w:r>
        <w:rPr>
          <w:rFonts w:hint="eastAsia" w:ascii="宋体" w:hAnsi="宋体" w:eastAsia="宋体" w:cs="宋体"/>
          <w:b w:val="0"/>
          <w:bCs w:val="0"/>
          <w:i w:val="0"/>
          <w:iCs w:val="0"/>
          <w:caps w:val="0"/>
          <w:color w:val="000000"/>
          <w:spacing w:val="0"/>
          <w:sz w:val="28"/>
          <w:szCs w:val="28"/>
          <w:shd w:val="clear" w:fill="FFFFFF"/>
        </w:rPr>
        <w:t>（二）评价指标分析（或综合评价情况）。</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560" w:firstLineChars="200"/>
        <w:textAlignment w:val="auto"/>
        <w:rPr>
          <w:rFonts w:hint="eastAsia" w:ascii="宋体" w:hAnsi="宋体" w:eastAsia="宋体" w:cs="宋体"/>
          <w:b/>
          <w:bCs/>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1.对履职效能主要指标的完成情况进行具体分析</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40" w:leftChars="0" w:firstLine="0" w:firstLineChars="0"/>
        <w:jc w:val="both"/>
        <w:textAlignment w:val="auto"/>
        <w:rPr>
          <w:rStyle w:val="15"/>
          <w:rFonts w:hint="eastAsia" w:ascii="宋体" w:hAnsi="宋体" w:eastAsia="宋体" w:cs="宋体"/>
          <w:b/>
          <w:bCs w:val="0"/>
          <w:i w:val="0"/>
          <w:caps w:val="0"/>
          <w:color w:val="000000"/>
          <w:spacing w:val="0"/>
          <w:w w:val="100"/>
          <w:kern w:val="2"/>
          <w:sz w:val="24"/>
          <w:szCs w:val="24"/>
          <w:lang w:val="en-US" w:eastAsia="zh-CN" w:bidi="ar-SA"/>
        </w:rPr>
      </w:pPr>
      <w:r>
        <w:rPr>
          <w:rStyle w:val="15"/>
          <w:rFonts w:hint="eastAsia" w:ascii="宋体" w:hAnsi="宋体" w:eastAsia="宋体" w:cs="宋体"/>
          <w:b/>
          <w:bCs w:val="0"/>
          <w:i w:val="0"/>
          <w:caps w:val="0"/>
          <w:color w:val="000000"/>
          <w:spacing w:val="0"/>
          <w:w w:val="100"/>
          <w:kern w:val="2"/>
          <w:sz w:val="24"/>
          <w:szCs w:val="24"/>
          <w:lang w:val="en-US" w:eastAsia="zh-CN" w:bidi="ar-SA"/>
        </w:rPr>
        <w:t>建设推广“湘易办”APP,”持续深化掌上办</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为办好“湘易办”建设推广这项重点民生实事，北塔区同步制定《邵阳市2023年“湘易办”超级服务端建设北塔区配套实施方案》，稳步推进工作开展。</w:t>
      </w:r>
      <w:r>
        <w:rPr>
          <w:rFonts w:hint="eastAsia" w:ascii="宋体" w:hAnsi="宋体" w:eastAsia="宋体" w:cs="宋体"/>
          <w:b/>
          <w:bCs/>
          <w:sz w:val="24"/>
          <w:szCs w:val="24"/>
          <w:lang w:val="en-US" w:eastAsia="zh-CN"/>
        </w:rPr>
        <w:t>一是业务培训不落一人。</w:t>
      </w:r>
      <w:r>
        <w:rPr>
          <w:rFonts w:hint="eastAsia" w:ascii="宋体" w:hAnsi="宋体" w:eastAsia="宋体" w:cs="宋体"/>
          <w:sz w:val="24"/>
          <w:szCs w:val="24"/>
          <w:lang w:val="en-US" w:eastAsia="zh-CN"/>
        </w:rPr>
        <w:t>为充分发挥各级各部门的生力军作用，确保工作开展的精准性和有效性，北塔区组织各职能部门、镇（街道）分管领导、工作人员及村（社区）干部召开2次“湘易办”政务版单位组织架构搭建和通讯录收集录入工作调度和专题培训会议、3次“湘易办”APP推广培训工作会议，为工作顺利开展打好基础。</w:t>
      </w:r>
      <w:r>
        <w:rPr>
          <w:rFonts w:hint="eastAsia" w:ascii="宋体" w:hAnsi="宋体" w:eastAsia="宋体" w:cs="宋体"/>
          <w:b/>
          <w:bCs/>
          <w:sz w:val="24"/>
          <w:szCs w:val="24"/>
          <w:lang w:val="en-US" w:eastAsia="zh-CN"/>
        </w:rPr>
        <w:t>二是事项测试不落一件。</w:t>
      </w:r>
      <w:r>
        <w:rPr>
          <w:rFonts w:hint="eastAsia" w:ascii="宋体" w:hAnsi="宋体" w:eastAsia="宋体" w:cs="宋体"/>
          <w:sz w:val="24"/>
          <w:szCs w:val="24"/>
          <w:lang w:val="en-US" w:eastAsia="zh-CN"/>
        </w:rPr>
        <w:t>组织各职能部门、镇（街道）、村（社区）对“一网通办”事项进行流程配置，各职能部门明确专人登录业务系统负责分发、配置服务事项，熟练掌握前端受理、办件分发、系统对接、业务审批等操作，实现“湘易办”上线事项办得通、办得快、办得好，完成了3329项政务服务事项测试，进一步推进了政务服务“网上办”、“掌上办”。</w:t>
      </w:r>
      <w:r>
        <w:rPr>
          <w:rFonts w:hint="eastAsia" w:ascii="宋体" w:hAnsi="宋体" w:eastAsia="宋体" w:cs="宋体"/>
          <w:b/>
          <w:bCs/>
          <w:sz w:val="24"/>
          <w:szCs w:val="24"/>
          <w:lang w:val="en-US" w:eastAsia="zh-CN"/>
        </w:rPr>
        <w:t>三是证照收集不落一张。</w:t>
      </w:r>
      <w:r>
        <w:rPr>
          <w:rFonts w:hint="eastAsia" w:ascii="宋体" w:hAnsi="宋体" w:eastAsia="宋体" w:cs="宋体"/>
          <w:sz w:val="24"/>
          <w:szCs w:val="24"/>
          <w:lang w:val="en-US" w:eastAsia="zh-CN"/>
        </w:rPr>
        <w:t>为深化“电子证照”应用，助力“无证明城市”建设，北塔区严格对照《邵阳市常用电子证照清单》等上级目录，组织各职能部门认领上报证照模板及存量数据，</w:t>
      </w:r>
      <w:r>
        <w:rPr>
          <w:rFonts w:hint="eastAsia" w:ascii="宋体" w:hAnsi="宋体" w:eastAsia="宋体" w:cs="宋体"/>
          <w:sz w:val="24"/>
          <w:szCs w:val="24"/>
          <w:lang w:eastAsia="zh-CN"/>
        </w:rPr>
        <w:t>协</w:t>
      </w:r>
      <w:r>
        <w:rPr>
          <w:rFonts w:hint="eastAsia" w:ascii="宋体" w:hAnsi="宋体" w:eastAsia="宋体" w:cs="宋体"/>
          <w:sz w:val="24"/>
          <w:szCs w:val="24"/>
          <w:lang w:val="en-US" w:eastAsia="zh-CN"/>
        </w:rPr>
        <w:t>调</w:t>
      </w:r>
      <w:r>
        <w:rPr>
          <w:rFonts w:hint="eastAsia" w:ascii="宋体" w:hAnsi="宋体" w:eastAsia="宋体" w:cs="宋体"/>
          <w:sz w:val="24"/>
          <w:szCs w:val="24"/>
          <w:lang w:eastAsia="zh-CN"/>
        </w:rPr>
        <w:t>第三方公司导入电子签单进行</w:t>
      </w:r>
      <w:r>
        <w:rPr>
          <w:rFonts w:hint="eastAsia" w:ascii="宋体" w:hAnsi="宋体" w:eastAsia="宋体" w:cs="宋体"/>
          <w:sz w:val="24"/>
          <w:szCs w:val="24"/>
          <w:lang w:val="en-US" w:eastAsia="zh-CN"/>
        </w:rPr>
        <w:t>CA认证，确保在“互联网+政务服务”一体化平台</w:t>
      </w:r>
      <w:r>
        <w:rPr>
          <w:rFonts w:hint="eastAsia" w:ascii="宋体" w:hAnsi="宋体" w:eastAsia="宋体" w:cs="宋体"/>
          <w:sz w:val="24"/>
          <w:szCs w:val="24"/>
        </w:rPr>
        <w:t>集成可应用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经过3-4轮摸排收集52项证照。</w:t>
      </w:r>
      <w:r>
        <w:rPr>
          <w:rFonts w:hint="eastAsia" w:ascii="宋体" w:hAnsi="宋体" w:eastAsia="宋体" w:cs="宋体"/>
          <w:b/>
          <w:bCs/>
          <w:sz w:val="24"/>
          <w:szCs w:val="24"/>
          <w:lang w:val="en-US" w:eastAsia="zh-CN"/>
        </w:rPr>
        <w:t>四是软件推广不落一户。</w:t>
      </w:r>
      <w:r>
        <w:rPr>
          <w:rFonts w:hint="eastAsia" w:ascii="宋体" w:hAnsi="宋体" w:eastAsia="宋体" w:cs="宋体"/>
          <w:sz w:val="24"/>
          <w:szCs w:val="24"/>
          <w:lang w:val="en-US" w:eastAsia="zh-CN"/>
        </w:rPr>
        <w:t>为了让办事群众用好用活“湘易办”APP，让改革成果惠及全体民众，北塔区委区政府高度重视，区长召开3次工作调度会专门部署，全面推行“进机关、进学校、进社区、进商超、进企业”的“五进”工作机制，在各类公众场所布放展板、海报、宣传手册，同步结合政务公开主题日、周二公益招聘会等大型活动全面立体开展宣传，区政务服务开设湘易办服务体验区。村（社区）干部结合“敲门行动”上门入户到群众家中，主动询问群众的待办事项，现场下载注册“湘易办”APP进行办件，让“实用、好用”的口碑成为推广的利器。2023年全区共开展24个推广活动，编发16篇新闻上稿于省媒、央媒，制作2个宣传视频、2个宣传品，全区注册群众5万余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Style w:val="15"/>
          <w:rFonts w:hint="eastAsia" w:ascii="宋体" w:hAnsi="宋体" w:eastAsia="宋体" w:cs="宋体"/>
          <w:b/>
          <w:bCs w:val="0"/>
          <w:i w:val="0"/>
          <w:caps w:val="0"/>
          <w:color w:val="000000"/>
          <w:spacing w:val="0"/>
          <w:w w:val="100"/>
          <w:kern w:val="2"/>
          <w:sz w:val="24"/>
          <w:szCs w:val="24"/>
          <w:lang w:val="en-US" w:eastAsia="zh-CN" w:bidi="ar-SA"/>
        </w:rPr>
      </w:pPr>
      <w:r>
        <w:rPr>
          <w:rStyle w:val="15"/>
          <w:rFonts w:hint="eastAsia" w:ascii="宋体" w:hAnsi="宋体" w:eastAsia="宋体" w:cs="宋体"/>
          <w:b/>
          <w:bCs w:val="0"/>
          <w:i w:val="0"/>
          <w:caps w:val="0"/>
          <w:color w:val="000000"/>
          <w:spacing w:val="0"/>
          <w:w w:val="100"/>
          <w:kern w:val="2"/>
          <w:sz w:val="24"/>
          <w:szCs w:val="24"/>
          <w:lang w:val="en-US" w:eastAsia="zh-CN" w:bidi="ar-SA"/>
        </w:rPr>
        <w:t>（二）落地落实“一件事一次办”全生命周期事项，推出套餐式、场景式服务</w:t>
      </w:r>
    </w:p>
    <w:p>
      <w:pPr>
        <w:pStyle w:val="6"/>
        <w:keepNext w:val="0"/>
        <w:keepLines w:val="0"/>
        <w:pageBreakBefore w:val="0"/>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一是优化服务流程。</w:t>
      </w:r>
      <w:r>
        <w:rPr>
          <w:rFonts w:hint="eastAsia" w:ascii="宋体" w:hAnsi="宋体" w:eastAsia="宋体" w:cs="宋体"/>
          <w:sz w:val="24"/>
          <w:szCs w:val="24"/>
          <w:lang w:val="en-US" w:eastAsia="zh-CN"/>
        </w:rPr>
        <w:t>北塔区</w:t>
      </w:r>
      <w:r>
        <w:rPr>
          <w:rFonts w:hint="eastAsia" w:ascii="宋体" w:hAnsi="宋体" w:eastAsia="宋体" w:cs="宋体"/>
          <w:kern w:val="2"/>
          <w:sz w:val="24"/>
          <w:szCs w:val="24"/>
          <w:lang w:val="en-US" w:eastAsia="zh-CN" w:bidi="ar-SA"/>
        </w:rPr>
        <w:t>对</w:t>
      </w:r>
      <w:r>
        <w:rPr>
          <w:rFonts w:hint="eastAsia" w:ascii="宋体" w:hAnsi="宋体" w:eastAsia="宋体" w:cs="宋体"/>
          <w:sz w:val="24"/>
          <w:szCs w:val="24"/>
          <w:lang w:val="en-US" w:eastAsia="zh-CN"/>
        </w:rPr>
        <w:t>标省定目录、结合北塔实际，制定《北塔区持续打造“一件事一次办”升级版工作方案》，共梳理出19个主题式、套餐式场景应用，实施“一事一专班”、“一事一方案”。线上在北塔区政务服务旗舰店上线30个主题式、套餐式“一件事”。“新生儿出生”一件事通过一次告知、一窗受理，原来需要跑腿的窗口从4个窗口减少至1个窗口，重复性资料压缩50%。</w:t>
      </w:r>
      <w:r>
        <w:rPr>
          <w:rFonts w:hint="eastAsia" w:ascii="宋体" w:hAnsi="宋体" w:eastAsia="宋体" w:cs="宋体"/>
          <w:b/>
          <w:bCs/>
          <w:sz w:val="24"/>
          <w:szCs w:val="24"/>
          <w:lang w:val="en-US" w:eastAsia="zh-CN"/>
        </w:rPr>
        <w:t>二是提升服务质效。</w:t>
      </w:r>
      <w:r>
        <w:rPr>
          <w:rFonts w:hint="eastAsia" w:ascii="宋体" w:hAnsi="宋体" w:eastAsia="宋体" w:cs="宋体"/>
          <w:kern w:val="0"/>
          <w:sz w:val="24"/>
          <w:szCs w:val="24"/>
          <w:lang w:val="en-US" w:eastAsia="zh-CN"/>
        </w:rPr>
        <w:t>各牵头单位根据业务量，选派1名</w:t>
      </w:r>
      <w:r>
        <w:rPr>
          <w:rFonts w:hint="eastAsia" w:ascii="宋体" w:hAnsi="宋体" w:eastAsia="宋体" w:cs="宋体"/>
          <w:b w:val="0"/>
          <w:bCs w:val="0"/>
          <w:kern w:val="0"/>
          <w:sz w:val="24"/>
          <w:szCs w:val="24"/>
          <w:lang w:val="en-US" w:eastAsia="zh-CN" w:bidi="ar-SA"/>
        </w:rPr>
        <w:t>业务水平高、服务态度好的干部职工担任综窗工作人员，综窗人员负责政策解读、全程导办、资料收受、统一出件，</w:t>
      </w:r>
      <w:r>
        <w:rPr>
          <w:rFonts w:hint="eastAsia" w:ascii="宋体" w:hAnsi="宋体" w:eastAsia="宋体" w:cs="宋体"/>
          <w:b w:val="0"/>
          <w:bCs w:val="0"/>
          <w:kern w:val="0"/>
          <w:sz w:val="24"/>
          <w:szCs w:val="24"/>
          <w:u w:val="none"/>
          <w:lang w:val="en-US" w:eastAsia="zh-CN" w:bidi="ar-SA"/>
        </w:rPr>
        <w:t>实现“收受、转派、受理</w:t>
      </w:r>
      <w:r>
        <w:rPr>
          <w:rFonts w:hint="eastAsia" w:ascii="宋体" w:hAnsi="宋体" w:eastAsia="宋体" w:cs="宋体"/>
          <w:b w:val="0"/>
          <w:bCs w:val="0"/>
          <w:kern w:val="0"/>
          <w:sz w:val="24"/>
          <w:szCs w:val="24"/>
          <w:lang w:val="en-US" w:eastAsia="zh-CN" w:bidi="ar-SA"/>
        </w:rPr>
        <w:t>、办结”全流程“保姆式”服务。综合窗口配备电脑、打印机等必要办公设备。</w:t>
      </w:r>
      <w:r>
        <w:rPr>
          <w:rFonts w:hint="eastAsia" w:ascii="宋体" w:hAnsi="宋体" w:eastAsia="宋体" w:cs="宋体"/>
          <w:b/>
          <w:bCs/>
          <w:sz w:val="24"/>
          <w:szCs w:val="24"/>
          <w:lang w:val="en-US" w:eastAsia="zh-CN"/>
        </w:rPr>
        <w:t>三是创新宣传方式。</w:t>
      </w:r>
      <w:r>
        <w:rPr>
          <w:rFonts w:hint="eastAsia" w:ascii="宋体" w:hAnsi="宋体" w:eastAsia="宋体" w:cs="宋体"/>
          <w:b w:val="0"/>
          <w:bCs w:val="0"/>
          <w:kern w:val="0"/>
          <w:sz w:val="24"/>
          <w:szCs w:val="24"/>
          <w:lang w:val="en-US" w:eastAsia="zh-CN" w:bidi="ar-SA"/>
        </w:rPr>
        <w:t>组织各窗口业务骨干化身“办事群众”，针对已成熟推广的主题服务事项进行走流程，以“探店”、“带路”等模式体验取号、排队、填表、办理、评价全环节，让群众“一看就明白、一次就办好”。</w:t>
      </w:r>
      <w:r>
        <w:rPr>
          <w:rFonts w:hint="eastAsia" w:ascii="宋体" w:hAnsi="宋体" w:eastAsia="宋体" w:cs="宋体"/>
          <w:sz w:val="24"/>
          <w:szCs w:val="24"/>
          <w:lang w:val="en-US" w:eastAsia="zh-CN"/>
        </w:rPr>
        <w:t>目前已</w:t>
      </w:r>
      <w:r>
        <w:rPr>
          <w:rFonts w:hint="eastAsia" w:ascii="宋体" w:hAnsi="宋体" w:eastAsia="宋体" w:cs="宋体"/>
          <w:kern w:val="2"/>
          <w:sz w:val="24"/>
          <w:szCs w:val="24"/>
          <w:lang w:val="en-US" w:eastAsia="zh-CN" w:bidi="ar-SA"/>
        </w:rPr>
        <w:t>制作推出“我来北塔办政务·新生儿出生一件事一次办”、“我来北塔办政务·办证一件事一次办”探店小视频，新闻稿《邵阳北塔：最多跑一次！全面落实“新生儿出生一件事一次办”》被新湖南头条收录。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Style w:val="15"/>
          <w:rFonts w:hint="eastAsia" w:ascii="宋体" w:hAnsi="宋体" w:eastAsia="宋体" w:cs="宋体"/>
          <w:b/>
          <w:bCs w:val="0"/>
          <w:i w:val="0"/>
          <w:caps w:val="0"/>
          <w:color w:val="000000"/>
          <w:spacing w:val="0"/>
          <w:w w:val="100"/>
          <w:kern w:val="2"/>
          <w:sz w:val="24"/>
          <w:szCs w:val="24"/>
          <w:lang w:val="en-US" w:eastAsia="zh-CN" w:bidi="ar-SA"/>
        </w:rPr>
      </w:pPr>
      <w:r>
        <w:rPr>
          <w:rStyle w:val="15"/>
          <w:rFonts w:hint="eastAsia" w:ascii="宋体" w:hAnsi="宋体" w:eastAsia="宋体" w:cs="宋体"/>
          <w:b/>
          <w:bCs w:val="0"/>
          <w:i w:val="0"/>
          <w:caps w:val="0"/>
          <w:color w:val="000000"/>
          <w:spacing w:val="0"/>
          <w:w w:val="100"/>
          <w:kern w:val="2"/>
          <w:sz w:val="24"/>
          <w:szCs w:val="24"/>
          <w:lang w:val="en-US" w:eastAsia="zh-CN" w:bidi="ar-SA"/>
        </w:rPr>
        <w:t>（三）深入推进政务服务规范化、标准化、便利化建设，优化营商政务环境</w:t>
      </w:r>
    </w:p>
    <w:p>
      <w:pPr>
        <w:pStyle w:val="7"/>
        <w:keepNext w:val="0"/>
        <w:keepLines w:val="0"/>
        <w:pageBreakBefore w:val="0"/>
        <w:widowControl w:val="0"/>
        <w:kinsoku/>
        <w:wordWrap/>
        <w:overflowPunct/>
        <w:topLinePunct w:val="0"/>
        <w:autoSpaceDE/>
        <w:autoSpaceDN/>
        <w:bidi w:val="0"/>
        <w:adjustRightInd/>
        <w:spacing w:line="560" w:lineRule="exact"/>
        <w:ind w:firstLine="482"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lang w:val="en-US" w:eastAsia="zh-CN"/>
        </w:rPr>
        <w:t>一是</w:t>
      </w:r>
      <w:r>
        <w:rPr>
          <w:rFonts w:hint="eastAsia" w:ascii="宋体" w:hAnsi="宋体" w:eastAsia="宋体" w:cs="宋体"/>
          <w:b/>
          <w:bCs/>
          <w:sz w:val="24"/>
          <w:szCs w:val="24"/>
        </w:rPr>
        <w:t>继续推进“四推四减”</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组建</w:t>
      </w:r>
      <w:r>
        <w:rPr>
          <w:rFonts w:hint="eastAsia" w:ascii="宋体" w:hAnsi="宋体" w:eastAsia="宋体" w:cs="宋体"/>
          <w:b/>
          <w:bCs/>
          <w:kern w:val="0"/>
          <w:sz w:val="24"/>
          <w:szCs w:val="24"/>
          <w:u w:val="none"/>
          <w:lang w:val="en-US" w:eastAsia="zh-CN" w:bidi="ar-SA"/>
        </w:rPr>
        <w:t>“北塔管家”帮代办队伍。</w:t>
      </w:r>
      <w:r>
        <w:rPr>
          <w:rFonts w:hint="eastAsia" w:ascii="宋体" w:hAnsi="宋体" w:eastAsia="宋体" w:cs="宋体"/>
          <w:b w:val="0"/>
          <w:bCs w:val="0"/>
          <w:kern w:val="0"/>
          <w:sz w:val="24"/>
          <w:szCs w:val="24"/>
          <w:u w:val="none"/>
          <w:lang w:val="en-US" w:eastAsia="zh-CN" w:bidi="ar-SA"/>
        </w:rPr>
        <w:t>将区、镇（街道）、村（社区）干部职工纳入政务管家队伍，为企业群众提供帮代办服务。网格帮代办员按照帮代办流程，亮明身份，主动作为，从“被动处理”向“主动服务”转变，变“窗口办”为“网格办”，变“少跑腿”为“不跑腿”。</w:t>
      </w:r>
      <w:r>
        <w:rPr>
          <w:rFonts w:hint="eastAsia" w:ascii="宋体" w:hAnsi="宋体" w:eastAsia="宋体" w:cs="宋体"/>
          <w:sz w:val="24"/>
          <w:szCs w:val="24"/>
        </w:rPr>
        <w:t>126名基层帮代办员</w:t>
      </w:r>
      <w:r>
        <w:rPr>
          <w:rFonts w:hint="eastAsia" w:ascii="宋体" w:hAnsi="宋体" w:eastAsia="宋体" w:cs="宋体"/>
          <w:sz w:val="24"/>
          <w:szCs w:val="24"/>
          <w:lang w:val="en-US" w:eastAsia="zh-CN"/>
        </w:rPr>
        <w:t>全年</w:t>
      </w:r>
      <w:r>
        <w:rPr>
          <w:rFonts w:hint="eastAsia" w:ascii="宋体" w:hAnsi="宋体" w:eastAsia="宋体" w:cs="宋体"/>
          <w:sz w:val="24"/>
          <w:szCs w:val="24"/>
        </w:rPr>
        <w:t>办理</w:t>
      </w:r>
      <w:r>
        <w:rPr>
          <w:rFonts w:hint="eastAsia" w:ascii="宋体" w:hAnsi="宋体" w:eastAsia="宋体" w:cs="宋体"/>
          <w:sz w:val="24"/>
          <w:szCs w:val="24"/>
          <w:lang w:val="en-US" w:eastAsia="zh-CN"/>
        </w:rPr>
        <w:t>2318</w:t>
      </w:r>
      <w:r>
        <w:rPr>
          <w:rFonts w:hint="eastAsia" w:ascii="宋体" w:hAnsi="宋体" w:eastAsia="宋体" w:cs="宋体"/>
          <w:sz w:val="24"/>
          <w:szCs w:val="24"/>
        </w:rPr>
        <w:t>件事项，减少企业群众跑腿次数87%；推行“一次告知”“一表申请”，减少办理环节60%；推进关联单位数据共享、资料共用，减少申报材料65%；推行“立即审批”、“容缺受理”，企业登记时间压缩至1个工作日。</w:t>
      </w:r>
      <w:r>
        <w:rPr>
          <w:rFonts w:hint="eastAsia" w:ascii="宋体" w:hAnsi="宋体" w:eastAsia="宋体" w:cs="宋体"/>
          <w:b/>
          <w:bCs/>
          <w:sz w:val="24"/>
          <w:szCs w:val="24"/>
          <w:lang w:val="en-US" w:eastAsia="zh-CN"/>
        </w:rPr>
        <w:t>二是全面开设“办不成事”窗口。</w:t>
      </w:r>
      <w:r>
        <w:rPr>
          <w:rFonts w:hint="eastAsia" w:ascii="宋体" w:hAnsi="宋体" w:eastAsia="宋体" w:cs="宋体"/>
          <w:kern w:val="2"/>
          <w:sz w:val="24"/>
          <w:szCs w:val="24"/>
          <w:lang w:val="en-US" w:eastAsia="zh-CN" w:bidi="ar-SA"/>
        </w:rPr>
        <w:t>区、镇（街道）、村（社区）三级政务服务中心已全面设置“办不成事”窗口，设立“政务督办”专员、“办不成事”工作台账，记录并解决企业群众遇到的疑难杂症事项。</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lang w:val="en-US" w:eastAsia="zh-CN"/>
        </w:rPr>
        <w:t>三是</w:t>
      </w:r>
      <w:r>
        <w:rPr>
          <w:rFonts w:hint="eastAsia" w:ascii="宋体" w:hAnsi="宋体" w:eastAsia="宋体" w:cs="宋体"/>
          <w:b/>
          <w:bCs/>
          <w:kern w:val="2"/>
          <w:sz w:val="24"/>
          <w:szCs w:val="24"/>
          <w:lang w:val="en-US" w:eastAsia="zh-CN" w:bidi="ar-SA"/>
        </w:rPr>
        <w:t>推进网上中介服务超市建设。</w:t>
      </w:r>
      <w:r>
        <w:rPr>
          <w:rStyle w:val="15"/>
          <w:rFonts w:hint="eastAsia" w:ascii="宋体" w:hAnsi="宋体" w:eastAsia="宋体" w:cs="宋体"/>
          <w:b w:val="0"/>
          <w:bCs/>
          <w:i w:val="0"/>
          <w:caps w:val="0"/>
          <w:color w:val="000000"/>
          <w:spacing w:val="0"/>
          <w:w w:val="100"/>
          <w:sz w:val="24"/>
          <w:szCs w:val="24"/>
          <w:lang w:val="en-US" w:eastAsia="zh-CN"/>
        </w:rPr>
        <w:t>深入贯彻落实省、市关于规范行政权力中介服务事项的工作要求，下发《关于转发&lt;关于进一步推进网上中介服务超市工作的通知&gt;的通知》，组织召开工作推进会，要求各单位全面入驻，并吸纳中介机构广泛入驻，目前全区共102家机关单位、25家中介服务机构入驻中介平台，实现100%入驻，采购公告发布13个</w:t>
      </w:r>
      <w:r>
        <w:rPr>
          <w:rFonts w:hint="eastAsia" w:ascii="宋体" w:hAnsi="宋体" w:eastAsia="宋体" w:cs="宋体"/>
          <w:sz w:val="24"/>
          <w:szCs w:val="24"/>
        </w:rPr>
        <w:t>。</w:t>
      </w:r>
      <w:r>
        <w:rPr>
          <w:rFonts w:hint="eastAsia" w:ascii="宋体" w:hAnsi="宋体" w:eastAsia="宋体" w:cs="宋体"/>
          <w:b/>
          <w:bCs/>
          <w:kern w:val="2"/>
          <w:sz w:val="24"/>
          <w:szCs w:val="24"/>
          <w:highlight w:val="none"/>
          <w:lang w:val="en-US" w:eastAsia="zh-CN" w:bidi="ar-SA"/>
        </w:rPr>
        <w:t>四是推进政务服务事项跨省通办。</w:t>
      </w:r>
      <w:r>
        <w:rPr>
          <w:rStyle w:val="15"/>
          <w:rFonts w:hint="eastAsia" w:ascii="宋体" w:hAnsi="宋体" w:eastAsia="宋体" w:cs="宋体"/>
          <w:b w:val="0"/>
          <w:bCs/>
          <w:i w:val="0"/>
          <w:caps w:val="0"/>
          <w:color w:val="000000"/>
          <w:spacing w:val="0"/>
          <w:w w:val="100"/>
          <w:sz w:val="24"/>
          <w:szCs w:val="24"/>
          <w:highlight w:val="none"/>
          <w:lang w:val="en-US" w:eastAsia="zh-CN"/>
        </w:rPr>
        <w:t>设置“跨域通办”窗口，承担“跨省通办”相关工作，配备相应设备和人员。今年与湖北省宜昌市夷陵区、广东省韶关市新丰县签订“跨省通办”合作协议，明确了事项清单、事项标准、办理流程等，建立运行保障机制，推行全流程网办。</w:t>
      </w:r>
      <w:r>
        <w:rPr>
          <w:rStyle w:val="15"/>
          <w:rFonts w:hint="eastAsia" w:ascii="宋体" w:hAnsi="宋体" w:eastAsia="宋体" w:cs="宋体"/>
          <w:b/>
          <w:bCs w:val="0"/>
          <w:i w:val="0"/>
          <w:caps w:val="0"/>
          <w:color w:val="000000"/>
          <w:spacing w:val="0"/>
          <w:w w:val="100"/>
          <w:sz w:val="24"/>
          <w:szCs w:val="24"/>
          <w:highlight w:val="none"/>
          <w:lang w:val="en-US" w:eastAsia="zh-CN"/>
        </w:rPr>
        <w:t>五是规范梳理行政许可事项清单、“三张清单”，</w:t>
      </w:r>
      <w:r>
        <w:rPr>
          <w:rFonts w:hint="eastAsia" w:ascii="宋体" w:hAnsi="宋体" w:eastAsia="宋体" w:cs="宋体"/>
          <w:b/>
          <w:bCs/>
          <w:kern w:val="2"/>
          <w:sz w:val="24"/>
          <w:szCs w:val="24"/>
          <w:lang w:val="en-US" w:eastAsia="zh-CN" w:bidi="ar-SA"/>
        </w:rPr>
        <w:t>推进“无证明城市”建设</w:t>
      </w:r>
      <w:r>
        <w:rPr>
          <w:rStyle w:val="15"/>
          <w:rFonts w:hint="eastAsia" w:ascii="宋体" w:hAnsi="宋体" w:eastAsia="宋体" w:cs="宋体"/>
          <w:b/>
          <w:bCs w:val="0"/>
          <w:i w:val="0"/>
          <w:caps w:val="0"/>
          <w:color w:val="000000"/>
          <w:spacing w:val="0"/>
          <w:w w:val="100"/>
          <w:sz w:val="24"/>
          <w:szCs w:val="24"/>
          <w:highlight w:val="none"/>
          <w:lang w:val="en-US" w:eastAsia="zh-CN"/>
        </w:rPr>
        <w:t>。</w:t>
      </w:r>
      <w:r>
        <w:rPr>
          <w:rFonts w:hint="eastAsia" w:ascii="宋体" w:hAnsi="宋体" w:eastAsia="宋体" w:cs="宋体"/>
          <w:kern w:val="2"/>
          <w:sz w:val="24"/>
          <w:szCs w:val="24"/>
          <w:lang w:val="en-US" w:eastAsia="zh-CN" w:bidi="ar-SA"/>
        </w:rPr>
        <w:t>出台《邵阳市北塔区行政许可事项清单（2023年版）》，并规范发布办事指南。</w:t>
      </w:r>
      <w:r>
        <w:rPr>
          <w:rFonts w:hint="eastAsia" w:ascii="宋体" w:hAnsi="宋体" w:eastAsia="宋体" w:cs="宋体"/>
          <w:sz w:val="24"/>
          <w:szCs w:val="24"/>
          <w:lang w:val="en-US" w:eastAsia="zh-CN"/>
        </w:rPr>
        <w:t>各职能部门均组建政务数据归集工作专班，144个在用信息系统、50项供给清单、31项负面清单、92项需求清单已全面梳理完毕，并归集完成2023年度护士注册、登记信息等数据。推进“无证明城市”建设</w:t>
      </w:r>
      <w:r>
        <w:rPr>
          <w:rFonts w:hint="eastAsia" w:ascii="宋体" w:hAnsi="宋体" w:eastAsia="宋体" w:cs="宋体"/>
          <w:kern w:val="2"/>
          <w:sz w:val="24"/>
          <w:szCs w:val="24"/>
          <w:lang w:val="en-US" w:eastAsia="zh-CN" w:bidi="ar-SA"/>
        </w:rPr>
        <w:t>，对30个事项涉及的证明采用直接取消/数据共享/告知承诺/部门核验方式免提交。</w:t>
      </w:r>
      <w:r>
        <w:rPr>
          <w:rFonts w:hint="eastAsia" w:ascii="宋体" w:hAnsi="宋体" w:eastAsia="宋体" w:cs="宋体"/>
          <w:b/>
          <w:bCs/>
          <w:kern w:val="2"/>
          <w:sz w:val="24"/>
          <w:szCs w:val="24"/>
          <w:lang w:val="en-US" w:eastAsia="zh-CN" w:bidi="ar-SA"/>
        </w:rPr>
        <w:t>六是建设24小时自助服务大厅。</w:t>
      </w:r>
      <w:r>
        <w:rPr>
          <w:rFonts w:hint="eastAsia" w:ascii="宋体" w:hAnsi="宋体" w:eastAsia="宋体" w:cs="宋体"/>
          <w:kern w:val="2"/>
          <w:sz w:val="24"/>
          <w:szCs w:val="24"/>
          <w:lang w:val="en-US" w:eastAsia="zh-CN" w:bidi="ar-SA"/>
        </w:rPr>
        <w:t>与工商银行签订政银合作协议，在自助大厅配备ATM存取款机，为前来办事的企业群众提供不打烊服务。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both"/>
        <w:textAlignment w:val="auto"/>
        <w:rPr>
          <w:rStyle w:val="15"/>
          <w:rFonts w:hint="eastAsia" w:ascii="宋体" w:hAnsi="宋体" w:eastAsia="宋体" w:cs="宋体"/>
          <w:b/>
          <w:bCs w:val="0"/>
          <w:i w:val="0"/>
          <w:caps w:val="0"/>
          <w:color w:val="000000"/>
          <w:spacing w:val="0"/>
          <w:w w:val="100"/>
          <w:kern w:val="2"/>
          <w:sz w:val="24"/>
          <w:szCs w:val="24"/>
          <w:lang w:val="en-US" w:eastAsia="zh-CN" w:bidi="ar-SA"/>
        </w:rPr>
      </w:pPr>
      <w:r>
        <w:rPr>
          <w:rStyle w:val="15"/>
          <w:rFonts w:hint="eastAsia" w:ascii="宋体" w:hAnsi="宋体" w:eastAsia="宋体" w:cs="宋体"/>
          <w:b/>
          <w:bCs w:val="0"/>
          <w:i w:val="0"/>
          <w:caps w:val="0"/>
          <w:color w:val="000000"/>
          <w:spacing w:val="0"/>
          <w:w w:val="100"/>
          <w:kern w:val="2"/>
          <w:sz w:val="24"/>
          <w:szCs w:val="24"/>
          <w:lang w:val="en-US" w:eastAsia="zh-CN" w:bidi="ar-SA"/>
        </w:rPr>
        <w:t>（四）探索建立统一的基层政务公开标准体系</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一是规范管理政府门户网站和政务新媒体。</w:t>
      </w:r>
      <w:r>
        <w:rPr>
          <w:rFonts w:hint="eastAsia" w:ascii="宋体" w:hAnsi="宋体" w:eastAsia="宋体" w:cs="宋体"/>
          <w:sz w:val="24"/>
          <w:szCs w:val="24"/>
          <w:lang w:val="en-US" w:eastAsia="zh-CN"/>
        </w:rPr>
        <w:t>动态调整北塔区政府门户网站栏目结构，使网站栏目功能更完善、更新频率更高、查阅信息更准确、用户体验更佳，更新了新一届领导班子简历，定制了规范性文件专栏，今年发布信息稿件2758篇，答复网络问政信件60件。</w:t>
      </w:r>
      <w:r>
        <w:rPr>
          <w:rFonts w:hint="eastAsia" w:ascii="宋体" w:hAnsi="宋体" w:eastAsia="宋体" w:cs="宋体"/>
          <w:b/>
          <w:bCs/>
          <w:sz w:val="24"/>
          <w:szCs w:val="24"/>
          <w:lang w:val="en-US" w:eastAsia="zh-CN"/>
        </w:rPr>
        <w:t>二是探索建立基层政务公开标准化体系。</w:t>
      </w:r>
      <w:r>
        <w:rPr>
          <w:rFonts w:hint="eastAsia" w:ascii="宋体" w:hAnsi="宋体" w:eastAsia="宋体" w:cs="宋体"/>
          <w:sz w:val="24"/>
          <w:szCs w:val="24"/>
          <w:lang w:val="en-US" w:eastAsia="zh-CN"/>
        </w:rPr>
        <w:t>结合人员流动性大、村居民法治意识强、乡村振兴建设项目多的发展背景，聚焦乡村振兴与互联网时代背景，创新性搭建乡村振兴网上村务公开示范专栏，强化基层自治，推动基层政务公开标准化规范化向农村和社区延伸。北塔区的主要做法是：全面实施网上村务公开“四个一”工作法，即“梳理一份目录清单”、“搭建一个线上平台”、“制作一张便民名片”、“吸引一批创业乡贤”。目前，全区15个乡村振兴示范村的网上村务公开示范专栏已在北塔区人民政府官网全面上线，均配备政务公开查询机。村务公开从线下拓展到线上，打破了时间、空间壁垒，实现村务政务信息全面溯源、随地可查，并同步展现北塔“一村一品”特色风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both"/>
        <w:textAlignment w:val="auto"/>
        <w:rPr>
          <w:rStyle w:val="15"/>
          <w:rFonts w:hint="eastAsia" w:ascii="宋体" w:hAnsi="宋体" w:eastAsia="宋体" w:cs="宋体"/>
          <w:b/>
          <w:bCs w:val="0"/>
          <w:i w:val="0"/>
          <w:caps w:val="0"/>
          <w:color w:val="000000"/>
          <w:spacing w:val="0"/>
          <w:w w:val="100"/>
          <w:kern w:val="2"/>
          <w:sz w:val="24"/>
          <w:szCs w:val="24"/>
          <w:lang w:val="en-US" w:eastAsia="zh-CN" w:bidi="ar-SA"/>
        </w:rPr>
      </w:pPr>
      <w:r>
        <w:rPr>
          <w:rStyle w:val="15"/>
          <w:rFonts w:hint="eastAsia" w:ascii="宋体" w:hAnsi="宋体" w:eastAsia="宋体" w:cs="宋体"/>
          <w:b/>
          <w:bCs w:val="0"/>
          <w:i w:val="0"/>
          <w:caps w:val="0"/>
          <w:color w:val="000000"/>
          <w:spacing w:val="0"/>
          <w:w w:val="100"/>
          <w:kern w:val="2"/>
          <w:sz w:val="24"/>
          <w:szCs w:val="24"/>
          <w:lang w:val="en-US" w:eastAsia="zh-CN" w:bidi="ar-SA"/>
        </w:rPr>
        <w:t>（五）全面深化“互联网+政务服务”工作</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一是落实机房管理工作。</w:t>
      </w:r>
      <w:r>
        <w:rPr>
          <w:rFonts w:hint="eastAsia" w:ascii="宋体" w:hAnsi="宋体" w:eastAsia="宋体" w:cs="宋体"/>
          <w:sz w:val="24"/>
          <w:szCs w:val="24"/>
          <w:lang w:val="en-US" w:eastAsia="zh-CN"/>
        </w:rPr>
        <w:t>将电子政务外网拓展到区、乡、村三级全覆盖，对23个政府部门、6个镇（街道）园、45个村（社区）的电子政务外网互联互通产生的问题进行及时维护，调整了就业专网的移机并线，对退役军人视频会议线路进行改造，并配合区委网信办做好政府办公楼的互联网网络安全。</w:t>
      </w:r>
      <w:r>
        <w:rPr>
          <w:rFonts w:hint="eastAsia" w:ascii="宋体" w:hAnsi="宋体" w:eastAsia="宋体" w:cs="宋体"/>
          <w:b/>
          <w:bCs/>
          <w:sz w:val="24"/>
          <w:szCs w:val="24"/>
          <w:lang w:val="en-US" w:eastAsia="zh-CN"/>
        </w:rPr>
        <w:t>二是深化“一网通办”。</w:t>
      </w:r>
      <w:r>
        <w:rPr>
          <w:rFonts w:hint="eastAsia" w:ascii="宋体" w:hAnsi="宋体" w:eastAsia="宋体" w:cs="宋体"/>
          <w:sz w:val="24"/>
          <w:szCs w:val="24"/>
          <w:lang w:val="en-US" w:eastAsia="zh-CN"/>
        </w:rPr>
        <w:t>调整四级网办事项419项，“新生儿出生一件事”实现“一网通办”。区属各部门、各镇街道、各村社区在一体化平台录入办件11.79万件。</w:t>
      </w:r>
      <w:r>
        <w:rPr>
          <w:rFonts w:hint="eastAsia" w:ascii="宋体" w:hAnsi="宋体" w:eastAsia="宋体" w:cs="宋体"/>
          <w:b/>
          <w:bCs/>
          <w:sz w:val="24"/>
          <w:szCs w:val="24"/>
          <w:lang w:val="en-US" w:eastAsia="zh-CN"/>
        </w:rPr>
        <w:t>三是推进“互联网+监管”、“互联网+监督”工作。</w:t>
      </w:r>
      <w:r>
        <w:rPr>
          <w:rFonts w:hint="eastAsia" w:ascii="宋体" w:hAnsi="宋体" w:eastAsia="宋体" w:cs="宋体"/>
          <w:sz w:val="24"/>
          <w:szCs w:val="24"/>
          <w:lang w:val="en-US" w:eastAsia="zh-CN"/>
        </w:rPr>
        <w:t>要求各执法部门的行政执法数据进行二次录入，其中包含行政检查、行政处罚、行政强制、行政征收等执法行为信息，今年执法案件录入262 件，监管平台登陆的日活跃度、月活跃度排名全市第5名。配合区纪委做好“互联网+监督”工作，对监督平台中全区所有单位用户账号的审批权限进行授权校核，确保平台中权限分配准确有效运行。</w:t>
      </w:r>
      <w:r>
        <w:rPr>
          <w:rFonts w:hint="eastAsia" w:ascii="宋体" w:hAnsi="宋体" w:eastAsia="宋体" w:cs="宋体"/>
          <w:b/>
          <w:bCs/>
          <w:sz w:val="24"/>
          <w:szCs w:val="24"/>
          <w:lang w:val="en-US" w:eastAsia="zh-CN"/>
        </w:rPr>
        <w:t>五是加强对“好差评”、“12345”热线管理。</w:t>
      </w:r>
      <w:r>
        <w:rPr>
          <w:rFonts w:hint="eastAsia" w:ascii="宋体" w:hAnsi="宋体" w:eastAsia="宋体" w:cs="宋体"/>
          <w:sz w:val="24"/>
          <w:szCs w:val="24"/>
          <w:lang w:val="en-US" w:eastAsia="zh-CN"/>
        </w:rPr>
        <w:t>针对</w:t>
      </w:r>
      <w:r>
        <w:rPr>
          <w:rFonts w:hint="eastAsia" w:ascii="宋体" w:hAnsi="宋体" w:eastAsia="宋体" w:cs="宋体"/>
          <w:b w:val="0"/>
          <w:bCs w:val="0"/>
          <w:sz w:val="24"/>
          <w:szCs w:val="24"/>
          <w:lang w:val="en-US" w:eastAsia="zh-CN"/>
        </w:rPr>
        <w:t>评价覆盖率、及时率、好评率、以及评价内容丰富度</w:t>
      </w:r>
      <w:r>
        <w:rPr>
          <w:rFonts w:hint="eastAsia" w:ascii="宋体" w:hAnsi="宋体" w:eastAsia="宋体" w:cs="宋体"/>
          <w:sz w:val="24"/>
          <w:szCs w:val="24"/>
          <w:lang w:val="en-US" w:eastAsia="zh-CN"/>
        </w:rPr>
        <w:t>四个方面提升综合评分</w:t>
      </w:r>
      <w:r>
        <w:rPr>
          <w:rFonts w:hint="eastAsia" w:ascii="宋体" w:hAnsi="宋体" w:eastAsia="宋体" w:cs="宋体"/>
          <w:b w:val="0"/>
          <w:bCs w:val="0"/>
          <w:sz w:val="24"/>
          <w:szCs w:val="24"/>
          <w:lang w:val="en-US" w:eastAsia="zh-CN"/>
        </w:rPr>
        <w:t>，“12345”政务服务热线1-10月共受理3762件工单，群众满意率为三区第一，平均为97.66%。建</w:t>
      </w:r>
      <w:r>
        <w:rPr>
          <w:rFonts w:hint="eastAsia" w:ascii="宋体" w:hAnsi="宋体" w:eastAsia="宋体" w:cs="宋体"/>
          <w:sz w:val="24"/>
          <w:szCs w:val="24"/>
          <w:lang w:val="en-US" w:eastAsia="zh-CN"/>
        </w:rPr>
        <w:t>立“镇（村）吹哨、部门报到”工作机制。在全区建立“镇（村）吹哨、部门报到”区、镇、村三级联动的工作机制，依托“12345”政务服务热线平台，促进镇（街道）与各职能部门联动解决群众咨询、投诉及基层民生问题。设立《北塔区12345热线助企纾困解民忧工作机制》，拟通过区长研判推动解决事关全区重点民生、企业发展、项目建设中的困难问题，12345热线调度中心已布置完成。</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sz w:val="21"/>
          <w:szCs w:val="21"/>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281" w:firstLineChars="100"/>
        <w:textAlignment w:val="auto"/>
        <w:rPr>
          <w:rFonts w:hint="eastAsia" w:ascii="宋体" w:hAnsi="宋体" w:eastAsia="宋体" w:cs="宋体"/>
          <w:b/>
          <w:bCs/>
          <w:i w:val="0"/>
          <w:iCs w:val="0"/>
          <w:caps w:val="0"/>
          <w:color w:val="auto"/>
          <w:spacing w:val="0"/>
          <w:sz w:val="28"/>
          <w:szCs w:val="28"/>
          <w:shd w:val="clear" w:fill="FFFFFF"/>
        </w:rPr>
      </w:pPr>
      <w:r>
        <w:rPr>
          <w:rFonts w:hint="eastAsia" w:ascii="宋体" w:hAnsi="宋体" w:eastAsia="宋体" w:cs="宋体"/>
          <w:b/>
          <w:bCs/>
          <w:i w:val="0"/>
          <w:iCs w:val="0"/>
          <w:caps w:val="0"/>
          <w:color w:val="auto"/>
          <w:spacing w:val="0"/>
          <w:sz w:val="28"/>
          <w:szCs w:val="28"/>
          <w:shd w:val="clear" w:fill="FFFFFF"/>
          <w:lang w:val="en-US" w:eastAsia="zh-CN"/>
        </w:rPr>
        <w:t>七、</w:t>
      </w:r>
      <w:r>
        <w:rPr>
          <w:rFonts w:hint="eastAsia" w:ascii="宋体" w:hAnsi="宋体" w:eastAsia="宋体" w:cs="宋体"/>
          <w:b/>
          <w:bCs/>
          <w:i w:val="0"/>
          <w:iCs w:val="0"/>
          <w:caps w:val="0"/>
          <w:color w:val="auto"/>
          <w:spacing w:val="0"/>
          <w:sz w:val="28"/>
          <w:szCs w:val="28"/>
          <w:shd w:val="clear" w:fill="FFFFFF"/>
        </w:rPr>
        <w:t>存在的问题及原因分析</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1.对绩效评价工作的重要性认识有待进一步提高。</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80" w:firstLineChars="200"/>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4"/>
          <w:szCs w:val="24"/>
          <w:shd w:val="clear" w:fill="FFFFFF"/>
        </w:rPr>
        <w:t>2.部门支出绩效评价指标体系不完善，给考核评价及评分工作带来一定的困难。</w:t>
      </w:r>
    </w:p>
    <w:p>
      <w:pPr>
        <w:pStyle w:val="9"/>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420" w:leftChars="0" w:right="0" w:firstLine="0" w:firstLineChars="0"/>
        <w:textAlignment w:val="auto"/>
        <w:rPr>
          <w:rFonts w:hint="eastAsia" w:ascii="宋体" w:hAnsi="宋体" w:eastAsia="宋体" w:cs="宋体"/>
          <w:b/>
          <w:bCs/>
          <w:i w:val="0"/>
          <w:iCs w:val="0"/>
          <w:caps w:val="0"/>
          <w:color w:val="auto"/>
          <w:spacing w:val="0"/>
          <w:sz w:val="28"/>
          <w:szCs w:val="28"/>
          <w:shd w:val="clear" w:fill="FFFFFF"/>
        </w:rPr>
      </w:pPr>
      <w:r>
        <w:rPr>
          <w:rFonts w:hint="eastAsia" w:ascii="宋体" w:hAnsi="宋体" w:eastAsia="宋体" w:cs="宋体"/>
          <w:b/>
          <w:bCs/>
          <w:i w:val="0"/>
          <w:iCs w:val="0"/>
          <w:caps w:val="0"/>
          <w:color w:val="auto"/>
          <w:spacing w:val="0"/>
          <w:sz w:val="28"/>
          <w:szCs w:val="28"/>
          <w:shd w:val="clear" w:fill="FFFFFF"/>
        </w:rPr>
        <w:t>下一步改进措施</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一是完善体制机制，切实强化制度保障。结合部门实际，制定了财务管理相关制度，为进一步规范专项资金管理提供了有力依据。</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二是规范资金管理，做到专款专用。根据财务管理相关规定，结合部门业务工作，严格审批每一笔专项资金支出，坚决杜绝滞留、截留、挤占、挪用虚列支出等现象发生。</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三是明确目标，细化责任。根据资金用途和项目的目标任务，将具体任务落实到相关股室，责任到人。</w:t>
      </w:r>
    </w:p>
    <w:p>
      <w:pPr>
        <w:pStyle w:val="9"/>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420" w:leftChars="0" w:right="0" w:firstLine="0" w:firstLineChars="0"/>
        <w:textAlignment w:val="auto"/>
        <w:rPr>
          <w:rFonts w:hint="eastAsia" w:ascii="宋体" w:hAnsi="宋体" w:eastAsia="宋体" w:cs="宋体"/>
          <w:b/>
          <w:bCs/>
          <w:i w:val="0"/>
          <w:iCs w:val="0"/>
          <w:caps w:val="0"/>
          <w:color w:val="auto"/>
          <w:spacing w:val="0"/>
          <w:sz w:val="28"/>
          <w:szCs w:val="28"/>
          <w:shd w:val="clear" w:fill="FFFFFF"/>
        </w:rPr>
      </w:pPr>
      <w:r>
        <w:rPr>
          <w:rFonts w:hint="eastAsia" w:ascii="宋体" w:hAnsi="宋体" w:eastAsia="宋体" w:cs="宋体"/>
          <w:b/>
          <w:bCs/>
          <w:i w:val="0"/>
          <w:iCs w:val="0"/>
          <w:caps w:val="0"/>
          <w:color w:val="auto"/>
          <w:spacing w:val="0"/>
          <w:sz w:val="28"/>
          <w:szCs w:val="28"/>
          <w:shd w:val="clear" w:fill="FFFFFF"/>
        </w:rPr>
        <w:t>其他需要说明的情况</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560" w:firstLineChars="200"/>
        <w:textAlignment w:val="auto"/>
        <w:rPr>
          <w:rFonts w:hint="default" w:ascii="Times New Roman" w:hAnsi="Times New Roman" w:cs="Times New Roman"/>
          <w:i w:val="0"/>
          <w:iCs w:val="0"/>
          <w:caps w:val="0"/>
          <w:color w:val="000000"/>
          <w:spacing w:val="0"/>
          <w:sz w:val="40"/>
          <w:szCs w:val="40"/>
        </w:rPr>
      </w:pPr>
      <w:r>
        <w:rPr>
          <w:rFonts w:hint="eastAsia" w:ascii="宋体" w:hAnsi="宋体" w:eastAsia="宋体" w:cs="宋体"/>
          <w:i w:val="0"/>
          <w:iCs w:val="0"/>
          <w:caps w:val="0"/>
          <w:color w:val="000000"/>
          <w:spacing w:val="0"/>
          <w:sz w:val="28"/>
          <w:szCs w:val="28"/>
          <w:shd w:val="clear" w:fill="FFFFFF"/>
          <w:lang w:eastAsia="zh-CN"/>
        </w:rPr>
        <w:t>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rPr>
        <w:t>附件：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560" w:firstLineChars="200"/>
        <w:jc w:val="left"/>
        <w:textAlignment w:val="auto"/>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lang w:val="en-US" w:eastAsia="zh-CN"/>
        </w:rPr>
        <w:t>1.</w:t>
      </w:r>
      <w:r>
        <w:rPr>
          <w:rFonts w:hint="eastAsia" w:ascii="宋体" w:hAnsi="宋体" w:eastAsia="宋体" w:cs="宋体"/>
          <w:i w:val="0"/>
          <w:iCs w:val="0"/>
          <w:caps w:val="0"/>
          <w:color w:val="000000"/>
          <w:spacing w:val="0"/>
          <w:sz w:val="28"/>
          <w:szCs w:val="28"/>
          <w:shd w:val="clear" w:fill="FFFFFF"/>
        </w:rPr>
        <w:t>部门整体支出绩效评价基础数据表</w:t>
      </w:r>
      <w:r>
        <w:rPr>
          <w:rFonts w:hint="eastAsia" w:ascii="宋体" w:hAnsi="宋体" w:eastAsia="宋体" w:cs="宋体"/>
          <w:i w:val="0"/>
          <w:iCs w:val="0"/>
          <w:caps w:val="0"/>
          <w:color w:val="000000"/>
          <w:spacing w:val="0"/>
          <w:sz w:val="28"/>
          <w:szCs w:val="28"/>
          <w:shd w:val="clear" w:fill="FFFFFF"/>
          <w:lang w:val="en-US" w:eastAsia="zh-CN"/>
        </w:rPr>
        <w:t xml:space="preserve">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560" w:firstLineChars="200"/>
        <w:jc w:val="left"/>
        <w:textAlignment w:val="auto"/>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shd w:val="clear" w:fill="FFFFFF"/>
          <w:lang w:val="en-US" w:eastAsia="zh-CN"/>
        </w:rPr>
        <w:t>2.</w:t>
      </w:r>
      <w:r>
        <w:rPr>
          <w:rFonts w:hint="eastAsia" w:ascii="宋体" w:hAnsi="宋体" w:eastAsia="宋体" w:cs="宋体"/>
          <w:i w:val="0"/>
          <w:iCs w:val="0"/>
          <w:caps w:val="0"/>
          <w:color w:val="000000"/>
          <w:spacing w:val="0"/>
          <w:sz w:val="28"/>
          <w:szCs w:val="28"/>
          <w:shd w:val="clear" w:fill="FFFFFF"/>
        </w:rPr>
        <w:t>部门整体支出绩效自评表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 xml:space="preserve">附件1-1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 </w:t>
      </w:r>
      <w:r>
        <w:rPr>
          <w:rFonts w:hint="eastAsia" w:ascii="微软雅黑" w:hAnsi="微软雅黑" w:eastAsia="微软雅黑" w:cs="微软雅黑"/>
          <w:i w:val="0"/>
          <w:iCs w:val="0"/>
          <w:caps w:val="0"/>
          <w:color w:val="000000"/>
          <w:spacing w:val="0"/>
          <w:sz w:val="24"/>
          <w:szCs w:val="24"/>
          <w:shd w:val="clear" w:fill="FFFFFF"/>
        </w:rPr>
        <w:t xml:space="preserve">    </w:t>
      </w:r>
      <w:r>
        <w:rPr>
          <w:rFonts w:hint="eastAsia" w:ascii="方正小标宋简体" w:hAnsi="方正小标宋简体" w:eastAsia="方正小标宋简体" w:cs="方正小标宋简体"/>
          <w:color w:val="000000"/>
          <w:kern w:val="0"/>
          <w:sz w:val="44"/>
          <w:szCs w:val="44"/>
          <w:lang w:val="en-US" w:eastAsia="zh-CN"/>
        </w:rPr>
        <w:t>部门整体支出绩效评价基础数据表</w:t>
      </w:r>
    </w:p>
    <w:p>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 xml:space="preserve">填报单位：                                        </w:t>
      </w:r>
    </w:p>
    <w:tbl>
      <w:tblPr>
        <w:tblStyle w:val="1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年实际在职人数</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54" w:type="dxa"/>
            <w:vMerge w:val="continue"/>
            <w:vAlign w:val="center"/>
          </w:tcPr>
          <w:p>
            <w:pPr>
              <w:widowControl/>
              <w:jc w:val="left"/>
              <w:rPr>
                <w:rFonts w:hint="eastAsia" w:ascii="仿宋" w:hAnsi="仿宋" w:eastAsia="仿宋" w:cs="仿宋"/>
                <w:b w:val="0"/>
                <w:bCs w:val="0"/>
                <w:kern w:val="0"/>
                <w:sz w:val="20"/>
                <w:szCs w:val="20"/>
              </w:rPr>
            </w:pPr>
          </w:p>
        </w:tc>
        <w:tc>
          <w:tcPr>
            <w:tcW w:w="2038"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8</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7</w:t>
            </w:r>
            <w:r>
              <w:rPr>
                <w:rFonts w:hint="eastAsia" w:ascii="仿宋" w:hAnsi="仿宋" w:eastAsia="仿宋" w:cs="仿宋"/>
                <w:b w:val="0"/>
                <w:bCs w:val="0"/>
                <w:kern w:val="0"/>
                <w:sz w:val="20"/>
                <w:szCs w:val="20"/>
              </w:rPr>
              <w:t>　</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87.50%</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22</w:t>
            </w:r>
            <w:r>
              <w:rPr>
                <w:rFonts w:hint="eastAsia" w:ascii="仿宋" w:hAnsi="仿宋" w:eastAsia="仿宋" w:cs="仿宋"/>
                <w:b w:val="0"/>
                <w:bCs w:val="0"/>
                <w:kern w:val="0"/>
                <w:sz w:val="20"/>
                <w:szCs w:val="20"/>
              </w:rPr>
              <w:t>年决算数</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年预算数</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0.68</w:t>
            </w:r>
            <w:r>
              <w:rPr>
                <w:rFonts w:hint="eastAsia" w:ascii="仿宋" w:hAnsi="仿宋" w:eastAsia="仿宋" w:cs="仿宋"/>
                <w:b w:val="0"/>
                <w:bCs w:val="0"/>
                <w:kern w:val="0"/>
                <w:sz w:val="20"/>
                <w:szCs w:val="20"/>
              </w:rPr>
              <w:t>　</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0.68</w:t>
            </w:r>
            <w:r>
              <w:rPr>
                <w:rFonts w:hint="eastAsia" w:ascii="仿宋" w:hAnsi="仿宋" w:eastAsia="仿宋" w:cs="仿宋"/>
                <w:b w:val="0"/>
                <w:bCs w:val="0"/>
                <w:kern w:val="0"/>
                <w:sz w:val="20"/>
                <w:szCs w:val="20"/>
              </w:rPr>
              <w:t>　</w:t>
            </w:r>
          </w:p>
        </w:tc>
        <w:tc>
          <w:tcPr>
            <w:tcW w:w="1832"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2038" w:type="dxa"/>
            <w:gridSpan w:val="2"/>
            <w:vAlign w:val="center"/>
          </w:tcPr>
          <w:p>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196.14</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164.50</w:t>
            </w:r>
            <w:r>
              <w:rPr>
                <w:rFonts w:hint="eastAsia" w:ascii="仿宋" w:hAnsi="仿宋" w:eastAsia="仿宋" w:cs="仿宋"/>
                <w:b w:val="0"/>
                <w:bCs w:val="0"/>
                <w:kern w:val="0"/>
                <w:sz w:val="20"/>
                <w:szCs w:val="20"/>
              </w:rPr>
              <w:t>　</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112.27</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1、业务工作经费</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196.14</w:t>
            </w: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164.50</w:t>
            </w:r>
            <w:r>
              <w:rPr>
                <w:rFonts w:hint="eastAsia" w:ascii="仿宋" w:hAnsi="仿宋" w:eastAsia="仿宋" w:cs="仿宋"/>
                <w:b w:val="0"/>
                <w:bCs w:val="0"/>
                <w:kern w:val="0"/>
                <w:sz w:val="20"/>
                <w:szCs w:val="20"/>
              </w:rPr>
              <w:t>　</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112.27</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2、运行维护经费</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w:t>
            </w:r>
            <w:r>
              <w:rPr>
                <w:rFonts w:hint="eastAsia" w:ascii="仿宋" w:hAnsi="仿宋" w:eastAsia="仿宋" w:cs="仿宋"/>
                <w:b w:val="0"/>
                <w:bCs w:val="0"/>
                <w:kern w:val="0"/>
                <w:sz w:val="20"/>
                <w:szCs w:val="20"/>
                <w:lang w:val="en-US" w:eastAsia="zh-CN"/>
              </w:rPr>
              <w:t>市级</w:t>
            </w:r>
            <w:r>
              <w:rPr>
                <w:rFonts w:hint="eastAsia" w:ascii="仿宋" w:hAnsi="仿宋" w:eastAsia="仿宋" w:cs="仿宋"/>
                <w:b w:val="0"/>
                <w:bCs w:val="0"/>
                <w:kern w:val="0"/>
                <w:sz w:val="20"/>
                <w:szCs w:val="20"/>
              </w:rPr>
              <w:t>专项资金</w:t>
            </w:r>
          </w:p>
          <w:p>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（一个专项一行）</w:t>
            </w:r>
          </w:p>
        </w:tc>
        <w:tc>
          <w:tcPr>
            <w:tcW w:w="2038" w:type="dxa"/>
            <w:gridSpan w:val="2"/>
            <w:vAlign w:val="center"/>
          </w:tcPr>
          <w:p>
            <w:pPr>
              <w:widowControl/>
              <w:jc w:val="center"/>
              <w:rPr>
                <w:rFonts w:hint="eastAsia" w:ascii="仿宋" w:hAnsi="仿宋" w:eastAsia="仿宋" w:cs="仿宋"/>
                <w:b w:val="0"/>
                <w:bCs w:val="0"/>
                <w:kern w:val="0"/>
                <w:sz w:val="20"/>
                <w:szCs w:val="20"/>
              </w:rPr>
            </w:pPr>
          </w:p>
        </w:tc>
        <w:tc>
          <w:tcPr>
            <w:tcW w:w="2240" w:type="dxa"/>
            <w:gridSpan w:val="2"/>
            <w:vAlign w:val="center"/>
          </w:tcPr>
          <w:p>
            <w:pPr>
              <w:widowControl/>
              <w:jc w:val="center"/>
              <w:rPr>
                <w:rFonts w:hint="eastAsia" w:ascii="仿宋" w:hAnsi="仿宋" w:eastAsia="仿宋" w:cs="仿宋"/>
                <w:b w:val="0"/>
                <w:bCs w:val="0"/>
                <w:kern w:val="0"/>
                <w:sz w:val="20"/>
                <w:szCs w:val="20"/>
              </w:rPr>
            </w:pPr>
          </w:p>
        </w:tc>
        <w:tc>
          <w:tcPr>
            <w:tcW w:w="1832" w:type="dxa"/>
            <w:gridSpan w:val="2"/>
            <w:vAlign w:val="center"/>
          </w:tcPr>
          <w:p>
            <w:pPr>
              <w:widowControl/>
              <w:jc w:val="center"/>
              <w:rPr>
                <w:rFonts w:hint="eastAsia" w:ascii="仿宋" w:hAnsi="仿宋" w:eastAsia="仿宋" w:cs="仿宋"/>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4、其他事业类发展资金</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038" w:type="dxa"/>
            <w:gridSpan w:val="2"/>
            <w:vAlign w:val="center"/>
          </w:tcPr>
          <w:p>
            <w:pPr>
              <w:widowControl/>
              <w:jc w:val="center"/>
              <w:rPr>
                <w:rFonts w:hint="eastAsia" w:ascii="仿宋" w:hAnsi="仿宋" w:eastAsia="仿宋" w:cs="仿宋"/>
                <w:b w:val="0"/>
                <w:bCs w:val="0"/>
                <w:kern w:val="0"/>
                <w:sz w:val="20"/>
                <w:szCs w:val="20"/>
              </w:rPr>
            </w:pPr>
          </w:p>
        </w:tc>
        <w:tc>
          <w:tcPr>
            <w:tcW w:w="2240" w:type="dxa"/>
            <w:gridSpan w:val="2"/>
            <w:vAlign w:val="center"/>
          </w:tcPr>
          <w:p>
            <w:pPr>
              <w:widowControl/>
              <w:jc w:val="center"/>
              <w:rPr>
                <w:rFonts w:hint="eastAsia" w:ascii="仿宋" w:hAnsi="仿宋" w:eastAsia="仿宋" w:cs="仿宋"/>
                <w:b w:val="0"/>
                <w:bCs w:val="0"/>
                <w:kern w:val="0"/>
                <w:sz w:val="20"/>
                <w:szCs w:val="20"/>
              </w:rPr>
            </w:pPr>
          </w:p>
        </w:tc>
        <w:tc>
          <w:tcPr>
            <w:tcW w:w="1832" w:type="dxa"/>
            <w:gridSpan w:val="2"/>
            <w:vAlign w:val="center"/>
          </w:tcPr>
          <w:p>
            <w:pPr>
              <w:widowControl/>
              <w:jc w:val="center"/>
              <w:rPr>
                <w:rFonts w:hint="eastAsia" w:ascii="仿宋" w:hAnsi="仿宋" w:eastAsia="仿宋" w:cs="仿宋"/>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124.42</w:t>
            </w: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9.50</w:t>
            </w:r>
            <w:r>
              <w:rPr>
                <w:rFonts w:hint="eastAsia" w:ascii="仿宋" w:hAnsi="仿宋" w:eastAsia="仿宋" w:cs="仿宋"/>
                <w:b w:val="0"/>
                <w:bCs w:val="0"/>
                <w:kern w:val="0"/>
                <w:sz w:val="20"/>
                <w:szCs w:val="20"/>
              </w:rPr>
              <w:t>　</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271.15</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2038" w:type="dxa"/>
            <w:gridSpan w:val="2"/>
            <w:vAlign w:val="center"/>
          </w:tcPr>
          <w:p>
            <w:pPr>
              <w:widowControl/>
              <w:jc w:val="center"/>
              <w:rPr>
                <w:rFonts w:hint="default"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rPr>
              <w:t>　</w:t>
            </w:r>
            <w:r>
              <w:rPr>
                <w:rFonts w:hint="eastAsia" w:ascii="仿宋" w:hAnsi="仿宋" w:eastAsia="仿宋" w:cs="仿宋"/>
                <w:b w:val="0"/>
                <w:bCs w:val="0"/>
                <w:color w:val="auto"/>
                <w:kern w:val="0"/>
                <w:sz w:val="20"/>
                <w:szCs w:val="20"/>
                <w:lang w:val="en-US" w:eastAsia="zh-CN"/>
              </w:rPr>
              <w:t>3.56</w:t>
            </w:r>
          </w:p>
        </w:tc>
        <w:tc>
          <w:tcPr>
            <w:tcW w:w="2240" w:type="dxa"/>
            <w:gridSpan w:val="2"/>
            <w:vAlign w:val="center"/>
          </w:tcPr>
          <w:p>
            <w:pPr>
              <w:widowControl/>
              <w:jc w:val="center"/>
              <w:rPr>
                <w:rFonts w:hint="eastAsia"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rPr>
              <w:t>　</w:t>
            </w:r>
            <w:r>
              <w:rPr>
                <w:rFonts w:hint="eastAsia" w:ascii="仿宋" w:hAnsi="仿宋" w:eastAsia="仿宋" w:cs="仿宋"/>
                <w:b w:val="0"/>
                <w:bCs w:val="0"/>
                <w:color w:val="auto"/>
                <w:kern w:val="0"/>
                <w:sz w:val="20"/>
                <w:szCs w:val="20"/>
                <w:lang w:val="en-US" w:eastAsia="zh-CN"/>
              </w:rPr>
              <w:t>2</w:t>
            </w:r>
          </w:p>
        </w:tc>
        <w:tc>
          <w:tcPr>
            <w:tcW w:w="1832" w:type="dxa"/>
            <w:gridSpan w:val="2"/>
            <w:vAlign w:val="center"/>
          </w:tcPr>
          <w:p>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7.68</w:t>
            </w:r>
            <w:r>
              <w:rPr>
                <w:rFonts w:hint="eastAsia" w:ascii="仿宋" w:hAnsi="仿宋" w:eastAsia="仿宋" w:cs="仿宋"/>
                <w:b w:val="0"/>
                <w:bCs w:val="0"/>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水费、电费、差旅费</w:t>
            </w:r>
          </w:p>
        </w:tc>
        <w:tc>
          <w:tcPr>
            <w:tcW w:w="2038" w:type="dxa"/>
            <w:gridSpan w:val="2"/>
            <w:vAlign w:val="center"/>
          </w:tcPr>
          <w:p>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w:t>
            </w:r>
            <w:r>
              <w:rPr>
                <w:rFonts w:hint="eastAsia" w:ascii="仿宋" w:hAnsi="仿宋" w:eastAsia="仿宋" w:cs="仿宋"/>
                <w:b w:val="0"/>
                <w:bCs w:val="0"/>
                <w:color w:val="auto"/>
                <w:kern w:val="0"/>
                <w:sz w:val="20"/>
                <w:szCs w:val="20"/>
              </w:rPr>
              <w:t>　</w:t>
            </w:r>
          </w:p>
        </w:tc>
        <w:tc>
          <w:tcPr>
            <w:tcW w:w="2240" w:type="dxa"/>
            <w:gridSpan w:val="2"/>
            <w:vAlign w:val="center"/>
          </w:tcPr>
          <w:p>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w:t>
            </w:r>
            <w:r>
              <w:rPr>
                <w:rFonts w:hint="eastAsia" w:ascii="仿宋" w:hAnsi="仿宋" w:eastAsia="仿宋" w:cs="仿宋"/>
                <w:b w:val="0"/>
                <w:bCs w:val="0"/>
                <w:color w:val="auto"/>
                <w:kern w:val="0"/>
                <w:sz w:val="20"/>
                <w:szCs w:val="20"/>
              </w:rPr>
              <w:t>　</w:t>
            </w:r>
          </w:p>
        </w:tc>
        <w:tc>
          <w:tcPr>
            <w:tcW w:w="1832" w:type="dxa"/>
            <w:gridSpan w:val="2"/>
            <w:vAlign w:val="center"/>
          </w:tcPr>
          <w:p>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1.37</w:t>
            </w:r>
            <w:r>
              <w:rPr>
                <w:rFonts w:hint="eastAsia" w:ascii="仿宋" w:hAnsi="仿宋" w:eastAsia="仿宋" w:cs="仿宋"/>
                <w:b w:val="0"/>
                <w:bCs w:val="0"/>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会议费、培训费</w:t>
            </w:r>
          </w:p>
        </w:tc>
        <w:tc>
          <w:tcPr>
            <w:tcW w:w="2038" w:type="dxa"/>
            <w:gridSpan w:val="2"/>
            <w:vAlign w:val="center"/>
          </w:tcPr>
          <w:p>
            <w:pPr>
              <w:widowControl/>
              <w:jc w:val="center"/>
              <w:rPr>
                <w:rFonts w:hint="eastAsia"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rPr>
              <w:t>　</w:t>
            </w:r>
            <w:r>
              <w:rPr>
                <w:rFonts w:hint="eastAsia" w:ascii="仿宋" w:hAnsi="仿宋" w:eastAsia="仿宋" w:cs="仿宋"/>
                <w:b w:val="0"/>
                <w:bCs w:val="0"/>
                <w:color w:val="auto"/>
                <w:kern w:val="0"/>
                <w:sz w:val="20"/>
                <w:szCs w:val="20"/>
                <w:lang w:val="en-US" w:eastAsia="zh-CN"/>
              </w:rPr>
              <w:t>0</w:t>
            </w:r>
          </w:p>
        </w:tc>
        <w:tc>
          <w:tcPr>
            <w:tcW w:w="2240" w:type="dxa"/>
            <w:gridSpan w:val="2"/>
            <w:vAlign w:val="center"/>
          </w:tcPr>
          <w:p>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w:t>
            </w:r>
            <w:r>
              <w:rPr>
                <w:rFonts w:hint="eastAsia" w:ascii="仿宋" w:hAnsi="仿宋" w:eastAsia="仿宋" w:cs="仿宋"/>
                <w:b w:val="0"/>
                <w:bCs w:val="0"/>
                <w:color w:val="auto"/>
                <w:kern w:val="0"/>
                <w:sz w:val="20"/>
                <w:szCs w:val="20"/>
              </w:rPr>
              <w:t>　</w:t>
            </w:r>
          </w:p>
        </w:tc>
        <w:tc>
          <w:tcPr>
            <w:tcW w:w="1832" w:type="dxa"/>
            <w:gridSpan w:val="2"/>
            <w:vAlign w:val="center"/>
          </w:tcPr>
          <w:p>
            <w:pPr>
              <w:widowControl/>
              <w:jc w:val="center"/>
              <w:rPr>
                <w:rFonts w:hint="eastAsia"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rPr>
              <w:t>　</w:t>
            </w:r>
            <w:r>
              <w:rPr>
                <w:rFonts w:hint="eastAsia" w:ascii="仿宋" w:hAnsi="仿宋" w:eastAsia="仿宋" w:cs="仿宋"/>
                <w:b w:val="0"/>
                <w:bCs w:val="0"/>
                <w:color w:val="auto"/>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vAlign w:val="center"/>
          </w:tcPr>
          <w:p>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168.02</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275.14</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楼堂馆所控制情况</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22</w:t>
            </w:r>
            <w:r>
              <w:rPr>
                <w:rFonts w:hint="eastAsia" w:ascii="仿宋" w:hAnsi="仿宋" w:eastAsia="仿宋" w:cs="仿宋"/>
                <w:b w:val="0"/>
                <w:bCs w:val="0"/>
                <w:kern w:val="0"/>
                <w:sz w:val="20"/>
                <w:szCs w:val="20"/>
              </w:rPr>
              <w:t>年完工项目）</w:t>
            </w:r>
          </w:p>
        </w:tc>
        <w:tc>
          <w:tcPr>
            <w:tcW w:w="1189" w:type="dxa"/>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批复规模</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w:t>
            </w:r>
          </w:p>
        </w:tc>
        <w:tc>
          <w:tcPr>
            <w:tcW w:w="849" w:type="dxa"/>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11" w:type="dxa"/>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vAlign w:val="center"/>
          </w:tcPr>
          <w:p>
            <w:pPr>
              <w:widowControl/>
              <w:jc w:val="left"/>
              <w:rPr>
                <w:rFonts w:hint="eastAsia" w:ascii="仿宋" w:hAnsi="仿宋" w:eastAsia="仿宋" w:cs="仿宋"/>
                <w:b w:val="0"/>
                <w:bCs w:val="0"/>
                <w:kern w:val="0"/>
                <w:sz w:val="20"/>
                <w:szCs w:val="20"/>
              </w:rPr>
            </w:pPr>
          </w:p>
        </w:tc>
        <w:tc>
          <w:tcPr>
            <w:tcW w:w="1189" w:type="dxa"/>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849"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129"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111"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969"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863"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6110" w:type="dxa"/>
            <w:gridSpan w:val="6"/>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1.严格控制公务接待。公务接待严格按照标准实行工作餐，严格控制陪餐次数和陪餐人数。</w:t>
            </w:r>
          </w:p>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2.严格控制会议经费支出。从严控制会议数量和规模，提倡少开会、开短会、合并开会，切实提高会议效率。</w:t>
            </w:r>
          </w:p>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3.严格控制后勤保障成本。办公时严格做到节电、节油、节水。　</w:t>
            </w:r>
          </w:p>
        </w:tc>
      </w:tr>
    </w:tbl>
    <w:p>
      <w:pPr>
        <w:pStyle w:val="13"/>
        <w:keepNext/>
        <w:keepLines/>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t>附件1-2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整体支出绩效自评表</w:t>
      </w:r>
    </w:p>
    <w:tbl>
      <w:tblPr>
        <w:tblStyle w:val="11"/>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176"/>
        <w:gridCol w:w="1128"/>
        <w:gridCol w:w="998"/>
        <w:gridCol w:w="95"/>
        <w:gridCol w:w="1200"/>
        <w:gridCol w:w="1134"/>
        <w:gridCol w:w="709"/>
        <w:gridCol w:w="460"/>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val="en-US" w:eastAsia="zh-CN"/>
              </w:rPr>
              <w:t>单位</w:t>
            </w:r>
            <w:r>
              <w:rPr>
                <w:rFonts w:hint="eastAsia" w:ascii="仿宋" w:hAnsi="仿宋" w:eastAsia="仿宋" w:cs="仿宋"/>
                <w:color w:val="000000"/>
                <w:kern w:val="0"/>
                <w:sz w:val="20"/>
                <w:szCs w:val="20"/>
              </w:rPr>
              <w:t>名称</w:t>
            </w:r>
          </w:p>
        </w:tc>
        <w:tc>
          <w:tcPr>
            <w:tcW w:w="8093" w:type="dxa"/>
            <w:gridSpan w:val="9"/>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邵阳市北塔区行政审批服务局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算申请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304"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c>
          <w:tcPr>
            <w:tcW w:w="99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1295"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2304"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99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251.41</w:t>
            </w:r>
          </w:p>
        </w:tc>
        <w:tc>
          <w:tcPr>
            <w:tcW w:w="1295"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484.14</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484.14</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10</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100%</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49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xml:space="preserve">  其中：  一般公共预算：</w:t>
            </w:r>
            <w:r>
              <w:rPr>
                <w:rFonts w:hint="eastAsia" w:ascii="仿宋" w:hAnsi="仿宋" w:eastAsia="仿宋" w:cs="仿宋"/>
                <w:color w:val="000000"/>
                <w:kern w:val="0"/>
                <w:sz w:val="20"/>
                <w:szCs w:val="20"/>
                <w:lang w:val="en-US" w:eastAsia="zh-CN"/>
              </w:rPr>
              <w:t>484.14</w:t>
            </w:r>
          </w:p>
        </w:tc>
        <w:tc>
          <w:tcPr>
            <w:tcW w:w="349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其中：基本支出：</w:t>
            </w:r>
            <w:r>
              <w:rPr>
                <w:rFonts w:hint="eastAsia" w:ascii="仿宋" w:hAnsi="仿宋" w:eastAsia="仿宋" w:cs="仿宋"/>
                <w:color w:val="000000"/>
                <w:kern w:val="0"/>
                <w:sz w:val="20"/>
                <w:szCs w:val="20"/>
                <w:lang w:val="en-US" w:eastAsia="zh-CN"/>
              </w:rPr>
              <w:t>371.88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政府性基金拨款：</w:t>
            </w:r>
          </w:p>
        </w:tc>
        <w:tc>
          <w:tcPr>
            <w:tcW w:w="349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项目支出：</w:t>
            </w:r>
            <w:r>
              <w:rPr>
                <w:rFonts w:hint="eastAsia" w:ascii="仿宋" w:hAnsi="仿宋" w:eastAsia="仿宋" w:cs="仿宋"/>
                <w:color w:val="000000"/>
                <w:kern w:val="0"/>
                <w:sz w:val="20"/>
                <w:szCs w:val="20"/>
                <w:lang w:val="en-US" w:eastAsia="zh-CN"/>
              </w:rPr>
              <w:t>112.27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纳入专户管理的非税收入拨款：</w:t>
            </w:r>
          </w:p>
        </w:tc>
        <w:tc>
          <w:tcPr>
            <w:tcW w:w="349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ind w:firstLine="1400" w:firstLineChars="7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349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9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49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全面深化“放管服”改革，持续推进“一件事一次办”，大力优化营商政务环境，助力打赢“发展六仗”围绕全省“身在湖南、办事不难”工作目标，打造“全域容易办”北塔政务品牌、创新性搭建乡村振兴网上村务公开示范专栏。</w:t>
            </w:r>
          </w:p>
        </w:tc>
        <w:tc>
          <w:tcPr>
            <w:tcW w:w="349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年度总体目标基本达成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6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17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1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193" w:type="dxa"/>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50分)</w:t>
            </w: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湘易办“APP"注册</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5万余人</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≥5万</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网上中介服务超市</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100%入驻</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100%入驻</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12345政务服务热线好评率</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三区第一</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三区第一</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“一件事一次办”</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重点工作办结时间</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2023年年底</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按时完成</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资金使用合规性</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合规</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合规</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r>
              <w:rPr>
                <w:rFonts w:hint="eastAsia" w:ascii="仿宋" w:hAnsi="仿宋" w:eastAsia="仿宋" w:cs="仿宋"/>
                <w:color w:val="000000"/>
                <w:kern w:val="0"/>
                <w:sz w:val="20"/>
                <w:szCs w:val="20"/>
                <w:lang w:val="en-US" w:eastAsia="zh-CN"/>
              </w:rPr>
              <w:t>0</w:t>
            </w:r>
            <w:r>
              <w:rPr>
                <w:rFonts w:hint="eastAsia" w:ascii="仿宋" w:hAnsi="仿宋" w:eastAsia="仿宋" w:cs="仿宋"/>
                <w:color w:val="000000"/>
                <w:kern w:val="0"/>
                <w:sz w:val="20"/>
                <w:szCs w:val="20"/>
              </w:rPr>
              <w:t>分）</w:t>
            </w: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优化资源，提高财政资金使用效益</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逐步提高</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逐步提高</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9</w:t>
            </w:r>
            <w:r>
              <w:rPr>
                <w:rFonts w:hint="eastAsia" w:ascii="仿宋" w:hAnsi="仿宋" w:eastAsia="仿宋" w:cs="仿宋"/>
                <w:color w:val="000000"/>
                <w:kern w:val="0"/>
                <w:sz w:val="20"/>
                <w:szCs w:val="20"/>
              </w:rPr>
              <w:t>　</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政府机关工作效率提升程度持续提高</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成效明显</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成效明显</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不断提高办事便利度</w:t>
            </w:r>
            <w:r>
              <w:rPr>
                <w:rFonts w:hint="eastAsia" w:ascii="仿宋" w:hAnsi="仿宋" w:eastAsia="仿宋" w:cs="仿宋"/>
                <w:color w:val="000000"/>
                <w:kern w:val="0"/>
                <w:sz w:val="20"/>
                <w:szCs w:val="20"/>
              </w:rPr>
              <w:tab/>
            </w:r>
            <w:r>
              <w:rPr>
                <w:rFonts w:hint="eastAsia" w:ascii="仿宋" w:hAnsi="仿宋" w:eastAsia="仿宋" w:cs="仿宋"/>
                <w:color w:val="000000"/>
                <w:kern w:val="0"/>
                <w:sz w:val="20"/>
                <w:szCs w:val="20"/>
              </w:rPr>
              <w:tab/>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可持续</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可持续</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（10分）</w:t>
            </w: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0" w:type="dxa"/>
            <w:gridSpan w:val="7"/>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4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bookmarkStart w:id="0" w:name="_GoBack"/>
            <w:r>
              <w:rPr>
                <w:rFonts w:hint="eastAsia" w:ascii="仿宋" w:hAnsi="仿宋" w:eastAsia="仿宋" w:cs="仿宋"/>
                <w:color w:val="000000"/>
                <w:kern w:val="0"/>
                <w:sz w:val="20"/>
                <w:szCs w:val="20"/>
                <w:lang w:val="en-US" w:eastAsia="zh-CN"/>
              </w:rPr>
              <w:t>98</w:t>
            </w:r>
            <w:bookmarkEnd w:id="0"/>
          </w:p>
        </w:tc>
        <w:tc>
          <w:tcPr>
            <w:tcW w:w="119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 xml:space="preserve">  联系电话：</w:t>
      </w:r>
      <w:r>
        <w:rPr>
          <w:rFonts w:hint="eastAsia" w:ascii="Times New Roman" w:hAnsi="Times New Roman" w:eastAsia="仿宋_GB2312" w:cs="Times New Roman"/>
          <w:snapToGrid/>
          <w:color w:val="000000"/>
          <w:kern w:val="0"/>
          <w:sz w:val="24"/>
          <w:szCs w:val="24"/>
          <w:lang w:val="en-US" w:eastAsia="zh-CN" w:bidi="ar-SA"/>
        </w:rPr>
        <w:t xml:space="preserve"> </w:t>
      </w:r>
    </w:p>
    <w:p>
      <w:pPr>
        <w:rPr>
          <w:rFonts w:hint="default"/>
          <w:lang w:val="en-US" w:eastAsia="zh-CN"/>
        </w:rPr>
      </w:pPr>
      <w:r>
        <w:rPr>
          <w:rFonts w:hint="default"/>
          <w:lang w:val="en-US" w:eastAsia="zh-CN"/>
        </w:rPr>
        <w:br w:type="page"/>
      </w:r>
    </w:p>
    <w:p>
      <w:pPr>
        <w:rPr>
          <w:rFonts w:hint="default"/>
          <w:lang w:val="en-US" w:eastAsia="zh-CN"/>
        </w:rPr>
      </w:pPr>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1" w:fontKey="{CF5D75D3-8FE0-4EB1-B8B0-64FC437440E4}"/>
  </w:font>
  <w:font w:name="等线">
    <w:panose1 w:val="02010600030101010101"/>
    <w:charset w:val="86"/>
    <w:family w:val="auto"/>
    <w:pitch w:val="default"/>
    <w:sig w:usb0="A00002BF" w:usb1="38CF7CFA" w:usb2="00000016" w:usb3="00000000" w:csb0="0004000F" w:csb1="00000000"/>
    <w:embedRegular r:id="rId2" w:fontKey="{F458CC15-C059-47C3-AE6A-9106EDD32700}"/>
  </w:font>
  <w:font w:name="仿宋">
    <w:panose1 w:val="02010609060101010101"/>
    <w:charset w:val="86"/>
    <w:family w:val="auto"/>
    <w:pitch w:val="default"/>
    <w:sig w:usb0="800002BF" w:usb1="38CF7CFA" w:usb2="00000016" w:usb3="00000000" w:csb0="00040001" w:csb1="00000000"/>
    <w:embedRegular r:id="rId3" w:fontKey="{D875FA4D-0240-4D1E-A4E9-6F7124F836AB}"/>
  </w:font>
  <w:font w:name="方正小标宋简体">
    <w:altName w:val="黑体"/>
    <w:panose1 w:val="03000509000000000000"/>
    <w:charset w:val="86"/>
    <w:family w:val="auto"/>
    <w:pitch w:val="default"/>
    <w:sig w:usb0="00000000" w:usb1="00000000" w:usb2="00000000" w:usb3="00000000" w:csb0="00040000" w:csb1="00000000"/>
    <w:embedRegular r:id="rId4" w:fontKey="{ADC0D3AC-DF2E-4258-B093-59435A92D97F}"/>
  </w:font>
  <w:font w:name="微软雅黑">
    <w:panose1 w:val="020B0503020204020204"/>
    <w:charset w:val="86"/>
    <w:family w:val="auto"/>
    <w:pitch w:val="default"/>
    <w:sig w:usb0="80000287" w:usb1="2ACF3C50" w:usb2="00000016" w:usb3="00000000" w:csb0="0004001F" w:csb1="00000000"/>
    <w:embedRegular r:id="rId5" w:fontKey="{C6E8152A-8D38-4DA4-B627-DCB0D79CAEE5}"/>
  </w:font>
  <w:font w:name="仿宋_GB2312">
    <w:altName w:val="仿宋"/>
    <w:panose1 w:val="02010609030101010101"/>
    <w:charset w:val="86"/>
    <w:family w:val="auto"/>
    <w:pitch w:val="default"/>
    <w:sig w:usb0="00000000" w:usb1="00000000" w:usb2="00000000" w:usb3="00000000" w:csb0="00040000" w:csb1="00000000"/>
    <w:embedRegular r:id="rId6" w:fontKey="{527C739F-1479-4362-B86D-002FDF402373}"/>
  </w:font>
  <w:font w:name="方正仿宋_GB2312">
    <w:altName w:val="仿宋"/>
    <w:panose1 w:val="02000000000000000000"/>
    <w:charset w:val="86"/>
    <w:family w:val="auto"/>
    <w:pitch w:val="default"/>
    <w:sig w:usb0="00000000" w:usb1="00000000" w:usb2="00000012" w:usb3="00000000" w:csb0="00040001" w:csb1="00000000"/>
    <w:embedRegular r:id="rId7" w:fontKey="{BFA18403-78A6-4798-A219-A13464CC8D4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9F606"/>
    <w:multiLevelType w:val="singleLevel"/>
    <w:tmpl w:val="88D9F606"/>
    <w:lvl w:ilvl="0" w:tentative="0">
      <w:start w:val="8"/>
      <w:numFmt w:val="chineseCounting"/>
      <w:suff w:val="nothing"/>
      <w:lvlText w:val="%1、"/>
      <w:lvlJc w:val="left"/>
      <w:pPr>
        <w:ind w:left="420"/>
      </w:pPr>
      <w:rPr>
        <w:rFonts w:hint="eastAsia"/>
      </w:rPr>
    </w:lvl>
  </w:abstractNum>
  <w:abstractNum w:abstractNumId="1">
    <w:nsid w:val="A1467E90"/>
    <w:multiLevelType w:val="singleLevel"/>
    <w:tmpl w:val="A1467E90"/>
    <w:lvl w:ilvl="0" w:tentative="0">
      <w:start w:val="1"/>
      <w:numFmt w:val="chineseCounting"/>
      <w:suff w:val="nothing"/>
      <w:lvlText w:val="（%1）"/>
      <w:lvlJc w:val="left"/>
      <w:pPr>
        <w:ind w:left="640" w:leftChars="0" w:firstLine="0" w:firstLineChars="0"/>
      </w:pPr>
      <w:rPr>
        <w:rFonts w:hint="eastAsia"/>
      </w:rPr>
    </w:lvl>
  </w:abstractNum>
  <w:abstractNum w:abstractNumId="2">
    <w:nsid w:val="DC975E3C"/>
    <w:multiLevelType w:val="singleLevel"/>
    <w:tmpl w:val="DC975E3C"/>
    <w:lvl w:ilvl="0" w:tentative="0">
      <w:start w:val="3"/>
      <w:numFmt w:val="decimal"/>
      <w:suff w:val="nothing"/>
      <w:lvlText w:val="%1、"/>
      <w:lvlJc w:val="left"/>
    </w:lvl>
  </w:abstractNum>
  <w:abstractNum w:abstractNumId="3">
    <w:nsid w:val="540CCF5C"/>
    <w:multiLevelType w:val="singleLevel"/>
    <w:tmpl w:val="540CCF5C"/>
    <w:lvl w:ilvl="0" w:tentative="0">
      <w:start w:val="2"/>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2YWRmNmZmZGFkYWI3ZTEwNjRkOWNjNWViOTQ0NDkifQ=="/>
    <w:docVar w:name="KSO_WPS_MARK_KEY" w:val="9920a277-c0c3-43b4-93d3-1636fe398e0b"/>
  </w:docVars>
  <w:rsids>
    <w:rsidRoot w:val="753C4E9B"/>
    <w:rsid w:val="004075FD"/>
    <w:rsid w:val="00A5177B"/>
    <w:rsid w:val="02347F83"/>
    <w:rsid w:val="027B36CC"/>
    <w:rsid w:val="04B15C44"/>
    <w:rsid w:val="056C5878"/>
    <w:rsid w:val="05E95AA6"/>
    <w:rsid w:val="07032810"/>
    <w:rsid w:val="0A1C3CB4"/>
    <w:rsid w:val="0C4447D8"/>
    <w:rsid w:val="0C923886"/>
    <w:rsid w:val="0D276746"/>
    <w:rsid w:val="0D464D9C"/>
    <w:rsid w:val="0DF46919"/>
    <w:rsid w:val="0E956870"/>
    <w:rsid w:val="0F360E40"/>
    <w:rsid w:val="10CA5CE4"/>
    <w:rsid w:val="1223366A"/>
    <w:rsid w:val="1251756E"/>
    <w:rsid w:val="135A0D1B"/>
    <w:rsid w:val="143877FD"/>
    <w:rsid w:val="15053565"/>
    <w:rsid w:val="15C67A37"/>
    <w:rsid w:val="167209B0"/>
    <w:rsid w:val="172F064F"/>
    <w:rsid w:val="18627970"/>
    <w:rsid w:val="18710338"/>
    <w:rsid w:val="19E805B2"/>
    <w:rsid w:val="1AE37ED2"/>
    <w:rsid w:val="1D9E3226"/>
    <w:rsid w:val="1DC55230"/>
    <w:rsid w:val="1E6C1FAD"/>
    <w:rsid w:val="224445D9"/>
    <w:rsid w:val="262C157C"/>
    <w:rsid w:val="266876DA"/>
    <w:rsid w:val="26802E9E"/>
    <w:rsid w:val="27135897"/>
    <w:rsid w:val="27604855"/>
    <w:rsid w:val="276A3B83"/>
    <w:rsid w:val="277E6F02"/>
    <w:rsid w:val="29990575"/>
    <w:rsid w:val="2B2E2646"/>
    <w:rsid w:val="2D0619FA"/>
    <w:rsid w:val="2E2959A0"/>
    <w:rsid w:val="303D1BD7"/>
    <w:rsid w:val="30603A35"/>
    <w:rsid w:val="30D1056E"/>
    <w:rsid w:val="312A2265"/>
    <w:rsid w:val="32076C53"/>
    <w:rsid w:val="32B165D9"/>
    <w:rsid w:val="34BF55A9"/>
    <w:rsid w:val="3600792F"/>
    <w:rsid w:val="36FC0F5D"/>
    <w:rsid w:val="375773F8"/>
    <w:rsid w:val="37BE35FD"/>
    <w:rsid w:val="388A2C4C"/>
    <w:rsid w:val="3AC214F7"/>
    <w:rsid w:val="3EAC6B8D"/>
    <w:rsid w:val="3F522104"/>
    <w:rsid w:val="41322966"/>
    <w:rsid w:val="419B2857"/>
    <w:rsid w:val="443E17A2"/>
    <w:rsid w:val="483E2F28"/>
    <w:rsid w:val="4A396FCA"/>
    <w:rsid w:val="4AFF2284"/>
    <w:rsid w:val="4B4D6EBC"/>
    <w:rsid w:val="4B6B3D7C"/>
    <w:rsid w:val="4BE76B7D"/>
    <w:rsid w:val="4CA108F0"/>
    <w:rsid w:val="507E1724"/>
    <w:rsid w:val="52F0149B"/>
    <w:rsid w:val="5454111A"/>
    <w:rsid w:val="545428EA"/>
    <w:rsid w:val="552A0475"/>
    <w:rsid w:val="567315FF"/>
    <w:rsid w:val="58581335"/>
    <w:rsid w:val="5A5915AC"/>
    <w:rsid w:val="5AA96675"/>
    <w:rsid w:val="5DC56BE4"/>
    <w:rsid w:val="5DE43A72"/>
    <w:rsid w:val="5EDF3CD6"/>
    <w:rsid w:val="5F5244A8"/>
    <w:rsid w:val="5FAB005C"/>
    <w:rsid w:val="5FC8785E"/>
    <w:rsid w:val="602C4CF9"/>
    <w:rsid w:val="67303449"/>
    <w:rsid w:val="68914293"/>
    <w:rsid w:val="68D15EAA"/>
    <w:rsid w:val="6A0A70D1"/>
    <w:rsid w:val="6A12486A"/>
    <w:rsid w:val="6AC81AC2"/>
    <w:rsid w:val="6BE343A5"/>
    <w:rsid w:val="70B120A0"/>
    <w:rsid w:val="72A42E14"/>
    <w:rsid w:val="749B1FF5"/>
    <w:rsid w:val="74BB2A5F"/>
    <w:rsid w:val="753C4E9B"/>
    <w:rsid w:val="75405762"/>
    <w:rsid w:val="75F34C81"/>
    <w:rsid w:val="780D3169"/>
    <w:rsid w:val="781113A7"/>
    <w:rsid w:val="791E6510"/>
    <w:rsid w:val="7C156B31"/>
    <w:rsid w:val="7C173E10"/>
    <w:rsid w:val="7C8D4A41"/>
    <w:rsid w:val="7E3C65F7"/>
    <w:rsid w:val="7F9B734D"/>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1"/>
    <w:rPr>
      <w:rFonts w:ascii="仿宋_GB2312" w:hAnsi="仿宋_GB2312" w:eastAsia="仿宋_GB2312" w:cs="仿宋_GB2312"/>
      <w:sz w:val="32"/>
      <w:szCs w:val="32"/>
      <w:lang w:val="zh-CN" w:eastAsia="zh-CN" w:bidi="zh-CN"/>
    </w:rPr>
  </w:style>
  <w:style w:type="paragraph" w:styleId="4">
    <w:name w:val="toc 5"/>
    <w:basedOn w:val="1"/>
    <w:next w:val="1"/>
    <w:qFormat/>
    <w:uiPriority w:val="0"/>
    <w:pPr>
      <w:ind w:left="1680" w:leftChars="800"/>
    </w:pPr>
    <w:rPr>
      <w:rFonts w:ascii="等线" w:hAnsi="等线" w:eastAsia="等线" w:cs="Times New Roman"/>
      <w:szCs w:val="22"/>
    </w:rPr>
  </w:style>
  <w:style w:type="paragraph" w:styleId="5">
    <w:name w:val="Body Text Indent"/>
    <w:basedOn w:val="1"/>
    <w:unhideWhenUsed/>
    <w:qFormat/>
    <w:uiPriority w:val="0"/>
    <w:pPr>
      <w:spacing w:beforeLines="0" w:afterLines="0"/>
      <w:ind w:firstLine="640" w:firstLineChars="200"/>
    </w:pPr>
    <w:rPr>
      <w:rFonts w:hint="default"/>
      <w:sz w:val="32"/>
    </w:rPr>
  </w:style>
  <w:style w:type="paragraph" w:styleId="6">
    <w:name w:val="endnote text"/>
    <w:basedOn w:val="1"/>
    <w:next w:val="3"/>
    <w:qFormat/>
    <w:uiPriority w:val="0"/>
    <w:rPr>
      <w:rFonts w:ascii="Times New Roman" w:hAnsi="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5"/>
    <w:unhideWhenUsed/>
    <w:qFormat/>
    <w:uiPriority w:val="99"/>
    <w:pPr>
      <w:spacing w:beforeLines="0" w:afterLines="0"/>
      <w:ind w:firstLine="420"/>
    </w:pPr>
    <w:rPr>
      <w:rFonts w:hint="default"/>
      <w:sz w:val="32"/>
    </w:rPr>
  </w:style>
  <w:style w:type="paragraph" w:customStyle="1" w:styleId="13">
    <w:name w:val="标题1"/>
    <w:basedOn w:val="2"/>
    <w:qFormat/>
    <w:uiPriority w:val="0"/>
    <w:rPr>
      <w:rFonts w:eastAsia="黑体"/>
    </w:rPr>
  </w:style>
  <w:style w:type="paragraph" w:customStyle="1" w:styleId="14">
    <w:name w:val="首行缩进"/>
    <w:basedOn w:val="1"/>
    <w:qFormat/>
    <w:uiPriority w:val="0"/>
    <w:pPr>
      <w:ind w:firstLine="480" w:firstLineChars="200"/>
    </w:pPr>
    <w:rPr>
      <w:lang w:val="zh-CN"/>
    </w:rPr>
  </w:style>
  <w:style w:type="character" w:customStyle="1" w:styleId="15">
    <w:name w:val="NormalCharacter"/>
    <w:link w:val="1"/>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5993</Words>
  <Characters>6353</Characters>
  <Lines>0</Lines>
  <Paragraphs>0</Paragraphs>
  <TotalTime>20</TotalTime>
  <ScaleCrop>false</ScaleCrop>
  <LinksUpToDate>false</LinksUpToDate>
  <CharactersWithSpaces>6704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2024-02-22T02:03:00Z</dcterms:created>
  <dc:creator>1402836399</dc:creator>
  <cp:lastModifiedBy>Administrator</cp:lastModifiedBy>
  <cp:lastPrinted>2024-04-04T04:38:00Z</cp:lastPrinted>
  <dcterms:modified xsi:type="dcterms:W3CDTF">2024-08-23T03:06:32Z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285A37A079D646C7A2AA58C3A62E5F4E</vt:lpwstr>
  </property>
</Properties>
</file>