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邵阳市北塔区行政审批服务局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w:t>
      </w:r>
      <w:r>
        <w:rPr>
          <w:rFonts w:hint="eastAsia" w:ascii="Times New Roman" w:hAnsi="Times New Roman"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lang w:val="en-US" w:eastAsia="zh-CN"/>
        </w:rPr>
        <w:t>年度</w:t>
      </w:r>
      <w:r>
        <w:rPr>
          <w:rFonts w:hint="eastAsia" w:ascii="Times New Roman" w:hAnsi="Times New Roman" w:eastAsia="方正小标宋_GBK" w:cs="Times New Roman"/>
          <w:b w:val="0"/>
          <w:bCs w:val="0"/>
          <w:sz w:val="44"/>
          <w:szCs w:val="44"/>
          <w:lang w:val="en-US" w:eastAsia="zh-CN"/>
        </w:rPr>
        <w:t>部门整体支出</w:t>
      </w:r>
      <w:r>
        <w:rPr>
          <w:rFonts w:hint="default" w:ascii="Times New Roman" w:hAnsi="Times New Roman" w:eastAsia="方正小标宋_GBK" w:cs="Times New Roman"/>
          <w:b w:val="0"/>
          <w:bCs w:val="0"/>
          <w:sz w:val="44"/>
          <w:szCs w:val="44"/>
          <w:lang w:val="en-US" w:eastAsia="zh-CN"/>
        </w:rPr>
        <w:t>绩效评价报告</w:t>
      </w:r>
    </w:p>
    <w:p>
      <w:pPr>
        <w:pStyle w:val="7"/>
      </w:pPr>
    </w:p>
    <w:p>
      <w:pPr>
        <w:pStyle w:val="7"/>
      </w:pPr>
    </w:p>
    <w:p>
      <w:pPr>
        <w:pStyle w:val="21"/>
        <w:rPr>
          <w:rFonts w:ascii="宋体" w:hAnsi="宋体" w:eastAsia="宋体" w:cs="宋体"/>
          <w:spacing w:val="-8"/>
          <w:sz w:val="43"/>
          <w:szCs w:val="43"/>
          <w14:textOutline w14:w="7810" w14:cap="flat" w14:cmpd="sng">
            <w14:solidFill>
              <w14:srgbClr w14:val="000000"/>
            </w14:solidFill>
            <w14:prstDash w14:val="solid"/>
            <w14:miter w14:val="0"/>
          </w14:textOutline>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both"/>
        <w:rPr>
          <w:rFonts w:ascii="仿宋" w:hAnsi="仿宋" w:eastAsia="仿宋"/>
          <w:b/>
          <w:bCs/>
          <w:sz w:val="32"/>
          <w:szCs w:val="32"/>
        </w:rPr>
      </w:pPr>
    </w:p>
    <w:p>
      <w:pPr>
        <w:pStyle w:val="22"/>
        <w:ind w:left="0" w:leftChars="0" w:firstLine="0" w:firstLineChars="0"/>
        <w:rPr>
          <w:rFonts w:hint="eastAsia" w:ascii="仿宋" w:hAnsi="仿宋" w:eastAsia="仿宋"/>
          <w:b/>
          <w:bCs/>
          <w:sz w:val="30"/>
          <w:szCs w:val="30"/>
        </w:rPr>
      </w:pPr>
    </w:p>
    <w:p>
      <w:pPr>
        <w:pStyle w:val="22"/>
        <w:ind w:left="0" w:leftChars="0" w:firstLine="0" w:firstLineChars="0"/>
        <w:rPr>
          <w:rFonts w:hint="eastAsia" w:ascii="仿宋" w:hAnsi="仿宋" w:eastAsia="仿宋"/>
          <w:b/>
          <w:bCs/>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rPr>
        <w:t>湖南财正会计师事务所</w:t>
      </w:r>
      <w:r>
        <w:rPr>
          <w:rFonts w:hint="eastAsia" w:ascii="仿宋" w:hAnsi="仿宋" w:eastAsia="仿宋" w:cs="仿宋"/>
          <w:b/>
          <w:bCs/>
          <w:sz w:val="32"/>
          <w:szCs w:val="32"/>
          <w:lang w:val="en-US" w:eastAsia="zh-CN"/>
        </w:rPr>
        <w:t>（普通合伙）</w:t>
      </w:r>
    </w:p>
    <w:p>
      <w:pPr>
        <w:keepNext w:val="0"/>
        <w:keepLines w:val="0"/>
        <w:pageBreakBefore w:val="0"/>
        <w:widowControl w:val="0"/>
        <w:kinsoku/>
        <w:wordWrap/>
        <w:overflowPunct/>
        <w:topLinePunct w:val="0"/>
        <w:autoSpaceDE/>
        <w:autoSpaceDN/>
        <w:bidi w:val="0"/>
        <w:adjustRightInd/>
        <w:snapToGrid/>
        <w:spacing w:line="360" w:lineRule="auto"/>
        <w:ind w:left="-57" w:right="84" w:rightChars="40"/>
        <w:jc w:val="center"/>
        <w:textAlignment w:val="auto"/>
        <w:outlineLvl w:val="9"/>
        <w:rPr>
          <w:rFonts w:hint="eastAsia" w:ascii="仿宋" w:hAnsi="仿宋" w:eastAsia="仿宋" w:cs="仿宋"/>
          <w:b/>
          <w:bCs/>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月</w:t>
      </w:r>
    </w:p>
    <w:sdt>
      <w:sdtPr>
        <w:rPr>
          <w:rFonts w:ascii="Times New Roman Regular" w:hAnsi="Times New Roman Regular" w:eastAsia="宋体" w:cs="Times New Roman Regular"/>
          <w:kern w:val="2"/>
          <w:sz w:val="21"/>
          <w:szCs w:val="24"/>
          <w:lang w:val="en-US" w:eastAsia="zh-CN" w:bidi="ar-SA"/>
        </w:rPr>
        <w:id w:val="147451260"/>
        <w15:color w:val="DBDBDB"/>
        <w:docPartObj>
          <w:docPartGallery w:val="Table of Contents"/>
          <w:docPartUnique/>
        </w:docPartObj>
      </w:sdtPr>
      <w:sdtEndPr>
        <w:rPr>
          <w:rFonts w:hint="default" w:ascii="Times New Roman Regular" w:hAnsi="Times New Roman Regular" w:eastAsia="仿宋" w:cs="Times New Roman Regular"/>
          <w:b/>
          <w:kern w:val="2"/>
          <w:sz w:val="31"/>
          <w:szCs w:val="31"/>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kern w:val="2"/>
              <w:sz w:val="21"/>
              <w:szCs w:val="31"/>
              <w:lang w:val="en-US" w:eastAsia="zh-CN" w:bidi="ar-SA"/>
            </w:rPr>
          </w:pPr>
          <w:r>
            <w:rPr>
              <w:rFonts w:hint="eastAsia" w:ascii="方正小标宋_GBK" w:hAnsi="方正小标宋_GBK" w:eastAsia="方正小标宋_GBK" w:cs="方正小标宋_GBK"/>
              <w:b w:val="0"/>
              <w:bCs w:val="0"/>
              <w:sz w:val="45"/>
              <w:szCs w:val="45"/>
            </w:rPr>
            <w:t>目</w:t>
          </w:r>
          <w:r>
            <w:rPr>
              <w:rFonts w:hint="eastAsia" w:ascii="方正小标宋_GBK" w:hAnsi="方正小标宋_GBK" w:eastAsia="方正小标宋_GBK" w:cs="方正小标宋_GBK"/>
              <w:b w:val="0"/>
              <w:bCs w:val="0"/>
              <w:sz w:val="45"/>
              <w:szCs w:val="45"/>
              <w:lang w:val="en-US" w:eastAsia="zh-CN"/>
            </w:rPr>
            <w:t xml:space="preserve"> </w:t>
          </w:r>
          <w:r>
            <w:rPr>
              <w:rFonts w:hint="eastAsia" w:ascii="方正小标宋_GBK" w:hAnsi="方正小标宋_GBK" w:eastAsia="方正小标宋_GBK" w:cs="方正小标宋_GBK"/>
              <w:b w:val="0"/>
              <w:bCs w:val="0"/>
              <w:sz w:val="45"/>
              <w:szCs w:val="45"/>
            </w:rPr>
            <w:t>录</w:t>
          </w:r>
          <w:r>
            <w:rPr>
              <w:rFonts w:hint="default" w:ascii="Times New Roman Regular" w:hAnsi="Times New Roman Regular" w:eastAsia="仿宋" w:cs="Times New Roman Regular"/>
              <w:sz w:val="31"/>
              <w:szCs w:val="31"/>
            </w:rPr>
            <w:fldChar w:fldCharType="begin"/>
          </w:r>
          <w:r>
            <w:rPr>
              <w:rFonts w:hint="default" w:ascii="Times New Roman Regular" w:hAnsi="Times New Roman Regular" w:eastAsia="仿宋" w:cs="Times New Roman Regular"/>
              <w:sz w:val="31"/>
              <w:szCs w:val="31"/>
            </w:rPr>
            <w:instrText xml:space="preserve">TOC \o "1-2" \h \u </w:instrText>
          </w:r>
          <w:r>
            <w:rPr>
              <w:rFonts w:hint="default" w:ascii="Times New Roman Regular" w:hAnsi="Times New Roman Regular" w:eastAsia="仿宋" w:cs="Times New Roman Regular"/>
              <w:sz w:val="31"/>
              <w:szCs w:val="31"/>
            </w:rPr>
            <w:fldChar w:fldCharType="separate"/>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_Toc24286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一、</w:t>
          </w:r>
          <w:r>
            <w:rPr>
              <w:rFonts w:hint="default" w:ascii="Times New Roman" w:hAnsi="Times New Roman" w:eastAsia="仿宋" w:cs="Times New Roman"/>
              <w:bCs/>
              <w:sz w:val="28"/>
              <w:szCs w:val="28"/>
              <w:lang w:val="en-US" w:eastAsia="zh-CN"/>
            </w:rPr>
            <w:t>单位基本情况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_Toc24286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_Toc10249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（一）部门概况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_Toc10249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_Toc4203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（二）主要职责</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_Toc4203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_Toc1841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（三）人员情况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_Toc1841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_Toc6133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二、部门整体收支情况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_Toc6133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_Toc20822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（一）资金收入情况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_Toc20822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_Toc16727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（二）资金使用情况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_Toc16727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_Toc16211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（三）资金管理情况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_Toc16211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_Toc13331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三、制度建设情况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_Toc13331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_Toc16294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（一）内控制度建设情况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_Toc16294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_Toc32169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（二）资产管理制度建设情况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_Toc32169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_Toc1759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（三）政府采购制度建设情况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_Toc1759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_Toc29025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四、第三方重点绩效评价工作情况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_Toc29025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_Toc146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（一）重点绩效评价目的</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_Toc146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_Toc31757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（二）重点绩效评价工作过程</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_Toc31757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_Toc1316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五、部门整体支出绩效情况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_Toc1316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_Toc21308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（一）部门整体实际产出情况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_Toc21308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_Toc1855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（二）部门整体效益情况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_Toc1855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_Toc3298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（三）部门整体满意度</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_Toc3298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_Toc20035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六、综合评价情况及评价结论</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_Toc20035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_Toc19999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七、存在的主要问题</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_Toc19999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_Toc2624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（一）政府采购管理方面</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_Toc2624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_Toc19372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（二）财务管理方面</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_Toc19372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_Toc27434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八、相关建议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_Toc27434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_Toc20957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（一）加强政府采购管理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_Toc20957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_Toc15600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（二）提高财务管理规范性</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_Toc15600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_Toc4642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九、报告使用情况说明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_Toc4642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sz w:val="31"/>
              <w:szCs w:val="31"/>
            </w:rPr>
          </w:pPr>
          <w:r>
            <w:rPr>
              <w:rFonts w:hint="default" w:ascii="Times New Roman Regular" w:hAnsi="Times New Roman Regular" w:eastAsia="仿宋" w:cs="Times New Roman Regular"/>
              <w:szCs w:val="31"/>
            </w:rPr>
            <w:fldChar w:fldCharType="end"/>
          </w:r>
        </w:p>
      </w:sdtContent>
    </w:sdt>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sectPr>
          <w:pgSz w:w="11906" w:h="16838"/>
          <w:pgMar w:top="1440" w:right="1757" w:bottom="1440" w:left="1757"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540" w:lineRule="exact"/>
        <w:jc w:val="both"/>
        <w:rPr>
          <w:rFonts w:ascii="黑体" w:hAnsi="黑体" w:eastAsia="黑体" w:cs="黑体"/>
          <w:kern w:val="0"/>
          <w:sz w:val="44"/>
          <w:szCs w:val="44"/>
        </w:rPr>
      </w:pPr>
      <w:r>
        <w:rPr>
          <w:sz w:val="72"/>
        </w:rPr>
        <mc:AlternateContent>
          <mc:Choice Requires="wpg">
            <w:drawing>
              <wp:anchor distT="0" distB="0" distL="114300" distR="114300" simplePos="0" relativeHeight="251661312" behindDoc="0" locked="0" layoutInCell="1" allowOverlap="1">
                <wp:simplePos x="0" y="0"/>
                <wp:positionH relativeFrom="column">
                  <wp:posOffset>-531495</wp:posOffset>
                </wp:positionH>
                <wp:positionV relativeFrom="paragraph">
                  <wp:posOffset>64135</wp:posOffset>
                </wp:positionV>
                <wp:extent cx="6372860" cy="1358265"/>
                <wp:effectExtent l="0" t="0" r="0" b="12700"/>
                <wp:wrapNone/>
                <wp:docPr id="4" name="组合 4"/>
                <wp:cNvGraphicFramePr/>
                <a:graphic xmlns:a="http://schemas.openxmlformats.org/drawingml/2006/main">
                  <a:graphicData uri="http://schemas.microsoft.com/office/word/2010/wordprocessingGroup">
                    <wpg:wgp>
                      <wpg:cNvGrpSpPr/>
                      <wpg:grpSpPr>
                        <a:xfrm>
                          <a:off x="0" y="0"/>
                          <a:ext cx="6372860" cy="1358265"/>
                          <a:chOff x="1452" y="1627"/>
                          <a:chExt cx="10036" cy="2139"/>
                        </a:xfrm>
                      </wpg:grpSpPr>
                      <wps:wsp>
                        <wps:cNvPr id="5" name="文本框 5"/>
                        <wps:cNvSpPr txBox="1"/>
                        <wps:spPr>
                          <a:xfrm>
                            <a:off x="1452" y="1627"/>
                            <a:ext cx="10036" cy="171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1"/>
                                  <w:w w:val="59"/>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53"/>
                                  <w:w w:val="59"/>
                                  <w:kern w:val="0"/>
                                  <w:sz w:val="110"/>
                                  <w:szCs w:val="110"/>
                                  <w:fitText w:val="9733" w:id="1792034012"/>
                                  <w:lang w:val="en-US" w:eastAsia="zh-CN"/>
                                </w:rPr>
                                <w:t>)</w:t>
                              </w:r>
                            </w:p>
                          </w:txbxContent>
                        </wps:txbx>
                        <wps:bodyPr upright="1"/>
                      </wps:wsp>
                      <wps:wsp>
                        <wps:cNvPr id="6" name="文本框 6"/>
                        <wps:cNvSpPr txBox="1"/>
                        <wps:spPr>
                          <a:xfrm>
                            <a:off x="1704" y="3046"/>
                            <a:ext cx="9253" cy="662"/>
                          </a:xfrm>
                          <a:prstGeom prst="rect">
                            <a:avLst/>
                          </a:prstGeom>
                          <a:noFill/>
                          <a:ln w="6350">
                            <a:noFill/>
                          </a:ln>
                        </wps:spPr>
                        <wps:txbx>
                          <w:txbxContent>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87"/>
                                  <w:kern w:val="0"/>
                                  <w:sz w:val="36"/>
                                  <w:szCs w:val="36"/>
                                  <w:fitText w:val="8800" w:id="1416915932"/>
                                </w:rPr>
                                <w:t>Hunan Caizheng Accounting Firm (General Partnership</w:t>
                              </w:r>
                              <w:r>
                                <w:rPr>
                                  <w:rFonts w:hint="default" w:ascii="Arial" w:hAnsi="Arial" w:cs="Arial"/>
                                  <w:b w:val="0"/>
                                  <w:bCs w:val="0"/>
                                  <w:color w:val="FF0000"/>
                                  <w:spacing w:val="44"/>
                                  <w:w w:val="87"/>
                                  <w:kern w:val="0"/>
                                  <w:sz w:val="36"/>
                                  <w:szCs w:val="36"/>
                                  <w:fitText w:val="8800" w:id="1416915932"/>
                                </w:rPr>
                                <w:t>)</w:t>
                              </w:r>
                            </w:p>
                            <w:p>
                              <w:pPr>
                                <w:jc w:val="center"/>
                                <w:rPr>
                                  <w:rFonts w:hint="default"/>
                                  <w:color w:val="366091"/>
                                  <w:w w:val="150"/>
                                  <w:sz w:val="40"/>
                                  <w:szCs w:val="40"/>
                                  <w:lang w:val="en-US"/>
                                </w:rPr>
                              </w:pPr>
                            </w:p>
                          </w:txbxContent>
                        </wps:txbx>
                        <wps:bodyPr upright="1"/>
                      </wps:wsp>
                      <wps:wsp>
                        <wps:cNvPr id="7" name="矩形 7"/>
                        <wps:cNvSpPr/>
                        <wps:spPr>
                          <a:xfrm>
                            <a:off x="1632" y="3709"/>
                            <a:ext cx="9360" cy="57"/>
                          </a:xfrm>
                          <a:prstGeom prst="rect">
                            <a:avLst/>
                          </a:prstGeom>
                          <a:solidFill>
                            <a:srgbClr val="FF0000"/>
                          </a:solidFill>
                          <a:ln w="25400" cap="flat" cmpd="sng">
                            <a:solidFill>
                              <a:srgbClr val="FF0000"/>
                            </a:solidFill>
                            <a:prstDash val="solid"/>
                            <a:round/>
                            <a:headEnd type="none" w="med" len="med"/>
                            <a:tailEnd type="none" w="med" len="med"/>
                          </a:ln>
                        </wps:spPr>
                        <wps:bodyPr anchor="ctr" anchorCtr="0" upright="1"/>
                      </wps:wsp>
                    </wpg:wgp>
                  </a:graphicData>
                </a:graphic>
              </wp:anchor>
            </w:drawing>
          </mc:Choice>
          <mc:Fallback>
            <w:pict>
              <v:group id="_x0000_s1026" o:spid="_x0000_s1026" o:spt="203" style="position:absolute;left:0pt;margin-left:-41.85pt;margin-top:5.05pt;height:106.95pt;width:501.8pt;z-index:251661312;mso-width-relative:page;mso-height-relative:page;" coordorigin="1452,1627" coordsize="10036,2139" o:gfxdata="UEsFBgAAAAAAAAAAAAAAAAAAAAAAAFBLAwQKAAAAAACHTuJAAAAAAAAAAAAAAAAABAAAAGRycy9Q&#10;SwMEFAAAAAgAh07iQEG2DtHbAAAACgEAAA8AAABkcnMvZG93bnJldi54bWxNj8tOwzAQRfdI/IM1&#10;SOxa2ymPJsSpUAWsKiRaJMRumkyTqPE4it2k/XvMCpaje3TvmXx1tp0YafCtYwN6rkAQl65quTbw&#10;uXudLUH4gFxh55gMXMjDqri+yjGr3MQfNG5DLWIJ+wwNNCH0mZS+bMiin7ueOGYHN1gM8RxqWQ04&#10;xXLbyUSpB2mx5bjQYE/rhsrj9mQNvE04PS/0y7g5HtaX7939+9dGkzG3N1o9gQh0Dn8w/OpHdSii&#10;096duPKiMzBbLh4jGgOlQUQg1WkKYm8gSe4UyCKX/18ofgBQSwMEFAAAAAgAh07iQLebZeX6AgAA&#10;XwgAAA4AAABkcnMvZTJvRG9jLnhtbO2WzW4TMRDH70i8g+U73c1udtOumlSiaXpBUKnwAI7X+yHt&#10;2pbtZJM7Ao6cOCEhuCHxBojHafsajL27SVqKCCBu5JD4czz/n2c8OT5Z1RVaMqVLwcd4cOBjxDgV&#10;acnzMX7xfPboECNtCE9JJTgb4zXT+GTy8MFxIxMWiEJUKVMIjHCdNHKMC2Nk4nmaFqwm+kBIxmEy&#10;E6omBroq91JFGrBeV17g+7HXCJVKJSjTGkan7STuLKp9DIosKymbCrqoGTetVcUqYkCSLkqp8cR5&#10;m2WMmmdZpplB1RiDUuO+4RBoz+23NzkmSa6ILErauUD2ceGOppqUHA7dmJoSQ9BClT+YqkuqhBaZ&#10;OaCi9lohjgioGPh32JwrsZBOS540udxAh4u6Q/2PzdKnywuFynSMhxhxUsOF33x9efX2DRpaNo3M&#10;E1hyruSlvFDdQN72rNxVpmr7C0LQylFdb6iylUEUBuNwFBzGAJzC3CCMDoM4arnTAi7H7hsMowAj&#10;Ox0Ho37urNs/8P0wbncHg/DITnv9yZ51cONPIyEk9ZaT/jtOlwWRzOHXFkLHKeo5Xb97ff3+y/XH&#10;V8jJsYfDKssJmdVjYWVZX+24hsF7cN0ju4e2I3owGsS3RJNEKm3OmaiRbYyxgjB30UeWT7Rp+fRL&#10;7LFczMqqgnGSVBw19koi323YzADRigPYrbe2ZVbzVSdhLtI1KFtIVeYFnOm0ueVAvFX5z9FDFLQh&#10;ukXvyPwJ+pEPAQ8RF/pDZ4MkPfqjIArbcIvj4D94+zaMevA3Hz5fffuEXI7uUP9FmMdhm93hyHfp&#10;u8M67B+GyNncJPZvx7gWVZnaMLdRrlU+P60UWhJ49mczHz7dRd5a1iZDEA1hGlECxSyDIgLNWoJo&#10;zXOXI7e27GnZZt+U6KL1wFmwDpAEXnSeulbBSHrGU2TWEh5dDrUW29SsWYpRxaA025ZbaUhZ7bPy&#10;/hzuEpdwWggofNQojNrOqWkL4c9y2j2uUHfce9vVSFvYdvvuydj+L5h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CKFGY80QAAAJQBAAALAAAAAAAAAAEAIAAAAIoEAABfcmVscy8ucmVsc1BL&#10;AQIUABQAAAAIAIdO4kB+5uUg9wAAAOEBAAATAAAAAAAAAAEAIAAAAIQFAABbQ29udGVudF9UeXBl&#10;c10ueG1sUEsBAhQACgAAAAAAh07iQAAAAAAAAAAAAAAAAAYAAAAAAAAAAAAQAAAAZgQAAF9yZWxz&#10;L1BLAQIUABQAAAAIAIdO4kC3m2Xl+gIAAF8IAAAOAAAAAAAAAAEAIAAAAEABAABkcnMvZTJvRG9j&#10;LnhtbFBLAQIUABQAAAAIAIdO4kBBtg7R2wAAAAoBAAAPAAAAAAAAAAEAIAAAADgAAABkcnMvZG93&#10;bnJldi54bWxQSwECFAAKAAAAAACHTuJAAAAAAAAAAAAAAAAABAAAAAAAAAAAABAAAAAWAAAAZHJz&#10;L1BLBQYAAAAABgAGAFkBAACsBgAAAAA=&#10;">
                <o:lock v:ext="edit" aspectratio="f"/>
                <v:shape id="_x0000_s1026" o:spid="_x0000_s1026" o:spt="202" type="#_x0000_t202" style="position:absolute;left:1452;top:1627;height:1716;width:10036;" filled="f" stroked="f" coordsize="21600,21600" o:gfxdata="UEsFBgAAAAAAAAAAAAAAAAAAAAAAAFBLAwQKAAAAAACHTuJAAAAAAAAAAAAAAAAABAAAAGRycy9Q&#10;SwMEFAAAAAgAh07iQLxJKRy+AAAA2gAAAA8AAABkcnMvZG93bnJldi54bWxFj0FrwkAUhO8F/8Py&#10;hN7qJkJKSF2DBMRS6iE2l95es88kmH0bs9to/fXdQsHjMDPfMKv8anox0eg6ywriRQSCuLa640ZB&#10;9bF9SkE4j6yxt0wKfshBvp49rDDT9sIlTQffiABhl6GC1vshk9LVLRl0CzsQB+9oR4M+yLGResRL&#10;gJteLqPoWRrsOCy0OFDRUn06fBsFb8V2j+XX0qS3vti9HzfDufpMlHqcx9ELCE9Xfw//t1+1ggT+&#10;roQbIN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DVXCYozAAAAI8BAAALAAAAAAAAAAEAIAAAALABAABfcmVscy8u&#10;cmVsc1BLAQIUABQAAAAIAIdO4kBa4xFm9wAAAOIBAAATAAAAAAAAAAEAIAAAAKUCAABbQ29udGVu&#10;dF9UeXBlc10ueG1sUEsBAhQACgAAAAAAh07iQAAAAAAAAAAAAAAAAAYAAAAAAAAAAAAQAAAAjAEA&#10;AF9yZWxzL1BLAQIUABQAAAAIAIdO4kAzLwWeOwAAADkAAAAQAAAAAAAAAAEAIAAAACMBAABkcnMv&#10;c2hhcGV4bWwueG1sUEsBAhQAFAAAAAgAh07iQLxJKRy+AAAA2gAAAA8AAAAAAAAAAQAgAAAAOAAA&#10;AGRycy9kb3ducmV2LnhtbFBLAQIUAAoAAAAAAIdO4kAAAAAAAAAAAAAAAAAEAAAAAAAAAAAAEAAA&#10;ABYAAABkcnMvUEsFBgAAAAAGAAYAWwEAAM0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1"/>
                            <w:w w:val="59"/>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53"/>
                            <w:w w:val="59"/>
                            <w:kern w:val="0"/>
                            <w:sz w:val="110"/>
                            <w:szCs w:val="110"/>
                            <w:fitText w:val="9733" w:id="1792034012"/>
                            <w:lang w:val="en-US" w:eastAsia="zh-CN"/>
                          </w:rPr>
                          <w:t>)</w:t>
                        </w:r>
                      </w:p>
                    </w:txbxContent>
                  </v:textbox>
                </v:shape>
                <v:shape id="_x0000_s1026" o:spid="_x0000_s1026" o:spt="202" type="#_x0000_t202" style="position:absolute;left:1704;top:3046;height:662;width:9253;" filled="f" stroked="f" coordsize="21600,21600" o:gfxdata="UEsFBgAAAAAAAAAAAAAAAAAAAAAAAFBLAwQKAAAAAACHTuJAAAAAAAAAAAAAAAAABAAAAGRycy9Q&#10;SwMEFAAAAAgAh07iQEybt2u9AAAA2gAAAA8AAABkcnMvZG93bnJldi54bWxFj0uLwkAQhO8L/oeh&#10;BW/rREGR6EQkIC7iHnxcvLWZzgMzPTEz6+vX7wiCx6KqvqJm87upxZVaV1lWMOhHIIgzqysuFBz2&#10;y+8JCOeRNdaWScGDHMyTztcMY21vvKXrzhciQNjFqKD0vomldFlJBl3fNsTBy21r0AfZFlK3eAtw&#10;U8thFI2lwYrDQokNpSVl592fUbBOl7+4PQ3N5Fmnq02+aC6H40ipXncQTUF4uvtP+N3+0QrG8LoS&#10;boBM/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NVcJijMAAAAjwEAAAsAAAAAAAAAAQAgAAAArwEAAF9yZWxzLy5y&#10;ZWxzUEsBAhQAFAAAAAgAh07iQFrjEWb3AAAA4gEAABMAAAAAAAAAAQAgAAAApAIAAFtDb250ZW50&#10;X1R5cGVzXS54bWxQSwECFAAKAAAAAACHTuJAAAAAAAAAAAAAAAAABgAAAAAAAAAAABAAAACLAQAA&#10;X3JlbHMvUEsBAhQAFAAAAAgAh07iQDMvBZ47AAAAOQAAABAAAAAAAAAAAQAgAAAAIgEAAGRycy9z&#10;aGFwZXhtbC54bWxQSwECFAAUAAAACACHTuJATJu3a70AAADaAAAADwAAAAAAAAABACAAAAA4AAAA&#10;ZHJzL2Rvd25yZXYueG1sUEsBAhQACgAAAAAAh07iQAAAAAAAAAAAAAAAAAQAAAAAAAAAAAAQAAAA&#10;FgAAAGRycy9QSwUGAAAAAAYABgBbAQAAzAMAAAAA&#10;">
                  <v:fill on="f" focussize="0,0"/>
                  <v:stroke on="f" weight="0.5pt"/>
                  <v:imagedata o:title=""/>
                  <o:lock v:ext="edit" aspectratio="f"/>
                  <v:textbox>
                    <w:txbxContent>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87"/>
                            <w:kern w:val="0"/>
                            <w:sz w:val="36"/>
                            <w:szCs w:val="36"/>
                            <w:fitText w:val="8800" w:id="1416915932"/>
                          </w:rPr>
                          <w:t>Hunan Caizheng Accounting Firm (General Partnership</w:t>
                        </w:r>
                        <w:r>
                          <w:rPr>
                            <w:rFonts w:hint="default" w:ascii="Arial" w:hAnsi="Arial" w:cs="Arial"/>
                            <w:b w:val="0"/>
                            <w:bCs w:val="0"/>
                            <w:color w:val="FF0000"/>
                            <w:spacing w:val="44"/>
                            <w:w w:val="87"/>
                            <w:kern w:val="0"/>
                            <w:sz w:val="36"/>
                            <w:szCs w:val="36"/>
                            <w:fitText w:val="8800" w:id="1416915932"/>
                          </w:rPr>
                          <w:t>)</w:t>
                        </w:r>
                      </w:p>
                      <w:p>
                        <w:pPr>
                          <w:jc w:val="center"/>
                          <w:rPr>
                            <w:rFonts w:hint="default"/>
                            <w:color w:val="366091"/>
                            <w:w w:val="150"/>
                            <w:sz w:val="40"/>
                            <w:szCs w:val="40"/>
                            <w:lang w:val="en-US"/>
                          </w:rPr>
                        </w:pPr>
                      </w:p>
                    </w:txbxContent>
                  </v:textbox>
                </v:shape>
                <v:rect id="_x0000_s1026" o:spid="_x0000_s1026" o:spt="1" style="position:absolute;left:1632;top:3709;height:57;width:9360;v-text-anchor:middle;" fillcolor="#FF0000" filled="t" stroked="t" coordsize="21600,21600" o:gfxdata="UEsFBgAAAAAAAAAAAAAAAAAAAAAAAFBLAwQKAAAAAACHTuJAAAAAAAAAAAAAAAAABAAAAGRycy9Q&#10;SwMEFAAAAAgAh07iQCZXNVq5AAAA2gAAAA8AAABkcnMvZG93bnJldi54bWxFj0sLwjAQhO+C/yGs&#10;4E1TPfioRg+i+Lj5OHhcmrWtbTaliVb/vREEj8PMfMPMly9TiifVLresYNCPQBAnVuecKricN70J&#10;COeRNZaWScGbHCwX7dYcY20bPtLz5FMRIOxiVJB5X8VSuiQjg65vK+Lg3Wxt0AdZp1LX2AS4KeUw&#10;ikbSYM5hIcOKVhklxelhFBTTSVFsH6v1cDM2B3ndp/5+bZTqdgbRDISnl/+Hf+2dVjCG75VwA+Ti&#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1VwmKMwAAACPAQAACwAAAAAAAAABACAAAACrAQAAX3JlbHMvLnJlbHNQ&#10;SwECFAAUAAAACACHTuJAWuMRZvcAAADiAQAAEwAAAAAAAAABACAAAACgAgAAW0NvbnRlbnRfVHlw&#10;ZXNdLnhtbFBLAQIUAAoAAAAAAIdO4kAAAAAAAAAAAAAAAAAGAAAAAAAAAAAAEAAAAIcBAABfcmVs&#10;cy9QSwECFAAUAAAACACHTuJAMy8FnjsAAAA5AAAAEAAAAAAAAAABACAAAAAeAQAAZHJzL3NoYXBl&#10;eG1sLnhtbFBLAQIUABQAAAAIAIdO4kAmVzVauQAAANoAAAAPAAAAAAAAAAEAIAAAADgAAABkcnMv&#10;ZG93bnJldi54bWxQSwECFAAKAAAAAACHTuJAAAAAAAAAAAAAAAAABAAAAAAAAAAAABAAAAAWAAAA&#10;ZHJzL1BLBQYAAAAABgAGAFsBAADIAwAAAAA=&#10;">
                  <v:fill on="t" focussize="0,0"/>
                  <v:stroke weight="2pt" color="#FF0000" joinstyle="round"/>
                  <v:imagedata o:title=""/>
                  <o:lock v:ext="edit" aspectratio="f"/>
                </v:rect>
              </v:group>
            </w:pict>
          </mc:Fallback>
        </mc:AlternateContent>
      </w:r>
    </w:p>
    <w:p>
      <w:pPr>
        <w:spacing w:line="600" w:lineRule="exact"/>
        <w:jc w:val="center"/>
        <w:outlineLvl w:val="9"/>
        <w:rPr>
          <w:rFonts w:hint="eastAsia" w:ascii="方正小标宋_GBK" w:hAnsi="方正小标宋_GBK" w:eastAsia="方正小标宋_GBK" w:cs="方正小标宋_GBK"/>
          <w:bCs/>
          <w:sz w:val="44"/>
          <w:szCs w:val="44"/>
        </w:rPr>
      </w:pPr>
    </w:p>
    <w:p>
      <w:pPr>
        <w:spacing w:line="600" w:lineRule="exact"/>
        <w:jc w:val="center"/>
        <w:outlineLvl w:val="9"/>
        <w:rPr>
          <w:rFonts w:hint="eastAsia" w:ascii="方正小标宋_GBK" w:hAnsi="方正小标宋_GBK" w:eastAsia="方正小标宋_GBK" w:cs="方正小标宋_GBK"/>
          <w:bCs/>
          <w:sz w:val="44"/>
          <w:szCs w:val="44"/>
        </w:rPr>
      </w:pPr>
    </w:p>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仿宋" w:cs="Times New Roman Regular"/>
          <w:b w:val="0"/>
          <w:bCs w:val="0"/>
          <w:sz w:val="33"/>
          <w:lang w:val="en-US" w:eastAsia="zh-CN"/>
        </w:rPr>
      </w:pPr>
      <w:r>
        <w:rPr>
          <w:rFonts w:hint="default" w:ascii="Times New Roman Regular" w:hAnsi="Times New Roman Regular" w:eastAsia="仿宋" w:cs="Times New Roman Regular"/>
          <w:b/>
          <w:bCs/>
          <w:sz w:val="33"/>
        </w:rPr>
        <mc:AlternateContent>
          <mc:Choice Requires="wps">
            <w:drawing>
              <wp:anchor distT="0" distB="0" distL="114935" distR="114935" simplePos="0" relativeHeight="251660288" behindDoc="0" locked="0" layoutInCell="1" allowOverlap="1">
                <wp:simplePos x="0" y="0"/>
                <wp:positionH relativeFrom="column">
                  <wp:posOffset>-305435</wp:posOffset>
                </wp:positionH>
                <wp:positionV relativeFrom="page">
                  <wp:posOffset>2144395</wp:posOffset>
                </wp:positionV>
                <wp:extent cx="592391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779145" y="2103120"/>
                          <a:ext cx="5923915" cy="635"/>
                        </a:xfrm>
                        <a:prstGeom prst="line">
                          <a:avLst/>
                        </a:prstGeom>
                        <a:ln w="28575" cmpd="sng">
                          <a:no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5pt;margin-top:168.85pt;height:0.05pt;width:466.45pt;mso-position-vertical-relative:page;mso-wrap-distance-bottom:0pt;mso-wrap-distance-left:9.05pt;mso-wrap-distance-right:9.05pt;mso-wrap-distance-top:0pt;z-index:251660288;mso-width-relative:page;mso-height-relative:page;" filled="f" stroked="f" coordsize="21600,21600" o:gfxdata="UEsFBgAAAAAAAAAAAAAAAAAAAAAAAFBLAwQKAAAAAACHTuJAAAAAAAAAAAAAAAAABAAAAGRycy9Q&#10;SwMEFAAAAAgAh07iQE1xY/HZAAAACwEAAA8AAABkcnMvZG93bnJldi54bWxNj01PwzAMhu9I/IfI&#10;SFzQlpZNW1aaToDEbRJj5bJb2nhtReOUJvvg32O4wNH2q8fPm68vrhcnHEPnSUM6TUAg1d521Gh4&#10;L18mCkSIhqzpPaGGLwywLq6vcpNZf6Y3PO1iIxhCITMa2hiHTMpQt+hMmPoBiW8HPzoTeRwbaUdz&#10;Zrjr5X2SLKQzHfGH1gz43GL9sTs6ppTelp9yv3Lbp9eDXzxuqvJuo/XtTZo8gIh4iX9h+NFndSjY&#10;qfJHskH0GiZzlXJUw2y2XILghFJzLlP9bhTIIpf/OxTfUEsDBBQAAAAIAIdO4kB3f0ox5AEAAJYD&#10;AAAOAAAAZHJzL2Uyb0RvYy54bWytU82O0zAQviPxDpbvNElLt23UdA9UywVBJeABZh0nseQ/ebxN&#10;+xK8ABI3OHHkztuwPAbjJOyulsseyMEZj8ef5/v8eXt5MpodZUDlbMWLWc6ZtMLVyrYV//jh6sWa&#10;M4xga9DOyoqfJfLL3fNn296Xcu46p2sZGIFYLHtf8S5GX2YZik4awJnz0tJi44KBSNPQZnWAntCN&#10;zuZ5fpH1LtQ+OCERKbsfF/mEGJ4C6JpGCbl34sZIG0fUIDVEooSd8sh3Q7dNI0V81zQoI9MVJ6Zx&#10;GOkQiq/TmO22ULYBfKfE1AI8pYVHnAwoS4feQe0hArsJ6h8oo0Rw6Jo4E85kI5FBEWJR5I+0ed+B&#10;lwMXkhr9nej4/2DF2+MhMFVXfMGZBUMXfvv5x69PX3///ELj7fdvbJFE6j2WVPvKHsI0Q38IifGp&#10;CSb9iQs7VXy12hQvl5ydKz4v8kUxnzSWp8gErS8388WmoAJBFReLZQLP7lF8wPhaOsNSUHGtbBIA&#10;Sji+wTiW/i1JaeuulNaUh1Jb1tOZ6+UqgQM5syFHUGg8sUPbcga6JcuLGAbIB3sT5B6wY0cgn6DT&#10;qh6dYVQks2tlKr7O0ze1qy11nTQZVUjRtavPgzhDnq5r4DVZK/nh4XzYff+cd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IoUZjzRAAAAlAEAAAsAAAAAAAAAAQAgAAAAcgMAAF9yZWxzLy5y&#10;ZWxzUEsBAhQAFAAAAAgAh07iQH7m5SD3AAAA4QEAABMAAAAAAAAAAQAgAAAAbAQAAFtDb250ZW50&#10;X1R5cGVzXS54bWxQSwECFAAKAAAAAACHTuJAAAAAAAAAAAAAAAAABgAAAAAAAAAAABAAAABOAwAA&#10;X3JlbHMvUEsBAhQAFAAAAAgAh07iQHd/SjHkAQAAlgMAAA4AAAAAAAAAAQAgAAAAPgEAAGRycy9l&#10;Mm9Eb2MueG1sUEsBAhQAFAAAAAgAh07iQE1xY/HZAAAACwEAAA8AAAAAAAAAAQAgAAAAOAAAAGRy&#10;cy9kb3ducmV2LnhtbFBLAQIUAAoAAAAAAIdO4kAAAAAAAAAAAAAAAAAEAAAAAAAAAAAAEAAAABYA&#10;AABkcnMvUEsFBgAAAAAGAAYAWQEAAJQFAAAAAA==&#10;">
                <v:fill on="f" focussize="0,0"/>
                <v:stroke on="f" weight="2.25pt" miterlimit="8" joinstyle="miter"/>
                <v:imagedata o:title=""/>
                <o:lock v:ext="edit" aspectratio="f"/>
                <w10:wrap type="square"/>
              </v:line>
            </w:pict>
          </mc:Fallback>
        </mc:AlternateContent>
      </w:r>
      <w:r>
        <w:rPr>
          <w:rFonts w:hint="default" w:ascii="Times New Roman Regular" w:hAnsi="Times New Roman Regular" w:eastAsia="仿宋" w:cs="Times New Roman Regular"/>
          <w:b/>
          <w:bCs/>
          <w:sz w:val="33"/>
          <w:lang w:val="en-US" w:eastAsia="zh-CN"/>
        </w:rPr>
        <w:t>湘财正咨字</w:t>
      </w:r>
      <w:r>
        <w:rPr>
          <w:rFonts w:hint="default" w:ascii="Times New Roman Regular" w:hAnsi="Times New Roman Regular" w:eastAsia="仿宋" w:cs="Times New Roman Regular"/>
          <w:b w:val="0"/>
          <w:bCs w:val="0"/>
          <w:sz w:val="33"/>
          <w:lang w:val="en-US" w:eastAsia="zh-CN"/>
        </w:rPr>
        <w:t>[2023]</w:t>
      </w:r>
      <w:r>
        <w:rPr>
          <w:rFonts w:hint="default" w:ascii="Times New Roman Regular" w:hAnsi="Times New Roman Regular" w:eastAsia="仿宋" w:cs="Times New Roman Regular"/>
          <w:b/>
          <w:bCs/>
          <w:sz w:val="33"/>
          <w:lang w:val="en-US" w:eastAsia="zh-CN"/>
        </w:rPr>
        <w:t>第</w:t>
      </w:r>
      <w:r>
        <w:rPr>
          <w:rFonts w:hint="default" w:ascii="Times New Roman Regular" w:hAnsi="Times New Roman Regular" w:eastAsia="仿宋" w:cs="Times New Roman Regular"/>
          <w:b w:val="0"/>
          <w:bCs w:val="0"/>
          <w:color w:val="auto"/>
          <w:sz w:val="33"/>
          <w:lang w:val="en-US" w:eastAsia="zh-CN"/>
        </w:rPr>
        <w:t>0</w:t>
      </w:r>
      <w:r>
        <w:rPr>
          <w:rFonts w:hint="eastAsia" w:ascii="Times New Roman Regular" w:hAnsi="Times New Roman Regular" w:eastAsia="仿宋" w:cs="Times New Roman Regular"/>
          <w:b w:val="0"/>
          <w:bCs w:val="0"/>
          <w:color w:val="auto"/>
          <w:sz w:val="33"/>
          <w:lang w:val="en-US" w:eastAsia="zh-CN"/>
        </w:rPr>
        <w:t>92</w:t>
      </w:r>
      <w:r>
        <w:rPr>
          <w:rFonts w:hint="default" w:ascii="Times New Roman Regular" w:hAnsi="Times New Roman Regular" w:eastAsia="仿宋" w:cs="Times New Roman Regular"/>
          <w:b/>
          <w:bCs/>
          <w:sz w:val="33"/>
          <w:lang w:val="en-US" w:eastAsia="zh-CN"/>
        </w:rPr>
        <w:t>号</w:t>
      </w:r>
    </w:p>
    <w:p>
      <w:pPr>
        <w:jc w:val="center"/>
        <w:rPr>
          <w:rFonts w:hint="default" w:ascii="Times New Roman Regular" w:hAnsi="Times New Roman Regular" w:eastAsia="仿宋" w:cs="Times New Roman Regular"/>
          <w:sz w:val="33"/>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邵阳市北塔区行政审批服务局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w:t>
      </w:r>
      <w:r>
        <w:rPr>
          <w:rFonts w:hint="eastAsia" w:ascii="Times New Roman" w:hAnsi="Times New Roman"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lang w:val="en-US" w:eastAsia="zh-CN"/>
        </w:rPr>
        <w:t>年度</w:t>
      </w:r>
      <w:r>
        <w:rPr>
          <w:rFonts w:hint="eastAsia" w:ascii="Times New Roman" w:hAnsi="Times New Roman" w:eastAsia="方正小标宋_GBK" w:cs="Times New Roman"/>
          <w:b w:val="0"/>
          <w:bCs w:val="0"/>
          <w:sz w:val="44"/>
          <w:szCs w:val="44"/>
          <w:lang w:val="en-US" w:eastAsia="zh-CN"/>
        </w:rPr>
        <w:t>部门整体支出</w:t>
      </w:r>
      <w:r>
        <w:rPr>
          <w:rFonts w:hint="default" w:ascii="Times New Roman" w:hAnsi="Times New Roman" w:eastAsia="方正小标宋_GBK" w:cs="Times New Roman"/>
          <w:b w:val="0"/>
          <w:bCs w:val="0"/>
          <w:sz w:val="44"/>
          <w:szCs w:val="44"/>
          <w:lang w:val="en-US" w:eastAsia="zh-CN"/>
        </w:rPr>
        <w:t>绩效评价报告</w:t>
      </w:r>
    </w:p>
    <w:p>
      <w:pPr>
        <w:jc w:val="center"/>
        <w:rPr>
          <w:rFonts w:hint="default" w:ascii="Times New Roman Regular" w:hAnsi="Times New Roman Regular" w:eastAsia="宋体" w:cs="Times New Roman Regular"/>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为加强预算绩效管理，强化预算支出的责任意识和效率意识，提高财政资金使用效益，根据《中共中央国务院关于全面实施预算绩效管理的意见》（中发〔2018〕34号）、《中共湖南省委办公厅湖南省人民政府办公厅关于全面实施预算绩效管理的实施意见》（湘办发〔2019〕10号）</w:t>
      </w:r>
      <w:r>
        <w:rPr>
          <w:rFonts w:hint="eastAsia" w:ascii="Times New Roman" w:hAnsi="Times New Roman" w:eastAsia="仿宋" w:cs="Times New Roman"/>
          <w:b w:val="0"/>
          <w:bCs w:val="0"/>
          <w:sz w:val="32"/>
          <w:szCs w:val="32"/>
          <w:lang w:val="en-US" w:eastAsia="zh-CN"/>
        </w:rPr>
        <w:t>、</w:t>
      </w:r>
      <w:r>
        <w:rPr>
          <w:rFonts w:hint="eastAsia" w:ascii="仿宋_GB2312" w:hAnsi="仿宋_GB2312" w:eastAsia="仿宋_GB2312" w:cs="仿宋_GB2312"/>
          <w:sz w:val="32"/>
          <w:szCs w:val="32"/>
          <w:lang w:val="en-US" w:eastAsia="zh-CN"/>
        </w:rPr>
        <w:t>《湖南省财政厅关于印发&lt;湖南省预算支出绩效评价管理办法&gt;的通知》（湘财绩〔</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号）</w:t>
      </w:r>
      <w:r>
        <w:rPr>
          <w:rFonts w:hint="default" w:ascii="Times New Roman" w:hAnsi="Times New Roman" w:eastAsia="仿宋" w:cs="Times New Roman"/>
          <w:b w:val="0"/>
          <w:bCs w:val="0"/>
          <w:sz w:val="32"/>
          <w:szCs w:val="32"/>
          <w:lang w:val="en-US" w:eastAsia="zh-CN"/>
        </w:rPr>
        <w:t>等精神及相关工作要求，受</w:t>
      </w:r>
      <w:r>
        <w:rPr>
          <w:rFonts w:hint="eastAsia" w:ascii="Times New Roman" w:hAnsi="Times New Roman" w:eastAsia="仿宋" w:cs="Times New Roman"/>
          <w:b w:val="0"/>
          <w:bCs w:val="0"/>
          <w:sz w:val="32"/>
          <w:szCs w:val="32"/>
          <w:lang w:val="en-US" w:eastAsia="zh-CN"/>
        </w:rPr>
        <w:t>邵阳市北塔区</w:t>
      </w:r>
      <w:r>
        <w:rPr>
          <w:rFonts w:hint="default" w:ascii="Times New Roman" w:hAnsi="Times New Roman" w:eastAsia="仿宋" w:cs="Times New Roman"/>
          <w:b w:val="0"/>
          <w:bCs w:val="0"/>
          <w:sz w:val="32"/>
          <w:szCs w:val="32"/>
          <w:lang w:val="en-US" w:eastAsia="zh-CN"/>
        </w:rPr>
        <w:t>财政局委托，湖南财正会计师事务所</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以下简称</w:t>
      </w:r>
      <w:r>
        <w:rPr>
          <w:rFonts w:hint="eastAsia" w:ascii="仿宋" w:hAnsi="仿宋" w:eastAsia="仿宋" w:cs="仿宋"/>
          <w:b w:val="0"/>
          <w:bCs w:val="0"/>
          <w:sz w:val="32"/>
          <w:szCs w:val="32"/>
          <w:lang w:val="en-US" w:eastAsia="zh-CN"/>
        </w:rPr>
        <w:t>“我所”</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对</w:t>
      </w:r>
      <w:r>
        <w:rPr>
          <w:rFonts w:hint="eastAsia" w:ascii="Times New Roman" w:hAnsi="Times New Roman" w:eastAsia="仿宋" w:cs="Times New Roman"/>
          <w:b w:val="0"/>
          <w:bCs w:val="0"/>
          <w:sz w:val="32"/>
          <w:szCs w:val="32"/>
          <w:lang w:val="en-US" w:eastAsia="zh-CN"/>
        </w:rPr>
        <w:t>邵阳市北塔区行政审批服务局</w:t>
      </w:r>
      <w:r>
        <w:rPr>
          <w:rFonts w:hint="default" w:ascii="Times New Roman" w:hAnsi="Times New Roman" w:eastAsia="仿宋" w:cs="Times New Roman"/>
          <w:b w:val="0"/>
          <w:bCs w:val="0"/>
          <w:sz w:val="32"/>
          <w:szCs w:val="32"/>
          <w:lang w:val="en-US" w:eastAsia="zh-CN"/>
        </w:rPr>
        <w:t>2022年度部门整体支出开展了绩效评价。现将有关情况报告如下：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outlineLvl w:val="0"/>
        <w:rPr>
          <w:rFonts w:hint="default" w:ascii="Times New Roman" w:hAnsi="Times New Roman" w:eastAsia="仿宋" w:cs="Times New Roman"/>
          <w:b/>
          <w:bCs/>
          <w:kern w:val="2"/>
          <w:sz w:val="31"/>
          <w:szCs w:val="31"/>
          <w:lang w:val="en-US" w:eastAsia="zh-CN" w:bidi="ar-SA"/>
        </w:rPr>
        <w:sectPr>
          <w:footerReference r:id="rId3" w:type="default"/>
          <w:pgSz w:w="11906" w:h="16838"/>
          <w:pgMar w:top="1440" w:right="1757" w:bottom="1440" w:left="175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0"/>
        <w:rPr>
          <w:rFonts w:hint="default" w:ascii="Times New Roman Regular" w:hAnsi="Times New Roman Regular" w:eastAsia="黑体" w:cs="Times New Roman Regular"/>
          <w:b/>
          <w:bCs/>
          <w:sz w:val="32"/>
          <w:szCs w:val="32"/>
          <w:lang w:val="en-US" w:eastAsia="zh-CN"/>
        </w:rPr>
      </w:pPr>
      <w:bookmarkStart w:id="0" w:name="_Toc24286"/>
      <w:bookmarkStart w:id="1" w:name="_Toc23508"/>
      <w:r>
        <w:rPr>
          <w:rFonts w:hint="default" w:ascii="Times New Roman Regular" w:hAnsi="Times New Roman Regular" w:eastAsia="黑体" w:cs="Times New Roman Regular"/>
          <w:b/>
          <w:bCs/>
          <w:kern w:val="2"/>
          <w:sz w:val="32"/>
          <w:szCs w:val="32"/>
          <w:lang w:val="en-US" w:eastAsia="zh-CN" w:bidi="ar-SA"/>
        </w:rPr>
        <w:t>一、</w:t>
      </w:r>
      <w:r>
        <w:rPr>
          <w:rFonts w:hint="default" w:ascii="Times New Roman Regular" w:hAnsi="Times New Roman Regular" w:eastAsia="黑体" w:cs="Times New Roman Regular"/>
          <w:b/>
          <w:bCs/>
          <w:sz w:val="32"/>
          <w:szCs w:val="32"/>
          <w:lang w:val="en-US" w:eastAsia="zh-CN"/>
        </w:rPr>
        <w:t>单位基本情况</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 w:name="_Toc10249"/>
      <w:bookmarkStart w:id="3" w:name="_Toc7170"/>
      <w:r>
        <w:rPr>
          <w:rFonts w:hint="default" w:ascii="Times New Roman Regular" w:hAnsi="Times New Roman Regular" w:eastAsia="楷体" w:cs="Times New Roman Regular"/>
          <w:b/>
          <w:bCs/>
          <w:sz w:val="32"/>
          <w:szCs w:val="32"/>
          <w:lang w:val="en-US" w:eastAsia="zh-CN"/>
        </w:rPr>
        <w:t>（一）部门概况</w:t>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sz w:val="32"/>
          <w:szCs w:val="32"/>
          <w:lang w:val="en-US" w:eastAsia="zh-CN"/>
        </w:rPr>
      </w:pPr>
      <w:bookmarkStart w:id="4" w:name="_Toc8063"/>
      <w:bookmarkStart w:id="5" w:name="_Toc12944"/>
      <w:bookmarkStart w:id="6" w:name="_Toc23398"/>
      <w:r>
        <w:rPr>
          <w:rFonts w:hint="eastAsia" w:ascii="Times New Roman Regular" w:hAnsi="Times New Roman Regular" w:eastAsia="仿宋" w:cs="Times New Roman Regular"/>
          <w:b w:val="0"/>
          <w:bCs w:val="0"/>
          <w:sz w:val="32"/>
          <w:szCs w:val="32"/>
          <w:lang w:val="en-US" w:eastAsia="zh-CN"/>
        </w:rPr>
        <w:t>邵阳市北塔区行政审批服务局（以下简称“区行政审批服务局”）是区政府工作部门，为正科级。内设机构包括：办公室（加挂政工股牌子）、行政审批综合事务股（加挂政策法规股牌子）、电子政务股、行政效能股（加挂政府热线监管股牌子）。</w:t>
      </w:r>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7" w:name="_Toc4203"/>
      <w:r>
        <w:rPr>
          <w:rFonts w:hint="default" w:ascii="Times New Roman Regular" w:hAnsi="Times New Roman Regular" w:eastAsia="楷体" w:cs="Times New Roman Regular"/>
          <w:b/>
          <w:bCs/>
          <w:sz w:val="32"/>
          <w:szCs w:val="32"/>
          <w:lang w:val="en-US" w:eastAsia="zh-CN"/>
        </w:rPr>
        <w:t>（二）主要职责</w:t>
      </w:r>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贯彻执行中央、省、市有关政务中心建设、政府信息公开和行政许可、行政审批工作的方针、政策，研究拟定全区政务中心建设和政务公开工作规划，经批准后组织实施；负责指导、协调、监督区属部门集中办理行政许可审批，行政事业和服务性收费；负责组织提供有关公共便民服务；负责全区各级各部门政务公开工作的指导、协调、监督、管理、服务和考核工作；负责受理对中心行政审批运作的投诉，并负责投诉事项的办理和督查工作；负责对政务大厅工作人员的管理和培训，提出绩效考核意见，不断提高政务服务水平；负责拟定中心窗口设立及政务服务事项工作方案，报区委、区政府批准后组织实施；负责查验进驻中心的收费项目及标准是否符合有关政策，协调处理窗口单位之间的工作关系，组织各窗口高效、快捷的实施行政审批和证照办理工作；做好“12345”政府服务热线的答复与处理工作；承办区委、区人民政府交办的其他事项。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8" w:name="_Toc3110"/>
      <w:bookmarkStart w:id="9" w:name="_Toc1841"/>
      <w:r>
        <w:rPr>
          <w:rFonts w:hint="default" w:ascii="Times New Roman Regular" w:hAnsi="Times New Roman Regular" w:eastAsia="楷体" w:cs="Times New Roman Regular"/>
          <w:b/>
          <w:bCs/>
          <w:sz w:val="32"/>
          <w:szCs w:val="32"/>
          <w:lang w:val="en-US" w:eastAsia="zh-CN"/>
        </w:rPr>
        <w:t>（三）人员情况</w:t>
      </w:r>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楷体" w:cs="Times New Roman Regular"/>
          <w:b/>
          <w:bCs/>
          <w:color w:val="FF0000"/>
          <w:sz w:val="32"/>
          <w:szCs w:val="32"/>
          <w:lang w:val="en-US" w:eastAsia="zh-CN"/>
        </w:rPr>
      </w:pPr>
      <w:r>
        <w:rPr>
          <w:rFonts w:hint="eastAsia" w:ascii="Times New Roman Regular" w:hAnsi="Times New Roman Regular" w:eastAsia="仿宋" w:cs="Times New Roman Regular"/>
          <w:b w:val="0"/>
          <w:bCs w:val="0"/>
          <w:sz w:val="32"/>
          <w:szCs w:val="32"/>
          <w:lang w:val="en-US" w:eastAsia="zh-CN"/>
        </w:rPr>
        <w:t>区行政审批服务局核定行政</w:t>
      </w:r>
      <w:r>
        <w:rPr>
          <w:rFonts w:hint="default" w:ascii="Times New Roman Regular" w:hAnsi="Times New Roman Regular" w:eastAsia="仿宋" w:cs="Times New Roman Regular"/>
          <w:b w:val="0"/>
          <w:bCs w:val="0"/>
          <w:sz w:val="32"/>
          <w:szCs w:val="32"/>
          <w:lang w:val="en-US" w:eastAsia="zh-CN"/>
        </w:rPr>
        <w:t>编制</w:t>
      </w:r>
      <w:r>
        <w:rPr>
          <w:rFonts w:hint="eastAsia" w:ascii="Times New Roman Regular" w:hAnsi="Times New Roman Regular" w:eastAsia="仿宋" w:cs="Times New Roman Regular"/>
          <w:b w:val="0"/>
          <w:bCs w:val="0"/>
          <w:sz w:val="32"/>
          <w:szCs w:val="32"/>
          <w:lang w:val="en-US" w:eastAsia="zh-CN"/>
        </w:rPr>
        <w:t>5</w:t>
      </w:r>
      <w:r>
        <w:rPr>
          <w:rFonts w:hint="default" w:ascii="Times New Roman Regular" w:hAnsi="Times New Roman Regular" w:eastAsia="仿宋" w:cs="Times New Roman Regular"/>
          <w:b w:val="0"/>
          <w:bCs w:val="0"/>
          <w:sz w:val="32"/>
          <w:szCs w:val="32"/>
          <w:lang w:val="en-US" w:eastAsia="zh-CN"/>
        </w:rPr>
        <w:t>名，</w:t>
      </w:r>
      <w:r>
        <w:rPr>
          <w:rFonts w:hint="eastAsia" w:ascii="Times New Roman Regular" w:hAnsi="Times New Roman Regular" w:eastAsia="仿宋" w:cs="Times New Roman Regular"/>
          <w:b w:val="0"/>
          <w:bCs w:val="0"/>
          <w:sz w:val="32"/>
          <w:szCs w:val="32"/>
          <w:lang w:val="en-US" w:eastAsia="zh-CN"/>
        </w:rPr>
        <w:t>设局长1名，副局长2名；下属事业单位政务服务中心核定事业编制3名，主任1名。单位</w:t>
      </w:r>
      <w:r>
        <w:rPr>
          <w:rFonts w:hint="eastAsia" w:ascii="Times New Roman Regular" w:hAnsi="Times New Roman Regular" w:eastAsia="仿宋" w:cs="Times New Roman Regular"/>
          <w:b w:val="0"/>
          <w:bCs w:val="0"/>
          <w:color w:val="auto"/>
          <w:sz w:val="32"/>
          <w:szCs w:val="32"/>
          <w:lang w:val="en-US" w:eastAsia="zh-CN"/>
        </w:rPr>
        <w:t>实有人员15名（劳务派遣8人，在编7人）。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0"/>
        <w:rPr>
          <w:rFonts w:hint="default" w:ascii="Times New Roman Regular" w:hAnsi="Times New Roman Regular" w:eastAsia="楷体" w:cs="Times New Roman Regular"/>
          <w:b/>
          <w:bCs/>
          <w:sz w:val="32"/>
          <w:szCs w:val="32"/>
          <w:lang w:val="en-US" w:eastAsia="zh-CN"/>
        </w:rPr>
      </w:pPr>
      <w:bookmarkStart w:id="10" w:name="_Toc8464"/>
      <w:bookmarkStart w:id="11" w:name="_Toc6133"/>
      <w:r>
        <w:rPr>
          <w:rFonts w:hint="default" w:ascii="Times New Roman Regular" w:hAnsi="Times New Roman Regular" w:eastAsia="黑体" w:cs="Times New Roman Regular"/>
          <w:b/>
          <w:bCs/>
          <w:kern w:val="2"/>
          <w:sz w:val="32"/>
          <w:szCs w:val="32"/>
          <w:lang w:val="en-US" w:eastAsia="zh-CN" w:bidi="ar-SA"/>
        </w:rPr>
        <w:t>二、部门整体收支情况</w:t>
      </w:r>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2" w:name="_Toc20736"/>
      <w:bookmarkStart w:id="13" w:name="_Toc20822"/>
      <w:r>
        <w:rPr>
          <w:rFonts w:hint="default" w:ascii="Times New Roman Regular" w:hAnsi="Times New Roman Regular" w:eastAsia="楷体" w:cs="Times New Roman Regular"/>
          <w:b/>
          <w:bCs/>
          <w:sz w:val="32"/>
          <w:szCs w:val="32"/>
          <w:lang w:val="en-US" w:eastAsia="zh-CN"/>
        </w:rPr>
        <w:t>（一）资金收入情况</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区行政审批服务局</w:t>
      </w:r>
      <w:r>
        <w:rPr>
          <w:rFonts w:hint="default" w:ascii="Times New Roman Regular" w:hAnsi="Times New Roman Regular" w:eastAsia="仿宋" w:cs="Times New Roman Regular"/>
          <w:b w:val="0"/>
          <w:bCs w:val="0"/>
          <w:sz w:val="32"/>
          <w:szCs w:val="32"/>
          <w:lang w:val="en-US" w:eastAsia="zh-CN"/>
        </w:rPr>
        <w:t>2022年度部门决算报表，2022</w:t>
      </w:r>
      <w:r>
        <w:rPr>
          <w:rFonts w:hint="eastAsia" w:ascii="Times New Roman Regular" w:hAnsi="Times New Roman Regular" w:eastAsia="仿宋" w:cs="Times New Roman Regular"/>
          <w:b w:val="0"/>
          <w:bCs w:val="0"/>
          <w:sz w:val="32"/>
          <w:szCs w:val="32"/>
          <w:lang w:val="en-US" w:eastAsia="zh-CN"/>
        </w:rPr>
        <w:t>年度部门收入决算数</w:t>
      </w:r>
      <w:r>
        <w:rPr>
          <w:rFonts w:hint="default" w:ascii="Times New Roman Regular" w:hAnsi="Times New Roman Regular" w:eastAsia="仿宋" w:cs="Times New Roman Regular"/>
          <w:b w:val="0"/>
          <w:bCs w:val="0"/>
          <w:sz w:val="32"/>
          <w:szCs w:val="32"/>
          <w:lang w:val="en-US" w:eastAsia="zh-CN"/>
        </w:rPr>
        <w:t>为</w:t>
      </w:r>
      <w:r>
        <w:rPr>
          <w:rFonts w:hint="eastAsia" w:ascii="Times New Roman Regular" w:hAnsi="Times New Roman Regular" w:eastAsia="仿宋" w:cs="Times New Roman Regular"/>
          <w:b w:val="0"/>
          <w:bCs w:val="0"/>
          <w:sz w:val="32"/>
          <w:szCs w:val="32"/>
          <w:lang w:val="en-US" w:eastAsia="zh-CN"/>
        </w:rPr>
        <w:t>414.73</w:t>
      </w:r>
      <w:r>
        <w:rPr>
          <w:rFonts w:hint="default" w:ascii="Times New Roman Regular" w:hAnsi="Times New Roman Regular" w:eastAsia="仿宋" w:cs="Times New Roman Regular"/>
          <w:b w:val="0"/>
          <w:bCs w:val="0"/>
          <w:sz w:val="32"/>
          <w:szCs w:val="32"/>
          <w:lang w:val="en-US" w:eastAsia="zh-CN"/>
        </w:rPr>
        <w:t>万元，其中；财政拨款收入395.56万元，占95.38%；其他收入19.17万元，占4.62%。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14" w:name="_Toc16727"/>
      <w:bookmarkStart w:id="15" w:name="_Toc2199"/>
      <w:r>
        <w:rPr>
          <w:rFonts w:hint="default" w:ascii="Times New Roman Regular" w:hAnsi="Times New Roman Regular" w:eastAsia="楷体" w:cs="Times New Roman Regular"/>
          <w:b/>
          <w:bCs/>
          <w:sz w:val="32"/>
          <w:szCs w:val="32"/>
          <w:lang w:val="en-US" w:eastAsia="zh-CN"/>
        </w:rPr>
        <w:t>（二）资金使用情况</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区行政审批服务局</w:t>
      </w:r>
      <w:r>
        <w:rPr>
          <w:rFonts w:hint="default" w:ascii="Times New Roman Regular" w:hAnsi="Times New Roman Regular" w:eastAsia="仿宋" w:cs="Times New Roman Regular"/>
          <w:b w:val="0"/>
          <w:bCs w:val="0"/>
          <w:sz w:val="32"/>
          <w:szCs w:val="32"/>
          <w:lang w:val="en-US" w:eastAsia="zh-CN"/>
        </w:rPr>
        <w:t>2022年度部门决算报表，2022年度共计支出</w:t>
      </w:r>
      <w:r>
        <w:rPr>
          <w:rFonts w:hint="eastAsia" w:ascii="Times New Roman Regular" w:hAnsi="Times New Roman Regular" w:eastAsia="仿宋" w:cs="Times New Roman Regular"/>
          <w:b w:val="0"/>
          <w:bCs w:val="0"/>
          <w:sz w:val="32"/>
          <w:szCs w:val="32"/>
          <w:lang w:val="en-US" w:eastAsia="zh-CN"/>
        </w:rPr>
        <w:t>414.73</w:t>
      </w:r>
      <w:r>
        <w:rPr>
          <w:rFonts w:hint="default" w:ascii="Times New Roman Regular" w:hAnsi="Times New Roman Regular" w:eastAsia="仿宋" w:cs="Times New Roman Regular"/>
          <w:b w:val="0"/>
          <w:bCs w:val="0"/>
          <w:sz w:val="32"/>
          <w:szCs w:val="32"/>
          <w:lang w:val="en-US" w:eastAsia="zh-CN"/>
        </w:rPr>
        <w:t>万元，其中：基本支出218.58万元，占52.71%；项目支出196.14万元，占47.29%</w:t>
      </w:r>
      <w:r>
        <w:rPr>
          <w:rFonts w:hint="eastAsia"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Times New Roman Regular" w:hAnsi="Times New Roman Regular" w:eastAsia="仿宋" w:cs="Times New Roman Regular"/>
          <w:b/>
          <w:bCs/>
          <w:sz w:val="32"/>
          <w:szCs w:val="32"/>
          <w:lang w:val="en-US" w:eastAsia="zh-CN"/>
        </w:rPr>
      </w:pPr>
      <w:r>
        <w:rPr>
          <w:rFonts w:hint="default" w:ascii="Times New Roman Regular" w:hAnsi="Times New Roman Regular" w:eastAsia="仿宋" w:cs="Times New Roman Regular"/>
          <w:b/>
          <w:bCs/>
          <w:sz w:val="32"/>
          <w:szCs w:val="32"/>
          <w:lang w:val="en-US" w:eastAsia="zh-CN"/>
        </w:rPr>
        <w:t>1、基本经费支出情况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FF000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区行政审批服务局</w:t>
      </w:r>
      <w:r>
        <w:rPr>
          <w:rFonts w:hint="default" w:ascii="Times New Roman Regular" w:hAnsi="Times New Roman Regular" w:eastAsia="仿宋" w:cs="Times New Roman Regular"/>
          <w:b w:val="0"/>
          <w:bCs w:val="0"/>
          <w:sz w:val="32"/>
          <w:szCs w:val="32"/>
          <w:lang w:val="en-US" w:eastAsia="zh-CN"/>
        </w:rPr>
        <w:t>2022年度部门决算报表，2022年度区行政审批服务局基本支出共计218.58万元，其中一般公共预算财政拨款支出</w:t>
      </w:r>
      <w:r>
        <w:rPr>
          <w:rFonts w:hint="eastAsia" w:ascii="Times New Roman Regular" w:hAnsi="Times New Roman Regular" w:eastAsia="仿宋" w:cs="Times New Roman Regular"/>
          <w:b w:val="0"/>
          <w:bCs w:val="0"/>
          <w:sz w:val="32"/>
          <w:szCs w:val="32"/>
          <w:lang w:val="en-US" w:eastAsia="zh-CN"/>
        </w:rPr>
        <w:t>199.41</w:t>
      </w:r>
      <w:r>
        <w:rPr>
          <w:rFonts w:hint="default" w:ascii="Times New Roman Regular" w:hAnsi="Times New Roman Regular" w:eastAsia="仿宋" w:cs="Times New Roman Regular"/>
          <w:b w:val="0"/>
          <w:bCs w:val="0"/>
          <w:sz w:val="32"/>
          <w:szCs w:val="32"/>
          <w:lang w:val="en-US" w:eastAsia="zh-CN"/>
        </w:rPr>
        <w:t>万元（人员经费</w:t>
      </w:r>
      <w:r>
        <w:rPr>
          <w:rFonts w:hint="eastAsia" w:ascii="Times New Roman Regular" w:hAnsi="Times New Roman Regular" w:eastAsia="仿宋" w:cs="Times New Roman Regular"/>
          <w:b w:val="0"/>
          <w:bCs w:val="0"/>
          <w:sz w:val="32"/>
          <w:szCs w:val="32"/>
          <w:lang w:val="en-US" w:eastAsia="zh-CN"/>
        </w:rPr>
        <w:t>74.99</w:t>
      </w:r>
      <w:r>
        <w:rPr>
          <w:rFonts w:hint="default" w:ascii="Times New Roman Regular" w:hAnsi="Times New Roman Regular" w:eastAsia="仿宋" w:cs="Times New Roman Regular"/>
          <w:b w:val="0"/>
          <w:bCs w:val="0"/>
          <w:sz w:val="32"/>
          <w:szCs w:val="32"/>
          <w:lang w:val="en-US" w:eastAsia="zh-CN"/>
        </w:rPr>
        <w:t>万元，公用经费</w:t>
      </w:r>
      <w:r>
        <w:rPr>
          <w:rFonts w:hint="eastAsia" w:ascii="Times New Roman Regular" w:hAnsi="Times New Roman Regular" w:eastAsia="仿宋" w:cs="Times New Roman Regular"/>
          <w:b w:val="0"/>
          <w:bCs w:val="0"/>
          <w:sz w:val="32"/>
          <w:szCs w:val="32"/>
          <w:lang w:val="en-US" w:eastAsia="zh-CN"/>
        </w:rPr>
        <w:t>124.42</w:t>
      </w:r>
      <w:r>
        <w:rPr>
          <w:rFonts w:hint="default" w:ascii="Times New Roman Regular" w:hAnsi="Times New Roman Regular" w:eastAsia="仿宋" w:cs="Times New Roman Regular"/>
          <w:b w:val="0"/>
          <w:bCs w:val="0"/>
          <w:sz w:val="32"/>
          <w:szCs w:val="32"/>
          <w:lang w:val="en-US" w:eastAsia="zh-CN"/>
        </w:rPr>
        <w:t>万元），其他支出</w:t>
      </w:r>
      <w:r>
        <w:rPr>
          <w:rFonts w:hint="eastAsia" w:ascii="Times New Roman Regular" w:hAnsi="Times New Roman Regular" w:eastAsia="仿宋" w:cs="Times New Roman Regular"/>
          <w:b w:val="0"/>
          <w:bCs w:val="0"/>
          <w:sz w:val="32"/>
          <w:szCs w:val="32"/>
          <w:lang w:val="en-US" w:eastAsia="zh-CN"/>
        </w:rPr>
        <w:t>19.17</w:t>
      </w:r>
      <w:r>
        <w:rPr>
          <w:rFonts w:hint="default" w:ascii="Times New Roman Regular" w:hAnsi="Times New Roman Regular" w:eastAsia="仿宋" w:cs="Times New Roman Regular"/>
          <w:b w:val="0"/>
          <w:bCs w:val="0"/>
          <w:sz w:val="32"/>
          <w:szCs w:val="32"/>
          <w:lang w:val="en-US" w:eastAsia="zh-CN"/>
        </w:rPr>
        <w:t>万元。一般公共预算财政拨款支出中人员经费和公用经费具体明细如下：</w:t>
      </w:r>
    </w:p>
    <w:tbl>
      <w:tblPr>
        <w:tblStyle w:val="18"/>
        <w:tblW w:w="503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60"/>
        <w:gridCol w:w="5008"/>
        <w:gridCol w:w="2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blHeader/>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pacing w:val="-5"/>
                <w:sz w:val="21"/>
                <w:szCs w:val="21"/>
              </w:rPr>
              <w:t>序号</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pacing w:val="6"/>
                <w:sz w:val="21"/>
                <w:szCs w:val="21"/>
              </w:rPr>
              <w:t>支出项目</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b/>
                <w:bCs/>
                <w:spacing w:val="4"/>
                <w:sz w:val="21"/>
                <w:szCs w:val="21"/>
              </w:rPr>
              <w:t>金额</w:t>
            </w:r>
            <w:r>
              <w:rPr>
                <w:rFonts w:hint="default" w:ascii="Times New Roman" w:hAnsi="Times New Roman" w:eastAsia="仿宋" w:cs="Times New Roman"/>
                <w:b/>
                <w:bCs/>
                <w:spacing w:val="4"/>
                <w:sz w:val="21"/>
                <w:szCs w:val="21"/>
                <w:lang w:eastAsia="zh-CN"/>
              </w:rPr>
              <w:t>（</w:t>
            </w:r>
            <w:r>
              <w:rPr>
                <w:rFonts w:hint="default" w:ascii="Times New Roman" w:hAnsi="Times New Roman" w:eastAsia="仿宋" w:cs="Times New Roman"/>
                <w:b/>
                <w:bCs/>
                <w:spacing w:val="4"/>
                <w:sz w:val="21"/>
                <w:szCs w:val="21"/>
              </w:rPr>
              <w:t>万元</w:t>
            </w:r>
            <w:r>
              <w:rPr>
                <w:rFonts w:hint="default" w:ascii="Times New Roman" w:hAnsi="Times New Roman" w:eastAsia="仿宋" w:cs="Times New Roman"/>
                <w:b/>
                <w:bCs/>
                <w:spacing w:val="4"/>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b/>
                <w:bCs/>
                <w:sz w:val="21"/>
                <w:szCs w:val="21"/>
                <w:lang w:val="en-US" w:eastAsia="zh-CN"/>
              </w:rPr>
              <w:t>一</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pacing w:val="-5"/>
                <w:sz w:val="21"/>
                <w:szCs w:val="21"/>
              </w:rPr>
              <w:t>人员经费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b/>
                <w:bCs/>
                <w:spacing w:val="-4"/>
                <w:sz w:val="21"/>
                <w:szCs w:val="21"/>
                <w:lang w:val="en-US" w:eastAsia="zh-CN"/>
              </w:rPr>
              <w:t>74.99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bookmarkStart w:id="16" w:name="OLE_LINK1" w:colFirst="2" w:colLast="2"/>
            <w:r>
              <w:rPr>
                <w:rFonts w:hint="default" w:ascii="Times New Roman" w:hAnsi="Times New Roman" w:eastAsia="仿宋" w:cs="Times New Roman"/>
                <w:sz w:val="21"/>
                <w:szCs w:val="21"/>
                <w:lang w:val="en-US" w:eastAsia="zh-CN"/>
              </w:rPr>
              <w:t>1</w:t>
            </w:r>
          </w:p>
        </w:tc>
        <w:tc>
          <w:tcPr>
            <w:tcW w:w="2960" w:type="pct"/>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2"/>
                <w:szCs w:val="22"/>
                <w:u w:val="none"/>
                <w:lang w:val="en-US" w:eastAsia="zh-CN" w:bidi="ar"/>
              </w:rPr>
              <w:t>基本工资</w:t>
            </w:r>
          </w:p>
        </w:tc>
        <w:tc>
          <w:tcPr>
            <w:tcW w:w="1235" w:type="pct"/>
            <w:vAlign w:val="bottom"/>
          </w:tcPr>
          <w:p>
            <w:pPr>
              <w:keepNext w:val="0"/>
              <w:keepLines w:val="0"/>
              <w:widowControl/>
              <w:suppressLineNumbers w:val="0"/>
              <w:jc w:val="center"/>
              <w:textAlignment w:val="bottom"/>
              <w:rPr>
                <w:rFonts w:hint="default"/>
                <w:lang w:val="en-US" w:eastAsia="zh-CN"/>
              </w:rPr>
            </w:pPr>
            <w:r>
              <w:rPr>
                <w:rFonts w:hint="eastAsia" w:ascii="Times New Roman" w:hAnsi="Times New Roman" w:eastAsia="宋体" w:cs="Times New Roman"/>
                <w:i w:val="0"/>
                <w:iCs w:val="0"/>
                <w:color w:val="000000"/>
                <w:kern w:val="0"/>
                <w:sz w:val="20"/>
                <w:szCs w:val="20"/>
                <w:u w:val="none"/>
                <w:lang w:val="en-US" w:eastAsia="zh-CN" w:bidi="ar"/>
              </w:rPr>
              <w:t>23.93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w:t>
            </w:r>
          </w:p>
        </w:tc>
        <w:tc>
          <w:tcPr>
            <w:tcW w:w="2960" w:type="pct"/>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2"/>
                <w:szCs w:val="22"/>
                <w:u w:val="none"/>
                <w:lang w:val="en-US" w:eastAsia="zh-CN" w:bidi="ar"/>
              </w:rPr>
              <w:t>津贴补贴</w:t>
            </w:r>
          </w:p>
        </w:tc>
        <w:tc>
          <w:tcPr>
            <w:tcW w:w="1235" w:type="pct"/>
            <w:vAlign w:val="bottom"/>
          </w:tcPr>
          <w:p>
            <w:pPr>
              <w:keepNext w:val="0"/>
              <w:keepLines w:val="0"/>
              <w:widowControl/>
              <w:suppressLineNumbers w:val="0"/>
              <w:jc w:val="center"/>
              <w:textAlignment w:val="bottom"/>
              <w:rPr>
                <w:rFonts w:hint="default"/>
                <w:lang w:val="en-US" w:eastAsia="zh-CN"/>
              </w:rPr>
            </w:pPr>
            <w:r>
              <w:rPr>
                <w:rFonts w:hint="eastAsia" w:ascii="Times New Roman" w:hAnsi="Times New Roman" w:eastAsia="宋体" w:cs="Times New Roman"/>
                <w:i w:val="0"/>
                <w:iCs w:val="0"/>
                <w:color w:val="000000"/>
                <w:kern w:val="0"/>
                <w:sz w:val="20"/>
                <w:szCs w:val="20"/>
                <w:u w:val="none"/>
                <w:lang w:val="en-US" w:eastAsia="zh-CN" w:bidi="ar"/>
              </w:rPr>
              <w:t>15.90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w:t>
            </w:r>
          </w:p>
        </w:tc>
        <w:tc>
          <w:tcPr>
            <w:tcW w:w="2960" w:type="pct"/>
            <w:vAlign w:val="center"/>
          </w:tcPr>
          <w:p>
            <w:pPr>
              <w:keepNext w:val="0"/>
              <w:keepLines w:val="0"/>
              <w:widowControl/>
              <w:suppressLineNumbers w:val="0"/>
              <w:jc w:val="center"/>
              <w:textAlignment w:val="center"/>
              <w:rPr>
                <w:rFonts w:hint="eastAsia" w:ascii="仿宋" w:hAnsi="仿宋" w:eastAsia="仿宋" w:cs="仿宋"/>
                <w:snapToGrid w:val="0"/>
                <w:color w:val="000000"/>
                <w:spacing w:val="-2"/>
                <w:kern w:val="0"/>
                <w:sz w:val="21"/>
                <w:szCs w:val="21"/>
                <w:lang w:val="en-US" w:eastAsia="zh-CN"/>
              </w:rPr>
            </w:pPr>
            <w:r>
              <w:rPr>
                <w:rFonts w:hint="eastAsia" w:ascii="仿宋" w:hAnsi="仿宋" w:eastAsia="仿宋" w:cs="仿宋"/>
                <w:i w:val="0"/>
                <w:iCs w:val="0"/>
                <w:color w:val="000000"/>
                <w:kern w:val="0"/>
                <w:sz w:val="22"/>
                <w:szCs w:val="22"/>
                <w:u w:val="none"/>
                <w:lang w:val="en-US" w:eastAsia="zh-CN" w:bidi="ar"/>
              </w:rPr>
              <w:t>奖金</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spacing w:val="-2"/>
                <w:kern w:val="0"/>
                <w:sz w:val="21"/>
                <w:szCs w:val="21"/>
                <w:lang w:val="en-US" w:eastAsia="zh-CN"/>
              </w:rPr>
            </w:pPr>
            <w:r>
              <w:rPr>
                <w:rFonts w:hint="eastAsia" w:ascii="Times New Roman" w:hAnsi="Times New Roman" w:eastAsia="仿宋" w:cs="Times New Roman"/>
                <w:snapToGrid w:val="0"/>
                <w:color w:val="000000"/>
                <w:spacing w:val="-2"/>
                <w:kern w:val="0"/>
                <w:sz w:val="21"/>
                <w:szCs w:val="21"/>
                <w:lang w:val="en-US" w:eastAsia="zh-CN"/>
              </w:rPr>
              <w:t>15.96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w:t>
            </w:r>
          </w:p>
        </w:tc>
        <w:tc>
          <w:tcPr>
            <w:tcW w:w="2960" w:type="pct"/>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i w:val="0"/>
                <w:iCs w:val="0"/>
                <w:color w:val="000000"/>
                <w:kern w:val="0"/>
                <w:sz w:val="22"/>
                <w:szCs w:val="22"/>
                <w:u w:val="none"/>
                <w:lang w:val="en-US" w:eastAsia="zh-CN" w:bidi="ar"/>
              </w:rPr>
              <w:t>机关事业单位基本养老保险缴费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pacing w:val="-3"/>
                <w:sz w:val="21"/>
                <w:szCs w:val="21"/>
                <w:lang w:val="en-US" w:eastAsia="zh-CN"/>
              </w:rPr>
            </w:pPr>
            <w:r>
              <w:rPr>
                <w:rFonts w:hint="eastAsia" w:ascii="Times New Roman" w:hAnsi="Times New Roman" w:eastAsia="宋体" w:cs="Times New Roman"/>
                <w:i w:val="0"/>
                <w:iCs w:val="0"/>
                <w:color w:val="000000"/>
                <w:kern w:val="0"/>
                <w:sz w:val="20"/>
                <w:szCs w:val="20"/>
                <w:u w:val="none"/>
                <w:lang w:val="en-US" w:eastAsia="zh-CN" w:bidi="ar"/>
              </w:rPr>
              <w:t>6.48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w:t>
            </w:r>
          </w:p>
        </w:tc>
        <w:tc>
          <w:tcPr>
            <w:tcW w:w="2960" w:type="pct"/>
            <w:vAlign w:val="center"/>
          </w:tcPr>
          <w:p>
            <w:pPr>
              <w:keepNext w:val="0"/>
              <w:keepLines w:val="0"/>
              <w:widowControl/>
              <w:suppressLineNumbers w:val="0"/>
              <w:jc w:val="center"/>
              <w:textAlignment w:val="center"/>
              <w:rPr>
                <w:rFonts w:hint="eastAsia" w:ascii="仿宋" w:hAnsi="仿宋" w:eastAsia="仿宋" w:cs="仿宋"/>
                <w:spacing w:val="1"/>
                <w:sz w:val="21"/>
                <w:szCs w:val="21"/>
              </w:rPr>
            </w:pPr>
            <w:r>
              <w:rPr>
                <w:rFonts w:hint="eastAsia" w:ascii="仿宋" w:hAnsi="仿宋" w:eastAsia="仿宋" w:cs="仿宋"/>
                <w:i w:val="0"/>
                <w:iCs w:val="0"/>
                <w:color w:val="000000"/>
                <w:kern w:val="0"/>
                <w:sz w:val="22"/>
                <w:szCs w:val="22"/>
                <w:u w:val="none"/>
                <w:lang w:val="en-US" w:eastAsia="zh-CN" w:bidi="ar"/>
              </w:rPr>
              <w:t>职工基本医疗保险缴费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pacing w:val="-3"/>
                <w:sz w:val="21"/>
                <w:szCs w:val="21"/>
                <w:lang w:val="en-US" w:eastAsia="zh-CN"/>
              </w:rPr>
            </w:pPr>
            <w:r>
              <w:rPr>
                <w:rFonts w:hint="eastAsia" w:ascii="Times New Roman" w:hAnsi="Times New Roman" w:eastAsia="宋体" w:cs="Times New Roman"/>
                <w:i w:val="0"/>
                <w:iCs w:val="0"/>
                <w:color w:val="000000"/>
                <w:kern w:val="0"/>
                <w:sz w:val="20"/>
                <w:szCs w:val="20"/>
                <w:u w:val="none"/>
                <w:lang w:val="en-US" w:eastAsia="zh-CN" w:bidi="ar"/>
              </w:rPr>
              <w:t>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6</w:t>
            </w:r>
          </w:p>
        </w:tc>
        <w:tc>
          <w:tcPr>
            <w:tcW w:w="2960" w:type="pct"/>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i w:val="0"/>
                <w:iCs w:val="0"/>
                <w:color w:val="000000"/>
                <w:kern w:val="0"/>
                <w:sz w:val="22"/>
                <w:szCs w:val="22"/>
                <w:u w:val="none"/>
                <w:lang w:val="en-US" w:eastAsia="zh-CN" w:bidi="ar"/>
              </w:rPr>
              <w:t>其他社会保障缴费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pacing w:val="-3"/>
                <w:sz w:val="21"/>
                <w:szCs w:val="21"/>
                <w:lang w:val="en-US" w:eastAsia="zh-CN"/>
              </w:rPr>
            </w:pPr>
            <w:r>
              <w:rPr>
                <w:rFonts w:hint="eastAsia" w:ascii="Times New Roman" w:hAnsi="Times New Roman" w:eastAsia="宋体" w:cs="Times New Roman"/>
                <w:i w:val="0"/>
                <w:iCs w:val="0"/>
                <w:color w:val="000000"/>
                <w:kern w:val="0"/>
                <w:sz w:val="20"/>
                <w:szCs w:val="20"/>
                <w:u w:val="none"/>
                <w:lang w:val="en-US" w:eastAsia="zh-CN" w:bidi="ar"/>
              </w:rPr>
              <w:t>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7</w:t>
            </w:r>
          </w:p>
        </w:tc>
        <w:tc>
          <w:tcPr>
            <w:tcW w:w="2960" w:type="pct"/>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i w:val="0"/>
                <w:iCs w:val="0"/>
                <w:color w:val="000000"/>
                <w:kern w:val="0"/>
                <w:sz w:val="22"/>
                <w:szCs w:val="22"/>
                <w:u w:val="none"/>
                <w:lang w:val="en-US" w:eastAsia="zh-CN" w:bidi="ar"/>
              </w:rPr>
              <w:t>住房公积金</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pacing w:val="-3"/>
                <w:sz w:val="21"/>
                <w:szCs w:val="21"/>
                <w:lang w:val="en-US" w:eastAsia="zh-CN"/>
              </w:rPr>
            </w:pPr>
            <w:r>
              <w:rPr>
                <w:rFonts w:hint="eastAsia" w:ascii="Times New Roman" w:hAnsi="Times New Roman" w:eastAsia="宋体" w:cs="Times New Roman"/>
                <w:i w:val="0"/>
                <w:iCs w:val="0"/>
                <w:color w:val="000000"/>
                <w:kern w:val="0"/>
                <w:sz w:val="20"/>
                <w:szCs w:val="20"/>
                <w:u w:val="none"/>
                <w:lang w:val="en-US" w:eastAsia="zh-CN" w:bidi="ar"/>
              </w:rPr>
              <w:t>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b/>
                <w:bCs/>
                <w:position w:val="-4"/>
                <w:sz w:val="21"/>
                <w:szCs w:val="21"/>
              </w:rPr>
              <w:t>二</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b/>
                <w:bCs/>
                <w:spacing w:val="-1"/>
                <w:sz w:val="21"/>
                <w:szCs w:val="21"/>
              </w:rPr>
              <w:t>公用经费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b/>
                <w:bCs/>
                <w:spacing w:val="-4"/>
                <w:sz w:val="21"/>
                <w:szCs w:val="21"/>
                <w:lang w:val="en-US" w:eastAsia="zh-CN"/>
              </w:rPr>
              <w:t>124.42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1</w:t>
            </w:r>
          </w:p>
        </w:tc>
        <w:tc>
          <w:tcPr>
            <w:tcW w:w="2960"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i w:val="0"/>
                <w:iCs w:val="0"/>
                <w:color w:val="000000"/>
                <w:kern w:val="0"/>
                <w:sz w:val="22"/>
                <w:szCs w:val="22"/>
                <w:u w:val="none"/>
                <w:lang w:val="en-US" w:eastAsia="zh-CN" w:bidi="ar"/>
              </w:rPr>
              <w:t>办公费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i w:val="0"/>
                <w:iCs w:val="0"/>
                <w:color w:val="000000"/>
                <w:kern w:val="0"/>
                <w:sz w:val="20"/>
                <w:szCs w:val="20"/>
                <w:u w:val="none"/>
                <w:lang w:val="en-US" w:eastAsia="zh-CN" w:bidi="ar"/>
              </w:rPr>
              <w:t>3.56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2</w:t>
            </w:r>
          </w:p>
        </w:tc>
        <w:tc>
          <w:tcPr>
            <w:tcW w:w="2960"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i w:val="0"/>
                <w:iCs w:val="0"/>
                <w:color w:val="000000"/>
                <w:kern w:val="0"/>
                <w:sz w:val="22"/>
                <w:szCs w:val="22"/>
                <w:u w:val="none"/>
                <w:lang w:val="en-US" w:eastAsia="zh-CN" w:bidi="ar"/>
              </w:rPr>
              <w:t>印刷费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snapToGrid w:val="0"/>
                <w:color w:val="000000"/>
                <w:kern w:val="0"/>
                <w:sz w:val="21"/>
                <w:szCs w:val="21"/>
                <w:lang w:val="en-US" w:eastAsia="zh-CN"/>
              </w:rPr>
              <w:t>3</w:t>
            </w:r>
          </w:p>
        </w:tc>
        <w:tc>
          <w:tcPr>
            <w:tcW w:w="2960"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i w:val="0"/>
                <w:iCs w:val="0"/>
                <w:color w:val="000000"/>
                <w:kern w:val="0"/>
                <w:sz w:val="22"/>
                <w:szCs w:val="22"/>
                <w:u w:val="none"/>
                <w:lang w:val="en-US" w:eastAsia="zh-CN" w:bidi="ar"/>
              </w:rPr>
              <w:t>维修（护）费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38.70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snapToGrid w:val="0"/>
                <w:color w:val="000000"/>
                <w:kern w:val="0"/>
                <w:sz w:val="21"/>
                <w:szCs w:val="21"/>
                <w:lang w:val="en-US" w:eastAsia="zh-CN"/>
              </w:rPr>
              <w:t>4</w:t>
            </w:r>
          </w:p>
        </w:tc>
        <w:tc>
          <w:tcPr>
            <w:tcW w:w="2960"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i w:val="0"/>
                <w:iCs w:val="0"/>
                <w:color w:val="000000"/>
                <w:kern w:val="0"/>
                <w:sz w:val="22"/>
                <w:szCs w:val="22"/>
                <w:u w:val="none"/>
                <w:lang w:val="en-US" w:eastAsia="zh-CN" w:bidi="ar"/>
              </w:rPr>
              <w:t>劳务费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24.41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snapToGrid w:val="0"/>
                <w:color w:val="000000"/>
                <w:kern w:val="0"/>
                <w:sz w:val="21"/>
                <w:szCs w:val="21"/>
                <w:lang w:val="en-US" w:eastAsia="zh-CN"/>
              </w:rPr>
              <w:t>5</w:t>
            </w:r>
          </w:p>
        </w:tc>
        <w:tc>
          <w:tcPr>
            <w:tcW w:w="2960"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i w:val="0"/>
                <w:iCs w:val="0"/>
                <w:color w:val="000000"/>
                <w:kern w:val="0"/>
                <w:sz w:val="22"/>
                <w:szCs w:val="22"/>
                <w:u w:val="none"/>
                <w:lang w:val="en-US" w:eastAsia="zh-CN" w:bidi="ar"/>
              </w:rPr>
              <w:t>工会经费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4.66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snapToGrid w:val="0"/>
                <w:color w:val="000000"/>
                <w:kern w:val="0"/>
                <w:sz w:val="21"/>
                <w:szCs w:val="21"/>
                <w:lang w:val="en-US" w:eastAsia="zh-CN"/>
              </w:rPr>
              <w:t>6</w:t>
            </w:r>
          </w:p>
        </w:tc>
        <w:tc>
          <w:tcPr>
            <w:tcW w:w="2960"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i w:val="0"/>
                <w:iCs w:val="0"/>
                <w:color w:val="000000"/>
                <w:kern w:val="0"/>
                <w:sz w:val="22"/>
                <w:szCs w:val="22"/>
                <w:u w:val="none"/>
                <w:lang w:val="en-US" w:eastAsia="zh-CN" w:bidi="ar"/>
              </w:rPr>
              <w:t>福利费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spacing w:val="-6"/>
                <w:kern w:val="0"/>
                <w:sz w:val="21"/>
                <w:szCs w:val="21"/>
                <w:lang w:val="en-US" w:eastAsia="zh-CN"/>
              </w:rPr>
            </w:pPr>
            <w:r>
              <w:rPr>
                <w:rFonts w:hint="eastAsia" w:ascii="Times New Roman" w:hAnsi="Times New Roman" w:eastAsia="仿宋" w:cs="Times New Roman"/>
                <w:snapToGrid w:val="0"/>
                <w:color w:val="000000"/>
                <w:spacing w:val="-6"/>
                <w:kern w:val="0"/>
                <w:sz w:val="21"/>
                <w:szCs w:val="21"/>
                <w:lang w:val="en-US" w:eastAsia="zh-CN"/>
              </w:rPr>
              <w:t>7</w:t>
            </w:r>
          </w:p>
        </w:tc>
        <w:tc>
          <w:tcPr>
            <w:tcW w:w="2960"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spacing w:val="2"/>
                <w:kern w:val="0"/>
                <w:sz w:val="21"/>
                <w:szCs w:val="21"/>
                <w:lang w:val="en-US" w:eastAsia="zh-CN"/>
              </w:rPr>
            </w:pPr>
            <w:r>
              <w:rPr>
                <w:rFonts w:hint="default" w:ascii="Times New Roman" w:hAnsi="Times New Roman" w:eastAsia="仿宋" w:cs="Times New Roman"/>
                <w:i w:val="0"/>
                <w:iCs w:val="0"/>
                <w:color w:val="000000"/>
                <w:kern w:val="0"/>
                <w:sz w:val="22"/>
                <w:szCs w:val="22"/>
                <w:u w:val="none"/>
                <w:lang w:val="en-US" w:eastAsia="zh-CN" w:bidi="ar"/>
              </w:rPr>
              <w:t>其他交通费用</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5.48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pacing w:val="-6"/>
                <w:sz w:val="21"/>
                <w:szCs w:val="21"/>
                <w:lang w:val="en-US" w:eastAsia="zh-CN"/>
              </w:rPr>
            </w:pPr>
            <w:r>
              <w:rPr>
                <w:rFonts w:hint="eastAsia" w:ascii="Times New Roman" w:hAnsi="Times New Roman" w:eastAsia="仿宋" w:cs="Times New Roman"/>
                <w:spacing w:val="-6"/>
                <w:sz w:val="21"/>
                <w:szCs w:val="21"/>
                <w:lang w:val="en-US" w:eastAsia="zh-CN"/>
              </w:rPr>
              <w:t>8</w:t>
            </w:r>
          </w:p>
        </w:tc>
        <w:tc>
          <w:tcPr>
            <w:tcW w:w="2960"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其他商品和服务支出</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pacing w:val="-6"/>
                <w:sz w:val="21"/>
                <w:szCs w:val="21"/>
                <w:lang w:val="en-US" w:eastAsia="zh-CN"/>
              </w:rPr>
            </w:pPr>
            <w:r>
              <w:rPr>
                <w:rFonts w:hint="eastAsia" w:ascii="Times New Roman" w:hAnsi="Times New Roman" w:eastAsia="仿宋" w:cs="Times New Roman"/>
                <w:spacing w:val="-6"/>
                <w:sz w:val="21"/>
                <w:szCs w:val="21"/>
                <w:lang w:val="en-US" w:eastAsia="zh-CN"/>
              </w:rPr>
              <w:t>9</w:t>
            </w:r>
          </w:p>
        </w:tc>
        <w:tc>
          <w:tcPr>
            <w:tcW w:w="2960"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信息网络及软件购置更新</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28.70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b/>
                <w:bCs/>
                <w:spacing w:val="-3"/>
                <w:sz w:val="21"/>
                <w:szCs w:val="21"/>
              </w:rPr>
              <w:t>合计</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napToGrid w:val="0"/>
                <w:color w:val="000000"/>
                <w:kern w:val="0"/>
                <w:sz w:val="21"/>
                <w:szCs w:val="21"/>
              </w:rPr>
            </w:pP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b/>
                <w:bCs/>
                <w:spacing w:val="-4"/>
                <w:sz w:val="21"/>
                <w:szCs w:val="21"/>
                <w:lang w:val="en-US" w:eastAsia="zh-CN"/>
              </w:rPr>
              <w:t>199.41</w:t>
            </w:r>
          </w:p>
        </w:tc>
      </w:tr>
      <w:bookmarkEnd w:id="16"/>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bCs/>
          <w:sz w:val="32"/>
          <w:szCs w:val="32"/>
          <w:lang w:val="en-US" w:eastAsia="zh-CN"/>
        </w:rPr>
        <w:t>2、</w:t>
      </w:r>
      <w:r>
        <w:rPr>
          <w:rFonts w:hint="eastAsia" w:ascii="仿宋" w:hAnsi="仿宋" w:eastAsia="仿宋" w:cs="仿宋"/>
          <w:b/>
          <w:bCs/>
          <w:sz w:val="32"/>
          <w:szCs w:val="32"/>
          <w:lang w:val="en-US" w:eastAsia="zh-CN"/>
        </w:rPr>
        <w:t>“三公经费”</w:t>
      </w:r>
      <w:r>
        <w:rPr>
          <w:rFonts w:hint="default" w:ascii="Times New Roman Regular" w:hAnsi="Times New Roman Regular" w:eastAsia="仿宋" w:cs="Times New Roman Regular"/>
          <w:b/>
          <w:bCs/>
          <w:sz w:val="32"/>
          <w:szCs w:val="32"/>
          <w:lang w:val="en-US" w:eastAsia="zh-CN"/>
        </w:rPr>
        <w:t>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区行政审批服务局</w:t>
      </w:r>
      <w:r>
        <w:rPr>
          <w:rFonts w:hint="default" w:ascii="Times New Roman Regular" w:hAnsi="Times New Roman Regular" w:eastAsia="仿宋" w:cs="Times New Roman Regular"/>
          <w:b w:val="0"/>
          <w:bCs w:val="0"/>
          <w:sz w:val="32"/>
          <w:szCs w:val="32"/>
          <w:lang w:val="en-US" w:eastAsia="zh-CN"/>
        </w:rPr>
        <w:t>2022年度部门决算报表，2022年</w:t>
      </w:r>
      <w:r>
        <w:rPr>
          <w:rFonts w:hint="eastAsia" w:ascii="仿宋" w:hAnsi="仿宋" w:eastAsia="仿宋" w:cs="仿宋"/>
          <w:b w:val="0"/>
          <w:bCs w:val="0"/>
          <w:sz w:val="32"/>
          <w:szCs w:val="32"/>
          <w:lang w:val="en-US" w:eastAsia="zh-CN"/>
        </w:rPr>
        <w:t>“三公经费”</w:t>
      </w:r>
      <w:r>
        <w:rPr>
          <w:rFonts w:hint="default" w:ascii="Times New Roman" w:hAnsi="Times New Roman" w:eastAsia="仿宋" w:cs="Times New Roman"/>
          <w:b w:val="0"/>
          <w:bCs w:val="0"/>
          <w:sz w:val="32"/>
          <w:szCs w:val="32"/>
          <w:lang w:val="en-US" w:eastAsia="zh-CN"/>
        </w:rPr>
        <w:t>年初预算数为</w:t>
      </w:r>
      <w:r>
        <w:rPr>
          <w:rFonts w:hint="eastAsia" w:ascii="Times New Roman" w:hAnsi="Times New Roman" w:eastAsia="仿宋" w:cs="Times New Roman"/>
          <w:b w:val="0"/>
          <w:bCs w:val="0"/>
          <w:sz w:val="32"/>
          <w:szCs w:val="32"/>
          <w:lang w:val="en-US" w:eastAsia="zh-CN"/>
        </w:rPr>
        <w:t>0.00</w:t>
      </w:r>
      <w:r>
        <w:rPr>
          <w:rFonts w:hint="default" w:ascii="Times New Roman" w:hAnsi="Times New Roman" w:eastAsia="仿宋" w:cs="Times New Roman"/>
          <w:b w:val="0"/>
          <w:bCs w:val="0"/>
          <w:sz w:val="32"/>
          <w:szCs w:val="32"/>
          <w:lang w:val="en-US" w:eastAsia="zh-CN"/>
        </w:rPr>
        <w:t>万元</w:t>
      </w:r>
      <w:r>
        <w:rPr>
          <w:rFonts w:hint="default" w:ascii="Times New Roman" w:hAnsi="Times New Roman" w:eastAsia="仿宋" w:cs="Times New Roman"/>
          <w:b w:val="0"/>
          <w:bCs w:val="0"/>
          <w:color w:val="auto"/>
          <w:sz w:val="32"/>
          <w:szCs w:val="32"/>
          <w:lang w:val="en-US" w:eastAsia="zh-CN"/>
        </w:rPr>
        <w:t>，2022年共计支出</w:t>
      </w:r>
      <w:r>
        <w:rPr>
          <w:rFonts w:hint="eastAsia" w:ascii="Times New Roman" w:hAnsi="Times New Roman" w:eastAsia="仿宋" w:cs="Times New Roman"/>
          <w:b w:val="0"/>
          <w:bCs w:val="0"/>
          <w:color w:val="auto"/>
          <w:sz w:val="32"/>
          <w:szCs w:val="32"/>
          <w:lang w:val="en-US" w:eastAsia="zh-CN"/>
        </w:rPr>
        <w:t>0.00</w:t>
      </w:r>
      <w:r>
        <w:rPr>
          <w:rFonts w:hint="default" w:ascii="Times New Roman" w:hAnsi="Times New Roman" w:eastAsia="仿宋" w:cs="Times New Roman"/>
          <w:b w:val="0"/>
          <w:bCs w:val="0"/>
          <w:color w:val="auto"/>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Times New Roman Regular" w:hAnsi="Times New Roman Regular" w:eastAsia="仿宋" w:cs="Times New Roman Regular"/>
          <w:b/>
          <w:bCs/>
          <w:sz w:val="32"/>
          <w:szCs w:val="32"/>
          <w:lang w:val="en-US" w:eastAsia="zh-CN"/>
        </w:rPr>
      </w:pPr>
      <w:r>
        <w:rPr>
          <w:rFonts w:hint="default" w:ascii="Times New Roman Regular" w:hAnsi="Times New Roman Regular" w:eastAsia="仿宋" w:cs="Times New Roman Regular"/>
          <w:b/>
          <w:bCs/>
          <w:sz w:val="32"/>
          <w:szCs w:val="32"/>
          <w:lang w:val="en-US" w:eastAsia="zh-CN"/>
        </w:rPr>
        <w:t>3、项目支出情况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cs="Times New Roman Regular" w:eastAsiaTheme="minorEastAsia"/>
          <w:color w:val="auto"/>
          <w:kern w:val="2"/>
          <w:sz w:val="32"/>
          <w:szCs w:val="32"/>
          <w:lang w:val="en-US" w:eastAsia="zh-CN" w:bidi="ar-SA"/>
        </w:rPr>
      </w:pPr>
      <w:r>
        <w:rPr>
          <w:rFonts w:hint="default" w:ascii="Times New Roman Regular" w:hAnsi="Times New Roman Regular" w:eastAsia="仿宋" w:cs="Times New Roman Regular"/>
          <w:b w:val="0"/>
          <w:bCs w:val="0"/>
          <w:color w:val="auto"/>
          <w:sz w:val="32"/>
          <w:szCs w:val="32"/>
          <w:lang w:val="en-US" w:eastAsia="zh-CN"/>
        </w:rPr>
        <w:t>根据</w:t>
      </w:r>
      <w:r>
        <w:rPr>
          <w:rFonts w:hint="eastAsia" w:ascii="Times New Roman Regular" w:hAnsi="Times New Roman Regular" w:eastAsia="仿宋" w:cs="Times New Roman Regular"/>
          <w:b w:val="0"/>
          <w:bCs w:val="0"/>
          <w:color w:val="auto"/>
          <w:sz w:val="32"/>
          <w:szCs w:val="32"/>
          <w:lang w:val="en-US" w:eastAsia="zh-CN"/>
        </w:rPr>
        <w:t>区行政审批服务局</w:t>
      </w:r>
      <w:r>
        <w:rPr>
          <w:rFonts w:hint="default" w:ascii="Times New Roman Regular" w:hAnsi="Times New Roman Regular" w:eastAsia="仿宋" w:cs="Times New Roman Regular"/>
          <w:b w:val="0"/>
          <w:bCs w:val="0"/>
          <w:color w:val="auto"/>
          <w:sz w:val="32"/>
          <w:szCs w:val="32"/>
          <w:lang w:val="en-US" w:eastAsia="zh-CN"/>
        </w:rPr>
        <w:t>2022年度部门决算报表，2022年度项目支出共计</w:t>
      </w:r>
      <w:r>
        <w:rPr>
          <w:rFonts w:hint="eastAsia" w:ascii="Times New Roman Regular" w:hAnsi="Times New Roman Regular" w:eastAsia="仿宋" w:cs="Times New Roman Regular"/>
          <w:b w:val="0"/>
          <w:bCs w:val="0"/>
          <w:color w:val="auto"/>
          <w:sz w:val="32"/>
          <w:szCs w:val="32"/>
          <w:lang w:val="en-US" w:eastAsia="zh-CN"/>
        </w:rPr>
        <w:t>196.14</w:t>
      </w:r>
      <w:r>
        <w:rPr>
          <w:rFonts w:hint="default" w:ascii="Times New Roman Regular" w:hAnsi="Times New Roman Regular" w:eastAsia="仿宋" w:cs="Times New Roman Regular"/>
          <w:b w:val="0"/>
          <w:bCs w:val="0"/>
          <w:color w:val="auto"/>
          <w:sz w:val="32"/>
          <w:szCs w:val="32"/>
          <w:lang w:val="en-US" w:eastAsia="zh-CN"/>
        </w:rPr>
        <w:t>万元，见下表：</w:t>
      </w:r>
      <w:r>
        <w:rPr>
          <w:rFonts w:hint="default" w:ascii="Times New Roman Regular" w:hAnsi="Times New Roman Regular" w:cs="Times New Roman Regular"/>
          <w:color w:val="auto"/>
          <w:kern w:val="2"/>
          <w:sz w:val="32"/>
          <w:szCs w:val="32"/>
          <w:lang w:val="en-US" w:eastAsia="zh-CN" w:bidi="ar-SA"/>
        </w:rPr>
        <w:tab/>
      </w:r>
    </w:p>
    <w:tbl>
      <w:tblPr>
        <w:tblStyle w:val="18"/>
        <w:tblW w:w="8269"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4894"/>
        <w:gridCol w:w="2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blHeader/>
        </w:trPr>
        <w:tc>
          <w:tcPr>
            <w:tcW w:w="133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b/>
                <w:bCs/>
                <w:spacing w:val="-5"/>
                <w:sz w:val="21"/>
                <w:szCs w:val="21"/>
              </w:rPr>
              <w:t>序号</w:t>
            </w:r>
          </w:p>
        </w:tc>
        <w:tc>
          <w:tcPr>
            <w:tcW w:w="4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b/>
                <w:bCs/>
                <w:spacing w:val="6"/>
                <w:sz w:val="21"/>
                <w:szCs w:val="21"/>
              </w:rPr>
              <w:t>支出项目</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b/>
                <w:bCs/>
                <w:spacing w:val="4"/>
                <w:sz w:val="21"/>
                <w:szCs w:val="21"/>
              </w:rPr>
              <w:t>金额</w:t>
            </w:r>
            <w:r>
              <w:rPr>
                <w:rFonts w:hint="default" w:ascii="Times New Roman" w:hAnsi="Times New Roman" w:eastAsia="仿宋" w:cs="Times New Roman"/>
                <w:b/>
                <w:bCs/>
                <w:spacing w:val="4"/>
                <w:sz w:val="21"/>
                <w:szCs w:val="21"/>
                <w:lang w:eastAsia="zh-CN"/>
              </w:rPr>
              <w:t>（</w:t>
            </w:r>
            <w:r>
              <w:rPr>
                <w:rFonts w:hint="default" w:ascii="Times New Roman" w:hAnsi="Times New Roman" w:eastAsia="仿宋" w:cs="Times New Roman"/>
                <w:b/>
                <w:bCs/>
                <w:spacing w:val="4"/>
                <w:sz w:val="21"/>
                <w:szCs w:val="21"/>
              </w:rPr>
              <w:t>万元</w:t>
            </w:r>
            <w:r>
              <w:rPr>
                <w:rFonts w:hint="default" w:ascii="Times New Roman" w:hAnsi="Times New Roman" w:eastAsia="仿宋" w:cs="Times New Roman"/>
                <w:b/>
                <w:bCs/>
                <w:spacing w:val="4"/>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val="0"/>
                <w:bCs w:val="0"/>
                <w:sz w:val="21"/>
                <w:szCs w:val="21"/>
                <w:lang w:val="en-US" w:eastAsia="zh-CN"/>
              </w:rPr>
            </w:pPr>
            <w:r>
              <w:rPr>
                <w:rFonts w:hint="eastAsia" w:ascii="Times New Roman Regular" w:hAnsi="Times New Roman Regular" w:eastAsia="仿宋" w:cs="Times New Roman Regular"/>
                <w:b w:val="0"/>
                <w:bCs w:val="0"/>
                <w:sz w:val="21"/>
                <w:szCs w:val="21"/>
                <w:lang w:val="en-US" w:eastAsia="zh-CN"/>
              </w:rPr>
              <w:t>1</w:t>
            </w:r>
          </w:p>
        </w:tc>
        <w:tc>
          <w:tcPr>
            <w:tcW w:w="4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val="0"/>
                <w:bCs w:val="0"/>
                <w:sz w:val="21"/>
                <w:szCs w:val="21"/>
                <w:lang w:val="en-US" w:eastAsia="zh-CN"/>
              </w:rPr>
            </w:pPr>
            <w:r>
              <w:rPr>
                <w:rFonts w:hint="eastAsia" w:ascii="Times New Roman Regular" w:hAnsi="Times New Roman Regular" w:eastAsia="仿宋" w:cs="Times New Roman Regular"/>
                <w:b w:val="0"/>
                <w:bCs w:val="0"/>
                <w:snapToGrid w:val="0"/>
                <w:color w:val="000000"/>
                <w:kern w:val="0"/>
                <w:sz w:val="21"/>
                <w:szCs w:val="21"/>
                <w:lang w:val="en-US" w:eastAsia="zh-CN"/>
              </w:rPr>
              <w:t>其他政府办公厅（室）及相关机构事务支出</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val="0"/>
                <w:bCs w:val="0"/>
                <w:sz w:val="21"/>
                <w:szCs w:val="21"/>
                <w:lang w:val="en-US" w:eastAsia="zh-CN"/>
              </w:rPr>
            </w:pPr>
            <w:r>
              <w:rPr>
                <w:rFonts w:hint="eastAsia" w:ascii="Times New Roman Regular" w:hAnsi="Times New Roman Regular" w:eastAsia="仿宋" w:cs="Times New Roman Regular"/>
                <w:b w:val="0"/>
                <w:bCs w:val="0"/>
                <w:sz w:val="21"/>
                <w:szCs w:val="21"/>
                <w:lang w:val="en-US" w:eastAsia="zh-CN"/>
              </w:rPr>
              <w:t>196.41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2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val="0"/>
                <w:bCs w:val="0"/>
                <w:snapToGrid w:val="0"/>
                <w:color w:val="000000"/>
                <w:kern w:val="0"/>
                <w:sz w:val="21"/>
                <w:szCs w:val="21"/>
                <w:lang w:val="en-US" w:eastAsia="zh-CN"/>
              </w:rPr>
            </w:pPr>
            <w:r>
              <w:rPr>
                <w:rFonts w:hint="eastAsia" w:ascii="Times New Roman Regular" w:hAnsi="Times New Roman Regular" w:eastAsia="仿宋" w:cs="Times New Roman Regular"/>
                <w:b w:val="0"/>
                <w:bCs w:val="0"/>
                <w:snapToGrid w:val="0"/>
                <w:color w:val="000000"/>
                <w:kern w:val="0"/>
                <w:sz w:val="21"/>
                <w:szCs w:val="21"/>
                <w:lang w:val="en-US" w:eastAsia="zh-CN"/>
              </w:rPr>
              <w:t>合计</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val="0"/>
                <w:bCs w:val="0"/>
                <w:snapToGrid w:val="0"/>
                <w:color w:val="000000"/>
                <w:kern w:val="0"/>
                <w:sz w:val="21"/>
                <w:szCs w:val="21"/>
                <w:lang w:val="en-US" w:eastAsia="zh-CN"/>
              </w:rPr>
            </w:pPr>
            <w:r>
              <w:rPr>
                <w:rFonts w:hint="eastAsia" w:ascii="Times New Roman Regular" w:hAnsi="Times New Roman Regular" w:eastAsia="仿宋" w:cs="Times New Roman Regular"/>
                <w:b w:val="0"/>
                <w:bCs w:val="0"/>
                <w:snapToGrid w:val="0"/>
                <w:color w:val="000000"/>
                <w:kern w:val="0"/>
                <w:sz w:val="21"/>
                <w:szCs w:val="21"/>
                <w:lang w:val="en-US" w:eastAsia="zh-CN"/>
              </w:rPr>
              <w:t>196.14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7" w:name="_Toc4432"/>
      <w:bookmarkStart w:id="18" w:name="_Toc16211"/>
      <w:r>
        <w:rPr>
          <w:rFonts w:hint="default" w:ascii="Times New Roman Regular" w:hAnsi="Times New Roman Regular" w:eastAsia="楷体" w:cs="Times New Roman Regular"/>
          <w:b/>
          <w:bCs/>
          <w:sz w:val="32"/>
          <w:szCs w:val="32"/>
          <w:lang w:val="en-US" w:eastAsia="zh-CN"/>
        </w:rPr>
        <w:t>（三）资金管理情况</w:t>
      </w:r>
      <w:bookmarkEnd w:id="17"/>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区行政审批服务局</w:t>
      </w:r>
      <w:r>
        <w:rPr>
          <w:rFonts w:hint="default" w:ascii="Times New Roman Regular" w:hAnsi="Times New Roman Regular" w:eastAsia="仿宋" w:cs="Times New Roman Regular"/>
          <w:b w:val="0"/>
          <w:bCs w:val="0"/>
          <w:sz w:val="32"/>
          <w:szCs w:val="32"/>
          <w:lang w:val="en-US" w:eastAsia="zh-CN"/>
        </w:rPr>
        <w:t>制定了《财务管理</w:t>
      </w:r>
      <w:r>
        <w:rPr>
          <w:rFonts w:hint="eastAsia" w:ascii="Times New Roman Regular" w:hAnsi="Times New Roman Regular" w:eastAsia="仿宋" w:cs="Times New Roman Regular"/>
          <w:b w:val="0"/>
          <w:bCs w:val="0"/>
          <w:sz w:val="32"/>
          <w:szCs w:val="32"/>
          <w:lang w:val="en-US" w:eastAsia="zh-CN"/>
        </w:rPr>
        <w:t>制度</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从收入管理、支出管理、资产管理、财务监督等方面进行了有关规定，</w:t>
      </w:r>
      <w:r>
        <w:rPr>
          <w:rFonts w:hint="default" w:ascii="Times New Roman Regular" w:hAnsi="Times New Roman Regular" w:eastAsia="仿宋" w:cs="Times New Roman Regular"/>
          <w:b w:val="0"/>
          <w:bCs w:val="0"/>
          <w:sz w:val="32"/>
          <w:szCs w:val="32"/>
          <w:lang w:val="en-US" w:eastAsia="zh-CN"/>
        </w:rPr>
        <w:t>严格按照有关财务制度，加强机关财务管理，节约使用资金，降低行政成本。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19" w:name="_Toc13331"/>
      <w:bookmarkStart w:id="20" w:name="_Toc6041"/>
      <w:r>
        <w:rPr>
          <w:rFonts w:hint="default" w:ascii="Times New Roman Regular" w:hAnsi="Times New Roman Regular" w:eastAsia="黑体" w:cs="Times New Roman Regular"/>
          <w:b/>
          <w:bCs/>
          <w:kern w:val="2"/>
          <w:sz w:val="32"/>
          <w:szCs w:val="32"/>
          <w:lang w:val="en-US" w:eastAsia="zh-CN" w:bidi="ar-SA"/>
        </w:rPr>
        <w:t>三、制度建设情况</w:t>
      </w:r>
      <w:bookmarkEnd w:id="19"/>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1" w:name="_Toc22164"/>
      <w:bookmarkStart w:id="22" w:name="_Toc16294"/>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一</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内控</w:t>
      </w:r>
      <w:r>
        <w:rPr>
          <w:rFonts w:hint="default" w:ascii="Times New Roman Regular" w:hAnsi="Times New Roman Regular" w:eastAsia="楷体" w:cs="Times New Roman Regular"/>
          <w:b/>
          <w:bCs/>
          <w:sz w:val="32"/>
          <w:szCs w:val="32"/>
          <w:lang w:val="en-US" w:eastAsia="zh-CN"/>
        </w:rPr>
        <w:t>制度建设情况</w:t>
      </w:r>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区行政审批服务局</w:t>
      </w:r>
      <w:r>
        <w:rPr>
          <w:rFonts w:hint="default" w:ascii="Times New Roman Regular" w:hAnsi="Times New Roman Regular" w:eastAsia="仿宋" w:cs="Times New Roman Regular"/>
          <w:b w:val="0"/>
          <w:bCs w:val="0"/>
          <w:sz w:val="32"/>
          <w:szCs w:val="32"/>
          <w:lang w:val="en-US" w:eastAsia="zh-CN"/>
        </w:rPr>
        <w:t>制定了《</w:t>
      </w:r>
      <w:r>
        <w:rPr>
          <w:rFonts w:hint="eastAsia" w:ascii="Times New Roman Regular" w:hAnsi="Times New Roman Regular" w:eastAsia="仿宋" w:cs="Times New Roman Regular"/>
          <w:b w:val="0"/>
          <w:bCs w:val="0"/>
          <w:sz w:val="32"/>
          <w:szCs w:val="32"/>
          <w:lang w:val="en-US" w:eastAsia="zh-CN"/>
        </w:rPr>
        <w:t>北塔区行政审批服务局财务工作内部牵制制度</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主要对财务工作的权限职责划分、经济业务的办理流程、财务工作内部牵制组织形式与方式、岗位设置及限制性原则</w:t>
      </w:r>
      <w:r>
        <w:rPr>
          <w:rFonts w:hint="default" w:ascii="Times New Roman Regular" w:hAnsi="Times New Roman Regular" w:eastAsia="仿宋" w:cs="Times New Roman Regular"/>
          <w:b w:val="0"/>
          <w:bCs w:val="0"/>
          <w:sz w:val="32"/>
          <w:szCs w:val="32"/>
          <w:lang w:val="en-US" w:eastAsia="zh-CN"/>
        </w:rPr>
        <w:t>等</w:t>
      </w:r>
      <w:r>
        <w:rPr>
          <w:rFonts w:hint="eastAsia" w:ascii="Times New Roman Regular" w:hAnsi="Times New Roman Regular" w:eastAsia="仿宋" w:cs="Times New Roman Regular"/>
          <w:b w:val="0"/>
          <w:bCs w:val="0"/>
          <w:sz w:val="32"/>
          <w:szCs w:val="32"/>
          <w:lang w:val="en-US" w:eastAsia="zh-CN"/>
        </w:rPr>
        <w:t>方面</w:t>
      </w:r>
      <w:r>
        <w:rPr>
          <w:rFonts w:hint="default" w:ascii="Times New Roman Regular" w:hAnsi="Times New Roman Regular" w:eastAsia="仿宋" w:cs="Times New Roman Regular"/>
          <w:b w:val="0"/>
          <w:bCs w:val="0"/>
          <w:sz w:val="32"/>
          <w:szCs w:val="32"/>
          <w:lang w:val="en-US" w:eastAsia="zh-CN"/>
        </w:rPr>
        <w:t>做出了具体规定。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3" w:name="_Toc32169"/>
      <w:bookmarkStart w:id="24" w:name="_Toc19087"/>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）资产管理制度建设情况</w:t>
      </w:r>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为</w:t>
      </w:r>
      <w:r>
        <w:rPr>
          <w:rFonts w:hint="default" w:ascii="Times New Roman Regular" w:hAnsi="Times New Roman Regular" w:eastAsia="仿宋" w:cs="Times New Roman Regular"/>
          <w:b w:val="0"/>
          <w:bCs w:val="0"/>
          <w:sz w:val="32"/>
          <w:szCs w:val="32"/>
          <w:lang w:val="en-US" w:eastAsia="zh-CN"/>
        </w:rPr>
        <w:t>加强和规范国有资产管理，保障国有资产的安全完整，推进节约型机关建设，根据财政部《行政事业单位国有资产管理暂行办法》和《行政事业单位内部控制规范（试行）》要求，</w:t>
      </w:r>
      <w:r>
        <w:rPr>
          <w:rFonts w:hint="eastAsia" w:ascii="Times New Roman Regular" w:hAnsi="Times New Roman Regular" w:eastAsia="仿宋" w:cs="Times New Roman Regular"/>
          <w:b w:val="0"/>
          <w:bCs w:val="0"/>
          <w:sz w:val="32"/>
          <w:szCs w:val="32"/>
          <w:lang w:val="en-US" w:eastAsia="zh-CN"/>
        </w:rPr>
        <w:t>在《财务管理制度》对有关资产管理进行了规定。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5" w:name="_Toc10378"/>
      <w:bookmarkStart w:id="26" w:name="_Toc1759"/>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三</w:t>
      </w:r>
      <w:r>
        <w:rPr>
          <w:rFonts w:hint="default" w:ascii="Times New Roman Regular" w:hAnsi="Times New Roman Regular" w:eastAsia="楷体" w:cs="Times New Roman Regular"/>
          <w:b/>
          <w:bCs/>
          <w:sz w:val="32"/>
          <w:szCs w:val="32"/>
          <w:lang w:val="en-US" w:eastAsia="zh-CN"/>
        </w:rPr>
        <w:t>）政府采购制度建设情况</w:t>
      </w:r>
      <w:bookmarkEnd w:id="25"/>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Times New Roman Regular" w:hAnsi="Times New Roman Regular" w:eastAsia="仿宋" w:cs="Times New Roman Regular"/>
          <w:b w:val="0"/>
          <w:bCs w:val="0"/>
          <w:sz w:val="32"/>
          <w:szCs w:val="32"/>
          <w:lang w:val="en-US" w:eastAsia="zh-CN"/>
        </w:rPr>
      </w:pPr>
      <w:bookmarkStart w:id="27" w:name="_Toc12590"/>
      <w:bookmarkStart w:id="28" w:name="_Toc21277"/>
      <w:bookmarkStart w:id="29" w:name="_Toc15041"/>
      <w:r>
        <w:rPr>
          <w:rFonts w:hint="eastAsia" w:ascii="Times New Roman Regular" w:hAnsi="Times New Roman Regular" w:eastAsia="仿宋" w:cs="Times New Roman Regular"/>
          <w:b w:val="0"/>
          <w:bCs w:val="0"/>
          <w:sz w:val="32"/>
          <w:szCs w:val="32"/>
          <w:lang w:val="en-US" w:eastAsia="zh-CN"/>
        </w:rPr>
        <w:t>区行政审批服务局制定了《采购管理制度》，主要对部门采购的职责划分、组织形式与方式、政府采购预算、政府采购实施计划、采购审批流程、采购验收与结算等方面做出了具体规定。</w:t>
      </w:r>
      <w:bookmarkEnd w:id="27"/>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30" w:name="_Toc29025"/>
      <w:r>
        <w:rPr>
          <w:rFonts w:hint="default" w:ascii="Times New Roman Regular" w:hAnsi="Times New Roman Regular" w:eastAsia="黑体" w:cs="Times New Roman Regular"/>
          <w:b/>
          <w:bCs/>
          <w:kern w:val="2"/>
          <w:sz w:val="32"/>
          <w:szCs w:val="32"/>
          <w:lang w:val="en-US" w:eastAsia="zh-CN" w:bidi="ar-SA"/>
        </w:rPr>
        <w:t>四、第三方重点绩效评价工作情况</w:t>
      </w:r>
      <w:bookmarkEnd w:id="29"/>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31" w:name="_Toc146"/>
      <w:bookmarkStart w:id="32" w:name="_Toc12758"/>
      <w:r>
        <w:rPr>
          <w:rFonts w:hint="default" w:ascii="Times New Roman Regular" w:hAnsi="Times New Roman Regular" w:eastAsia="楷体" w:cs="Times New Roman Regular"/>
          <w:b/>
          <w:bCs/>
          <w:sz w:val="32"/>
          <w:szCs w:val="32"/>
          <w:lang w:val="en-US" w:eastAsia="zh-CN"/>
        </w:rPr>
        <w:t>（一）重点绩效评价目的</w:t>
      </w:r>
      <w:bookmarkEnd w:id="31"/>
      <w:bookmarkEnd w:id="3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通过开展第三方重点绩效评价，全面了解、分析部门</w:t>
      </w:r>
      <w:r>
        <w:rPr>
          <w:rFonts w:hint="eastAsia" w:ascii="Times New Roman Regular" w:hAnsi="Times New Roman Regular" w:eastAsia="仿宋" w:cs="Times New Roman Regular"/>
          <w:b w:val="0"/>
          <w:bCs w:val="0"/>
          <w:sz w:val="32"/>
          <w:szCs w:val="32"/>
          <w:lang w:val="en-US" w:eastAsia="zh-CN"/>
        </w:rPr>
        <w:t>整体</w:t>
      </w:r>
      <w:r>
        <w:rPr>
          <w:rFonts w:hint="default" w:ascii="Times New Roman Regular" w:hAnsi="Times New Roman Regular" w:eastAsia="仿宋" w:cs="Times New Roman Regular"/>
          <w:b w:val="0"/>
          <w:bCs w:val="0"/>
          <w:sz w:val="32"/>
          <w:szCs w:val="32"/>
          <w:lang w:val="en-US" w:eastAsia="zh-CN"/>
        </w:rPr>
        <w:t>支出情况，包括部门基本支出和项目支出。主要是部门财政支出管理情况，具体从资金的投入、过程、产出和效果四个方面进行评价。重点评价关注贯彻落实厉行节约、严控</w:t>
      </w:r>
      <w:r>
        <w:rPr>
          <w:rFonts w:hint="eastAsia" w:ascii="仿宋" w:hAnsi="仿宋" w:eastAsia="仿宋" w:cs="仿宋"/>
          <w:b w:val="0"/>
          <w:bCs w:val="0"/>
          <w:sz w:val="32"/>
          <w:szCs w:val="32"/>
          <w:lang w:val="en-US" w:eastAsia="zh-CN"/>
        </w:rPr>
        <w:t>“三公”</w:t>
      </w:r>
      <w:r>
        <w:rPr>
          <w:rFonts w:hint="default" w:ascii="Times New Roman Regular" w:hAnsi="Times New Roman Regular" w:eastAsia="仿宋" w:cs="Times New Roman Regular"/>
          <w:b w:val="0"/>
          <w:bCs w:val="0"/>
          <w:sz w:val="32"/>
          <w:szCs w:val="32"/>
          <w:lang w:val="en-US" w:eastAsia="zh-CN"/>
        </w:rPr>
        <w:t>经费、降低一般运行经费、加强项目支出管理等方面取得的成绩、存在的问题及改进措施。增强职能设置科学合理性、</w:t>
      </w:r>
      <w:r>
        <w:rPr>
          <w:rFonts w:hint="default" w:ascii="Times New Roman Regular" w:hAnsi="Times New Roman Regular" w:eastAsia="仿宋" w:cs="Times New Roman Regular"/>
          <w:b w:val="0"/>
          <w:bCs w:val="0"/>
          <w:color w:val="auto"/>
          <w:sz w:val="32"/>
          <w:szCs w:val="32"/>
          <w:lang w:val="en-US" w:eastAsia="zh-CN"/>
        </w:rPr>
        <w:t>部门中长期财政规划适应性、</w:t>
      </w:r>
      <w:r>
        <w:rPr>
          <w:rFonts w:hint="default" w:ascii="Times New Roman Regular" w:hAnsi="Times New Roman Regular" w:eastAsia="仿宋" w:cs="Times New Roman Regular"/>
          <w:b w:val="0"/>
          <w:bCs w:val="0"/>
          <w:sz w:val="32"/>
          <w:szCs w:val="32"/>
          <w:lang w:val="en-US" w:eastAsia="zh-CN"/>
        </w:rPr>
        <w:t>年度工作计划科学完整性、年度绩效目标明确性、年度部门预算计划科学性，规划部门预算执行管理、内部制度管理，切实提高部门产出及效益。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33" w:name="_Toc31757"/>
      <w:bookmarkStart w:id="34" w:name="_Toc27861"/>
      <w:r>
        <w:rPr>
          <w:rFonts w:hint="default" w:ascii="Times New Roman Regular" w:hAnsi="Times New Roman Regular" w:eastAsia="楷体" w:cs="Times New Roman Regular"/>
          <w:b/>
          <w:bCs/>
          <w:sz w:val="32"/>
          <w:szCs w:val="32"/>
          <w:lang w:val="en-US" w:eastAsia="zh-CN"/>
        </w:rPr>
        <w:t>（二）重点绩效评价工作过程</w:t>
      </w:r>
      <w:bookmarkEnd w:id="33"/>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参考</w:t>
      </w:r>
      <w:r>
        <w:rPr>
          <w:rFonts w:hint="eastAsia" w:ascii="仿宋_GB2312" w:hAnsi="仿宋_GB2312" w:eastAsia="仿宋_GB2312" w:cs="仿宋_GB2312"/>
          <w:sz w:val="32"/>
          <w:szCs w:val="32"/>
          <w:lang w:val="en-US" w:eastAsia="zh-CN"/>
        </w:rPr>
        <w:t>《湖南省财政厅关于印发&lt;湖南省预算支出绩效评价管理办法&gt;的通知》（湘财绩〔</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号）</w:t>
      </w:r>
      <w:r>
        <w:rPr>
          <w:rFonts w:hint="default" w:ascii="Times New Roman Regular" w:hAnsi="Times New Roman Regular" w:eastAsia="仿宋" w:cs="Times New Roman Regular"/>
          <w:b w:val="0"/>
          <w:bCs w:val="0"/>
          <w:sz w:val="32"/>
          <w:szCs w:val="32"/>
          <w:lang w:val="en-US" w:eastAsia="zh-CN"/>
        </w:rPr>
        <w:t>的要求和相关政策规定，我所按下列步骤开展了绩效评价工作：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1、前期准备。专人成立重点绩效评价工作小组，明确了工作职责，制定了现场评价方案，并设计了相关表格，通过联系相关单位，确定了绩效评价的实施时间。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2、具体实施。一是收集、检查单位资料。收集单位三定方案、制度建设、资金拨付明细、预决算报表、工作计划与总结等资料；核查相关制度是否完善，专项项目申报、审批、实施、验收等程序是否合规，资金拨付手续是否齐全，是否存在截留、挪用等情况；二是进入单位实地查看。</w:t>
      </w:r>
      <w:r>
        <w:rPr>
          <w:rFonts w:hint="eastAsia" w:ascii="Times New Roman Regular" w:hAnsi="Times New Roman Regular" w:eastAsia="仿宋" w:cs="Times New Roman Regular"/>
          <w:b w:val="0"/>
          <w:bCs w:val="0"/>
          <w:sz w:val="32"/>
          <w:szCs w:val="32"/>
          <w:lang w:val="en-US" w:eastAsia="zh-CN"/>
        </w:rPr>
        <w:t>通过</w:t>
      </w:r>
      <w:r>
        <w:rPr>
          <w:rFonts w:hint="default" w:ascii="Times New Roman Regular" w:hAnsi="Times New Roman Regular" w:eastAsia="仿宋" w:cs="Times New Roman Regular"/>
          <w:b w:val="0"/>
          <w:bCs w:val="0"/>
          <w:sz w:val="32"/>
          <w:szCs w:val="32"/>
          <w:lang w:val="en-US" w:eastAsia="zh-CN"/>
        </w:rPr>
        <w:t>与相关负责人员面对面交谈、现场查看</w:t>
      </w:r>
      <w:r>
        <w:rPr>
          <w:rFonts w:hint="eastAsia" w:ascii="Times New Roman Regular" w:hAnsi="Times New Roman Regular" w:eastAsia="仿宋" w:cs="Times New Roman Regular"/>
          <w:b w:val="0"/>
          <w:bCs w:val="0"/>
          <w:sz w:val="32"/>
          <w:szCs w:val="32"/>
          <w:lang w:val="en-US" w:eastAsia="zh-CN"/>
        </w:rPr>
        <w:t>区行政审批服务局</w:t>
      </w:r>
      <w:r>
        <w:rPr>
          <w:rFonts w:hint="default" w:ascii="Times New Roman Regular" w:hAnsi="Times New Roman Regular" w:eastAsia="仿宋" w:cs="Times New Roman Regular"/>
          <w:b w:val="0"/>
          <w:bCs w:val="0"/>
          <w:sz w:val="32"/>
          <w:szCs w:val="32"/>
          <w:lang w:val="en-US" w:eastAsia="zh-CN"/>
        </w:rPr>
        <w:t>专项项目实施等方式，采集了相关数据，核查了资金使用、相关制度落实等情况；三是形成评价报告。通过对相关资料进行综合分析，按照确定的评价指标和标准，结合现场评价情况，得出评价结论，形成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35" w:name="_Toc1316"/>
      <w:bookmarkStart w:id="36" w:name="_Toc7889"/>
      <w:r>
        <w:rPr>
          <w:rFonts w:hint="default" w:ascii="Times New Roman Regular" w:hAnsi="Times New Roman Regular" w:eastAsia="黑体" w:cs="Times New Roman Regular"/>
          <w:b/>
          <w:bCs/>
          <w:kern w:val="2"/>
          <w:sz w:val="32"/>
          <w:szCs w:val="32"/>
          <w:lang w:val="en-US" w:eastAsia="zh-CN" w:bidi="ar-SA"/>
        </w:rPr>
        <w:t>五、部门整体支出绩效情况</w:t>
      </w:r>
      <w:bookmarkEnd w:id="35"/>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37" w:name="_Toc21733"/>
      <w:bookmarkStart w:id="38" w:name="_Toc21308"/>
      <w:r>
        <w:rPr>
          <w:rFonts w:hint="default" w:ascii="Times New Roman Regular" w:hAnsi="Times New Roman Regular" w:eastAsia="楷体" w:cs="Times New Roman Regular"/>
          <w:b/>
          <w:bCs/>
          <w:sz w:val="32"/>
          <w:szCs w:val="32"/>
          <w:lang w:val="en-US" w:eastAsia="zh-CN"/>
        </w:rPr>
        <w:t>（一）部门整体实际产出情况</w:t>
      </w:r>
      <w:bookmarkEnd w:id="37"/>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39" w:name="_Toc12228"/>
      <w:bookmarkStart w:id="40" w:name="_Toc32652"/>
      <w:bookmarkStart w:id="41" w:name="_Toc22797"/>
      <w:bookmarkStart w:id="42" w:name="_Toc24345"/>
      <w:r>
        <w:rPr>
          <w:rFonts w:hint="eastAsia" w:ascii="Times New Roman Regular" w:hAnsi="Times New Roman Regular" w:eastAsia="仿宋" w:cs="Times New Roman Regular"/>
          <w:b w:val="0"/>
          <w:bCs w:val="0"/>
          <w:color w:val="auto"/>
          <w:sz w:val="32"/>
          <w:szCs w:val="32"/>
          <w:lang w:val="en-US" w:eastAsia="zh-CN"/>
        </w:rPr>
        <w:t>1、</w:t>
      </w:r>
      <w:bookmarkEnd w:id="39"/>
      <w:bookmarkEnd w:id="40"/>
      <w:bookmarkStart w:id="43" w:name="_Toc31246"/>
      <w:bookmarkStart w:id="44" w:name="_Toc17474"/>
      <w:r>
        <w:rPr>
          <w:rFonts w:hint="eastAsia" w:ascii="Times New Roman Regular" w:hAnsi="Times New Roman Regular" w:eastAsia="仿宋" w:cs="Times New Roman Regular"/>
          <w:b w:val="0"/>
          <w:bCs w:val="0"/>
          <w:color w:val="auto"/>
          <w:sz w:val="32"/>
          <w:szCs w:val="32"/>
          <w:lang w:val="en-US" w:eastAsia="zh-CN"/>
        </w:rPr>
        <w:t>“一件事一次办”改革</w:t>
      </w:r>
      <w:bookmarkEnd w:id="41"/>
      <w:bookmarkEnd w:id="42"/>
    </w:p>
    <w:bookmarkEnd w:id="43"/>
    <w:bookmarkEnd w:id="44"/>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45" w:name="_Toc28471"/>
      <w:bookmarkStart w:id="46" w:name="_Toc12992"/>
      <w:bookmarkStart w:id="47" w:name="_Toc10374"/>
      <w:bookmarkStart w:id="48" w:name="_Toc550"/>
      <w:r>
        <w:rPr>
          <w:rFonts w:hint="eastAsia" w:ascii="Times New Roman Regular" w:hAnsi="Times New Roman Regular" w:eastAsia="仿宋" w:cs="Times New Roman Regular"/>
          <w:b w:val="0"/>
          <w:bCs w:val="0"/>
          <w:color w:val="auto"/>
          <w:sz w:val="32"/>
          <w:szCs w:val="32"/>
          <w:lang w:val="en-US" w:eastAsia="zh-CN"/>
        </w:rPr>
        <w:t>截止2022年12月13日，北塔区“一件事一次办”微信小程序注册人数为28716人，全市排名第4，用户注册数与当地人口占比23.4%。梳理编制与全市统一的《北塔区特殊群体服务“一件事一次办”办事指南》，北塔区共计20个大项、24个小项，各镇（街道） 印制办事指南纸质版，并制作易拉宝展示宣传。</w:t>
      </w:r>
      <w:bookmarkEnd w:id="45"/>
      <w:bookmarkEnd w:id="46"/>
    </w:p>
    <w:bookmarkEnd w:id="47"/>
    <w:bookmarkEnd w:id="48"/>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49" w:name="_Toc29926"/>
      <w:bookmarkStart w:id="50" w:name="_Toc29151"/>
      <w:bookmarkStart w:id="51" w:name="_Toc22093"/>
      <w:bookmarkStart w:id="52" w:name="_Toc9810"/>
      <w:r>
        <w:rPr>
          <w:rFonts w:hint="eastAsia" w:ascii="Times New Roman Regular" w:hAnsi="Times New Roman Regular" w:eastAsia="仿宋" w:cs="Times New Roman Regular"/>
          <w:b w:val="0"/>
          <w:bCs w:val="0"/>
          <w:color w:val="auto"/>
          <w:sz w:val="32"/>
          <w:szCs w:val="32"/>
          <w:lang w:val="en-US" w:eastAsia="zh-CN"/>
        </w:rPr>
        <w:t>“四推四减”、“银发服务”工作</w:t>
      </w:r>
      <w:bookmarkEnd w:id="49"/>
      <w:bookmarkEnd w:id="50"/>
    </w:p>
    <w:bookmarkEnd w:id="51"/>
    <w:bookmarkEnd w:id="52"/>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53" w:name="_Toc18352"/>
      <w:bookmarkStart w:id="54" w:name="_Toc26312"/>
      <w:bookmarkStart w:id="55" w:name="_Toc10181"/>
      <w:bookmarkStart w:id="56" w:name="_Toc28818"/>
      <w:r>
        <w:rPr>
          <w:rFonts w:hint="eastAsia" w:ascii="Times New Roman Regular" w:hAnsi="Times New Roman Regular" w:eastAsia="仿宋" w:cs="Times New Roman Regular"/>
          <w:b w:val="0"/>
          <w:bCs w:val="0"/>
          <w:color w:val="auto"/>
          <w:sz w:val="32"/>
          <w:szCs w:val="32"/>
          <w:lang w:val="en-US" w:eastAsia="zh-CN"/>
        </w:rPr>
        <w:t>大力推行帮代办制度，126名基层帮代办员今年办理 3153 件事项，减少企业群众跑腿次数 87%; 推行“一次告知”“一表申请”，减少办理环节 60%；推进关联单位数据共享、资料共用，减少申报材料 65%；推行“立即审批”、“容缺受理”，企业登记时间压缩至1个工作日。</w:t>
      </w:r>
      <w:bookmarkEnd w:id="53"/>
      <w:bookmarkEnd w:id="54"/>
    </w:p>
    <w:bookmarkEnd w:id="55"/>
    <w:bookmarkEnd w:id="56"/>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57" w:name="_Toc20992"/>
      <w:bookmarkStart w:id="58" w:name="_Toc27759"/>
      <w:bookmarkStart w:id="59" w:name="_Toc12181"/>
      <w:bookmarkStart w:id="60" w:name="_Toc23816"/>
      <w:r>
        <w:rPr>
          <w:rFonts w:hint="eastAsia" w:ascii="Times New Roman Regular" w:hAnsi="Times New Roman Regular" w:eastAsia="仿宋" w:cs="Times New Roman Regular"/>
          <w:b w:val="0"/>
          <w:bCs w:val="0"/>
          <w:color w:val="auto"/>
          <w:sz w:val="32"/>
          <w:szCs w:val="32"/>
          <w:lang w:val="en-US" w:eastAsia="zh-CN"/>
        </w:rPr>
        <w:t>“放管服”改革、优化营商环境工作</w:t>
      </w:r>
      <w:bookmarkEnd w:id="57"/>
      <w:bookmarkEnd w:id="58"/>
    </w:p>
    <w:bookmarkEnd w:id="59"/>
    <w:bookmarkEnd w:id="60"/>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61" w:name="_Toc24693"/>
      <w:bookmarkStart w:id="62" w:name="_Toc31943"/>
      <w:bookmarkStart w:id="63" w:name="_Toc15767"/>
      <w:bookmarkStart w:id="64" w:name="_Toc10119"/>
      <w:r>
        <w:rPr>
          <w:rFonts w:hint="eastAsia" w:ascii="Times New Roman Regular" w:hAnsi="Times New Roman Regular" w:eastAsia="仿宋" w:cs="Times New Roman Regular"/>
          <w:b w:val="0"/>
          <w:bCs w:val="0"/>
          <w:color w:val="auto"/>
          <w:sz w:val="32"/>
          <w:szCs w:val="32"/>
          <w:lang w:val="en-US" w:eastAsia="zh-CN"/>
        </w:rPr>
        <w:t>高标准扩建政务服务大厅。政务服务中心于 2022 年 4 月正式动工扩建，扩建后面积从870平米增加至5000余平米，2022 年 10 月重新投入运行，法律援助中心、婚姻登记中心、退役军人事务中心、就业服务中心、婚前检查服务等政府部门的行政审批和公共服务事项已集中入驻政务大厅。</w:t>
      </w:r>
      <w:bookmarkEnd w:id="61"/>
      <w:bookmarkEnd w:id="62"/>
    </w:p>
    <w:bookmarkEnd w:id="63"/>
    <w:bookmarkEnd w:id="64"/>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65" w:name="_Toc19610"/>
      <w:bookmarkStart w:id="66" w:name="_Toc15495"/>
      <w:bookmarkStart w:id="67" w:name="_Toc4947"/>
      <w:bookmarkStart w:id="68" w:name="_Toc1385"/>
      <w:r>
        <w:rPr>
          <w:rFonts w:hint="eastAsia" w:ascii="Times New Roman Regular" w:hAnsi="Times New Roman Regular" w:eastAsia="仿宋" w:cs="Times New Roman Regular"/>
          <w:b w:val="0"/>
          <w:bCs w:val="0"/>
          <w:color w:val="auto"/>
          <w:sz w:val="32"/>
          <w:szCs w:val="32"/>
          <w:lang w:val="en-US" w:eastAsia="zh-CN"/>
        </w:rPr>
        <w:t>“互联网+政务服务”和政务公开工作</w:t>
      </w:r>
      <w:bookmarkEnd w:id="65"/>
      <w:bookmarkEnd w:id="66"/>
    </w:p>
    <w:bookmarkEnd w:id="67"/>
    <w:bookmarkEnd w:id="68"/>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color w:val="auto"/>
          <w:sz w:val="32"/>
          <w:szCs w:val="32"/>
          <w:lang w:val="en-US" w:eastAsia="zh-CN"/>
        </w:rPr>
      </w:pPr>
      <w:bookmarkStart w:id="69" w:name="_Toc8848"/>
      <w:bookmarkStart w:id="70" w:name="_Toc27870"/>
      <w:bookmarkStart w:id="71" w:name="_Toc15681"/>
      <w:r>
        <w:rPr>
          <w:rFonts w:hint="eastAsia" w:ascii="Times New Roman Regular" w:hAnsi="Times New Roman Regular" w:eastAsia="仿宋" w:cs="Times New Roman Regular"/>
          <w:b w:val="0"/>
          <w:bCs w:val="0"/>
          <w:color w:val="auto"/>
          <w:sz w:val="32"/>
          <w:szCs w:val="32"/>
          <w:lang w:val="en-US" w:eastAsia="zh-CN"/>
        </w:rPr>
        <w:t>提升网络服务便利度。电子政务外网实现区、镇（街道）、村 （社区） 三级全覆盖，完成了5个镇 （街道）、44 个村（社区）的电子政务外网互联互通，调整了养老保险中心专网的移机并线、医保中心的专网线路改造，配合网信办加载态势感知安全监测系统，并对拟交付的纺织局办公楼网络进行整体科学谋划，指导组网布局。“互联网+政务服务”一体化平台发布权力清单业务办理项748 项，全年录入办件7.6万件。规范管理政府门户网站和政务新媒体。动态调整北塔区政府门户网站栏目结构，使网站栏目功能更完善、更新频率更快速、查阅信息更准确、用户体验更佳，更新北塔区各级各部门新一届领导班子简历，并制作了规范性文件专栏，今年发布信息稿件 2198 篇，答复网络问政信件 60 件。</w:t>
      </w:r>
      <w:bookmarkEnd w:id="69"/>
      <w:bookmarkEnd w:id="7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72" w:name="_Toc1855"/>
      <w:r>
        <w:rPr>
          <w:rFonts w:hint="default" w:ascii="Times New Roman Regular" w:hAnsi="Times New Roman Regular" w:eastAsia="楷体" w:cs="Times New Roman Regular"/>
          <w:b/>
          <w:bCs/>
          <w:sz w:val="32"/>
          <w:szCs w:val="32"/>
          <w:lang w:val="en-US" w:eastAsia="zh-CN"/>
        </w:rPr>
        <w:t>（二）部门整体效益情况</w:t>
      </w:r>
      <w:bookmarkEnd w:id="71"/>
      <w:bookmarkEnd w:id="7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color w:val="auto"/>
          <w:sz w:val="32"/>
          <w:szCs w:val="32"/>
          <w:lang w:val="en-US" w:eastAsia="zh-CN"/>
        </w:rPr>
      </w:pPr>
      <w:bookmarkStart w:id="73" w:name="_Toc2243"/>
      <w:bookmarkStart w:id="74" w:name="_Toc1884"/>
      <w:bookmarkStart w:id="75" w:name="_Toc19743"/>
      <w:bookmarkStart w:id="76" w:name="_Toc6591"/>
      <w:r>
        <w:rPr>
          <w:rFonts w:hint="default" w:ascii="Times New Roman Regular" w:hAnsi="Times New Roman Regular" w:eastAsia="仿宋" w:cs="Times New Roman Regular"/>
          <w:b w:val="0"/>
          <w:bCs w:val="0"/>
          <w:color w:val="auto"/>
          <w:sz w:val="32"/>
          <w:szCs w:val="32"/>
          <w:lang w:val="en-US" w:eastAsia="zh-CN"/>
        </w:rPr>
        <w:t>2022 年，在区委区政府的正确领导下，深入学习贯彻习近平新时代中国特色社会主义思想和党的</w:t>
      </w:r>
      <w:bookmarkStart w:id="126" w:name="_GoBack"/>
      <w:bookmarkEnd w:id="126"/>
      <w:r>
        <w:rPr>
          <w:rFonts w:hint="default" w:ascii="Times New Roman Regular" w:hAnsi="Times New Roman Regular" w:eastAsia="仿宋" w:cs="Times New Roman Regular"/>
          <w:b w:val="0"/>
          <w:bCs w:val="0"/>
          <w:color w:val="auto"/>
          <w:sz w:val="32"/>
          <w:szCs w:val="32"/>
          <w:lang w:val="en-US" w:eastAsia="zh-CN"/>
        </w:rPr>
        <w:t>二十大精神，全面深化</w:t>
      </w:r>
      <w:r>
        <w:rPr>
          <w:rFonts w:hint="eastAsia" w:ascii="仿宋" w:hAnsi="仿宋" w:eastAsia="仿宋" w:cs="仿宋"/>
          <w:b w:val="0"/>
          <w:bCs w:val="0"/>
          <w:color w:val="auto"/>
          <w:sz w:val="32"/>
          <w:szCs w:val="32"/>
          <w:lang w:val="en-US" w:eastAsia="zh-CN"/>
        </w:rPr>
        <w:t>“放管服”改革，持续推进“一件事一次办”，大力优化营商政务环境，围绕“服务兴区”战略，打造现代化精美新北塔政务品牌</w:t>
      </w:r>
      <w:r>
        <w:rPr>
          <w:rFonts w:hint="default" w:ascii="Times New Roman Regular" w:hAnsi="Times New Roman Regular" w:eastAsia="仿宋" w:cs="Times New Roman Regular"/>
          <w:b w:val="0"/>
          <w:bCs w:val="0"/>
          <w:color w:val="auto"/>
          <w:sz w:val="32"/>
          <w:szCs w:val="32"/>
          <w:lang w:val="en-US" w:eastAsia="zh-CN"/>
        </w:rPr>
        <w:t>。</w:t>
      </w:r>
      <w:r>
        <w:rPr>
          <w:rFonts w:hint="eastAsia" w:ascii="Times New Roman Regular" w:hAnsi="Times New Roman Regular" w:eastAsia="仿宋" w:cs="Times New Roman Regular"/>
          <w:b w:val="0"/>
          <w:bCs w:val="0"/>
          <w:color w:val="auto"/>
          <w:sz w:val="32"/>
          <w:szCs w:val="32"/>
          <w:lang w:val="en-US" w:eastAsia="zh-CN"/>
        </w:rPr>
        <w:t>2022年单位</w:t>
      </w:r>
      <w:r>
        <w:rPr>
          <w:rFonts w:hint="default" w:ascii="Times New Roman Regular" w:hAnsi="Times New Roman Regular" w:eastAsia="仿宋" w:cs="Times New Roman Regular"/>
          <w:b w:val="0"/>
          <w:bCs w:val="0"/>
          <w:color w:val="auto"/>
          <w:sz w:val="32"/>
          <w:szCs w:val="32"/>
          <w:lang w:val="en-US" w:eastAsia="zh-CN"/>
        </w:rPr>
        <w:t>获评 2021 年湖南省推</w:t>
      </w:r>
      <w:r>
        <w:rPr>
          <w:rFonts w:hint="eastAsia" w:ascii="仿宋" w:hAnsi="仿宋" w:eastAsia="仿宋" w:cs="仿宋"/>
          <w:b w:val="0"/>
          <w:bCs w:val="0"/>
          <w:color w:val="auto"/>
          <w:sz w:val="32"/>
          <w:szCs w:val="32"/>
          <w:lang w:val="en-US" w:eastAsia="zh-CN"/>
        </w:rPr>
        <w:t>进“一件事一次办”改革、政府职能转变和深化“放管服”改革</w:t>
      </w:r>
      <w:r>
        <w:rPr>
          <w:rFonts w:hint="default" w:ascii="Times New Roman Regular" w:hAnsi="Times New Roman Regular" w:eastAsia="仿宋" w:cs="Times New Roman Regular"/>
          <w:b w:val="0"/>
          <w:bCs w:val="0"/>
          <w:color w:val="auto"/>
          <w:sz w:val="32"/>
          <w:szCs w:val="32"/>
          <w:lang w:val="en-US" w:eastAsia="zh-CN"/>
        </w:rPr>
        <w:t>成效明显县市区、2021 年湖南省文明窗口单位2021 年度区平安建设工作先进单位、2021 年度区重点项目二类服务单位、区三八红旗集体。精准推行</w:t>
      </w:r>
      <w:r>
        <w:rPr>
          <w:rFonts w:hint="eastAsia" w:ascii="仿宋" w:hAnsi="仿宋" w:eastAsia="仿宋" w:cs="仿宋"/>
          <w:b w:val="0"/>
          <w:bCs w:val="0"/>
          <w:color w:val="auto"/>
          <w:sz w:val="32"/>
          <w:szCs w:val="32"/>
          <w:lang w:val="en-US" w:eastAsia="zh-CN"/>
        </w:rPr>
        <w:t>“银发服务”工作</w:t>
      </w:r>
      <w:r>
        <w:rPr>
          <w:rFonts w:hint="default" w:ascii="Times New Roman Regular" w:hAnsi="Times New Roman Regular" w:eastAsia="仿宋" w:cs="Times New Roman Regular"/>
          <w:b w:val="0"/>
          <w:bCs w:val="0"/>
          <w:color w:val="auto"/>
          <w:sz w:val="32"/>
          <w:szCs w:val="32"/>
          <w:lang w:val="en-US" w:eastAsia="zh-CN"/>
        </w:rPr>
        <w:t>经验受湖南省政府门户网站推介。</w:t>
      </w:r>
      <w:bookmarkEnd w:id="73"/>
      <w:bookmarkEnd w:id="74"/>
    </w:p>
    <w:bookmarkEnd w:id="75"/>
    <w:bookmarkEnd w:id="76"/>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 w:hAnsi="仿宋" w:eastAsia="仿宋" w:cs="仿宋"/>
          <w:b w:val="0"/>
          <w:bCs w:val="0"/>
          <w:color w:val="auto"/>
          <w:sz w:val="32"/>
          <w:szCs w:val="32"/>
          <w:lang w:val="en-US" w:eastAsia="zh-CN"/>
        </w:rPr>
      </w:pPr>
      <w:bookmarkStart w:id="77" w:name="_Toc25846"/>
      <w:bookmarkStart w:id="78" w:name="_Toc17889"/>
      <w:bookmarkStart w:id="79" w:name="_Toc23411"/>
      <w:bookmarkStart w:id="80" w:name="_Toc21522"/>
      <w:r>
        <w:rPr>
          <w:rFonts w:hint="eastAsia" w:ascii="Times New Roman Regular" w:hAnsi="Times New Roman Regular" w:eastAsia="仿宋" w:cs="Times New Roman Regular"/>
          <w:b w:val="0"/>
          <w:bCs w:val="0"/>
          <w:color w:val="auto"/>
          <w:sz w:val="32"/>
          <w:szCs w:val="32"/>
          <w:lang w:val="en-US" w:eastAsia="zh-CN"/>
        </w:rPr>
        <w:t>1、</w:t>
      </w:r>
      <w:r>
        <w:rPr>
          <w:rFonts w:hint="default" w:ascii="Times New Roman Regular" w:hAnsi="Times New Roman Regular" w:eastAsia="仿宋" w:cs="Times New Roman Regular"/>
          <w:b w:val="0"/>
          <w:bCs w:val="0"/>
          <w:color w:val="auto"/>
          <w:sz w:val="32"/>
          <w:szCs w:val="32"/>
          <w:lang w:val="en-US" w:eastAsia="zh-CN"/>
        </w:rPr>
        <w:t>深入推</w:t>
      </w:r>
      <w:r>
        <w:rPr>
          <w:rFonts w:hint="eastAsia" w:ascii="仿宋" w:hAnsi="仿宋" w:eastAsia="仿宋" w:cs="仿宋"/>
          <w:b w:val="0"/>
          <w:bCs w:val="0"/>
          <w:color w:val="auto"/>
          <w:sz w:val="32"/>
          <w:szCs w:val="32"/>
          <w:lang w:val="en-US" w:eastAsia="zh-CN"/>
        </w:rPr>
        <w:t>进“一件事一次办”改革</w:t>
      </w:r>
      <w:bookmarkEnd w:id="77"/>
      <w:bookmarkEnd w:id="7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 w:hAnsi="仿宋" w:eastAsia="仿宋" w:cs="仿宋"/>
          <w:b w:val="0"/>
          <w:bCs w:val="0"/>
          <w:color w:val="auto"/>
          <w:sz w:val="32"/>
          <w:szCs w:val="32"/>
          <w:lang w:val="en-US" w:eastAsia="zh-CN"/>
        </w:rPr>
      </w:pPr>
      <w:bookmarkStart w:id="81" w:name="_Toc3905"/>
      <w:bookmarkStart w:id="82" w:name="_Toc6249"/>
      <w:r>
        <w:rPr>
          <w:rFonts w:hint="eastAsia" w:ascii="仿宋" w:hAnsi="仿宋" w:eastAsia="仿宋" w:cs="仿宋"/>
          <w:b w:val="0"/>
          <w:bCs w:val="0"/>
          <w:color w:val="auto"/>
          <w:sz w:val="32"/>
          <w:szCs w:val="32"/>
          <w:lang w:val="en-US" w:eastAsia="zh-CN"/>
        </w:rPr>
        <w:t>一是宣传推广“一件事一次办”小程</w:t>
      </w:r>
      <w:r>
        <w:rPr>
          <w:rFonts w:hint="default" w:ascii="Times New Roman Regular" w:hAnsi="Times New Roman Regular" w:eastAsia="仿宋" w:cs="Times New Roman Regular"/>
          <w:b w:val="0"/>
          <w:bCs w:val="0"/>
          <w:color w:val="auto"/>
          <w:sz w:val="32"/>
          <w:szCs w:val="32"/>
          <w:lang w:val="en-US" w:eastAsia="zh-CN"/>
        </w:rPr>
        <w:t>序。截止 2022 年12月 13日，</w:t>
      </w:r>
      <w:r>
        <w:rPr>
          <w:rFonts w:hint="eastAsia" w:ascii="Times New Roman Regular" w:hAnsi="Times New Roman Regular" w:eastAsia="仿宋" w:cs="Times New Roman Regular"/>
          <w:b w:val="0"/>
          <w:bCs w:val="0"/>
          <w:color w:val="auto"/>
          <w:sz w:val="32"/>
          <w:szCs w:val="32"/>
          <w:lang w:val="en-US" w:eastAsia="zh-CN"/>
        </w:rPr>
        <w:t>北塔</w:t>
      </w:r>
      <w:r>
        <w:rPr>
          <w:rFonts w:hint="eastAsia" w:ascii="仿宋" w:hAnsi="仿宋" w:eastAsia="仿宋" w:cs="仿宋"/>
          <w:b w:val="0"/>
          <w:bCs w:val="0"/>
          <w:color w:val="auto"/>
          <w:sz w:val="32"/>
          <w:szCs w:val="32"/>
          <w:lang w:val="en-US" w:eastAsia="zh-CN"/>
        </w:rPr>
        <w:t>区“一件事一次办”微信小程序注册</w:t>
      </w:r>
      <w:r>
        <w:rPr>
          <w:rFonts w:hint="default" w:ascii="Times New Roman Regular" w:hAnsi="Times New Roman Regular" w:eastAsia="仿宋" w:cs="Times New Roman Regular"/>
          <w:b w:val="0"/>
          <w:bCs w:val="0"/>
          <w:color w:val="auto"/>
          <w:sz w:val="32"/>
          <w:szCs w:val="32"/>
          <w:lang w:val="en-US" w:eastAsia="zh-CN"/>
        </w:rPr>
        <w:t>人数为28716 人，全市排名第4</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用户注册数与当地人口占比23.4%。二是梳理特殊群体</w:t>
      </w:r>
      <w:r>
        <w:rPr>
          <w:rFonts w:hint="eastAsia" w:ascii="仿宋" w:hAnsi="仿宋" w:eastAsia="仿宋" w:cs="仿宋"/>
          <w:b w:val="0"/>
          <w:bCs w:val="0"/>
          <w:color w:val="auto"/>
          <w:sz w:val="32"/>
          <w:szCs w:val="32"/>
          <w:lang w:val="en-US" w:eastAsia="zh-CN"/>
        </w:rPr>
        <w:t>服务“一件事一次办”事</w:t>
      </w:r>
      <w:r>
        <w:rPr>
          <w:rFonts w:hint="default" w:ascii="Times New Roman Regular" w:hAnsi="Times New Roman Regular" w:eastAsia="仿宋" w:cs="Times New Roman Regular"/>
          <w:b w:val="0"/>
          <w:bCs w:val="0"/>
          <w:color w:val="auto"/>
          <w:sz w:val="32"/>
          <w:szCs w:val="32"/>
          <w:lang w:val="en-US" w:eastAsia="zh-CN"/>
        </w:rPr>
        <w:t>项。梳理编制与全市统一的《北塔区特殊群体服务</w:t>
      </w:r>
      <w:r>
        <w:rPr>
          <w:rFonts w:hint="eastAsia" w:ascii="仿宋" w:hAnsi="仿宋" w:eastAsia="仿宋" w:cs="仿宋"/>
          <w:b w:val="0"/>
          <w:bCs w:val="0"/>
          <w:color w:val="auto"/>
          <w:sz w:val="32"/>
          <w:szCs w:val="32"/>
          <w:lang w:val="en-US" w:eastAsia="zh-CN"/>
        </w:rPr>
        <w:t>“一件事一次办”办</w:t>
      </w:r>
      <w:r>
        <w:rPr>
          <w:rFonts w:hint="default" w:ascii="Times New Roman Regular" w:hAnsi="Times New Roman Regular" w:eastAsia="仿宋" w:cs="Times New Roman Regular"/>
          <w:b w:val="0"/>
          <w:bCs w:val="0"/>
          <w:color w:val="auto"/>
          <w:sz w:val="32"/>
          <w:szCs w:val="32"/>
          <w:lang w:val="en-US" w:eastAsia="zh-CN"/>
        </w:rPr>
        <w:t>事指南》，</w:t>
      </w:r>
      <w:r>
        <w:rPr>
          <w:rFonts w:hint="eastAsia" w:ascii="Times New Roman Regular" w:hAnsi="Times New Roman Regular" w:eastAsia="仿宋" w:cs="Times New Roman Regular"/>
          <w:b w:val="0"/>
          <w:bCs w:val="0"/>
          <w:color w:val="auto"/>
          <w:sz w:val="32"/>
          <w:szCs w:val="32"/>
          <w:lang w:val="en-US" w:eastAsia="zh-CN"/>
        </w:rPr>
        <w:t>北塔区</w:t>
      </w:r>
      <w:r>
        <w:rPr>
          <w:rFonts w:hint="default" w:ascii="Times New Roman Regular" w:hAnsi="Times New Roman Regular" w:eastAsia="仿宋" w:cs="Times New Roman Regular"/>
          <w:b w:val="0"/>
          <w:bCs w:val="0"/>
          <w:color w:val="auto"/>
          <w:sz w:val="32"/>
          <w:szCs w:val="32"/>
          <w:lang w:val="en-US" w:eastAsia="zh-CN"/>
        </w:rPr>
        <w:t>共计20个大项、24个小项，各镇</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街道</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印制办事指南纸质版，并制作易拉宝展示宣传。三是推进惠企</w:t>
      </w:r>
      <w:r>
        <w:rPr>
          <w:rFonts w:hint="eastAsia" w:ascii="仿宋" w:hAnsi="仿宋" w:eastAsia="仿宋" w:cs="仿宋"/>
          <w:b w:val="0"/>
          <w:bCs w:val="0"/>
          <w:color w:val="auto"/>
          <w:sz w:val="32"/>
          <w:szCs w:val="32"/>
          <w:lang w:val="en-US" w:eastAsia="zh-CN"/>
        </w:rPr>
        <w:t>政策“一件事一次办”和“免申即享”。企业</w:t>
      </w:r>
      <w:r>
        <w:rPr>
          <w:rFonts w:hint="default" w:ascii="Times New Roman Regular" w:hAnsi="Times New Roman Regular" w:eastAsia="仿宋" w:cs="Times New Roman Regular"/>
          <w:b w:val="0"/>
          <w:bCs w:val="0"/>
          <w:color w:val="auto"/>
          <w:sz w:val="32"/>
          <w:szCs w:val="32"/>
          <w:lang w:val="en-US" w:eastAsia="zh-CN"/>
        </w:rPr>
        <w:t>开办首套公章免费刻制，进一步规范推进各单位实</w:t>
      </w:r>
      <w:r>
        <w:rPr>
          <w:rFonts w:hint="eastAsia" w:ascii="仿宋" w:hAnsi="仿宋" w:eastAsia="仿宋" w:cs="仿宋"/>
          <w:b w:val="0"/>
          <w:bCs w:val="0"/>
          <w:color w:val="auto"/>
          <w:sz w:val="32"/>
          <w:szCs w:val="32"/>
          <w:lang w:val="en-US" w:eastAsia="zh-CN"/>
        </w:rPr>
        <w:t>行“免费邮寄”服务。政务服务大厅设置企业开办专区，打造“企业开办一件事”，针对企业设立登记、刻制公章、税务、参保登记、住房公积金缴纳、银行开户预约等六个环节进行服务，让企业“最多跑一次”、“一次就办好”。四是推进个人一件事落地落实。在全区开展“一件事一次办”升级版主题事项梳理和流程再造工作，统一制作“出生、入学、就业、结婚、退休、就医身后”</w:t>
      </w:r>
      <w:r>
        <w:rPr>
          <w:rFonts w:hint="default" w:ascii="Times New Roman" w:hAnsi="Times New Roman" w:eastAsia="仿宋" w:cs="Times New Roman"/>
          <w:b w:val="0"/>
          <w:bCs w:val="0"/>
          <w:color w:val="auto"/>
          <w:sz w:val="32"/>
          <w:szCs w:val="32"/>
          <w:lang w:val="en-US" w:eastAsia="zh-CN"/>
        </w:rPr>
        <w:t>7种场</w:t>
      </w:r>
      <w:r>
        <w:rPr>
          <w:rFonts w:hint="default" w:ascii="Times New Roman Regular" w:hAnsi="Times New Roman Regular" w:eastAsia="仿宋" w:cs="Times New Roman Regular"/>
          <w:b w:val="0"/>
          <w:bCs w:val="0"/>
          <w:color w:val="auto"/>
          <w:sz w:val="32"/>
          <w:szCs w:val="32"/>
          <w:lang w:val="en-US" w:eastAsia="zh-CN"/>
        </w:rPr>
        <w:t>景20个事项的办事指南，致力实现企业和群众办事</w:t>
      </w:r>
      <w:r>
        <w:rPr>
          <w:rFonts w:hint="eastAsia" w:ascii="仿宋" w:hAnsi="仿宋" w:eastAsia="仿宋" w:cs="仿宋"/>
          <w:b w:val="0"/>
          <w:bCs w:val="0"/>
          <w:color w:val="auto"/>
          <w:sz w:val="32"/>
          <w:szCs w:val="32"/>
          <w:lang w:val="en-US" w:eastAsia="zh-CN"/>
        </w:rPr>
        <w:t>由“多地、多窗、多次”向“一地、一窗、一次”转变五是按照就近可办、分类处置原则，在“一件事一次办”平台共发</w:t>
      </w:r>
      <w:r>
        <w:rPr>
          <w:rFonts w:hint="default" w:ascii="Times New Roman" w:hAnsi="Times New Roman" w:eastAsia="仿宋" w:cs="Times New Roman"/>
          <w:b w:val="0"/>
          <w:bCs w:val="0"/>
          <w:color w:val="auto"/>
          <w:sz w:val="32"/>
          <w:szCs w:val="32"/>
          <w:lang w:val="en-US" w:eastAsia="zh-CN"/>
        </w:rPr>
        <w:t>布 232 件事项清</w:t>
      </w:r>
      <w:r>
        <w:rPr>
          <w:rFonts w:hint="eastAsia" w:ascii="仿宋" w:hAnsi="仿宋" w:eastAsia="仿宋" w:cs="仿宋"/>
          <w:b w:val="0"/>
          <w:bCs w:val="0"/>
          <w:color w:val="auto"/>
          <w:sz w:val="32"/>
          <w:szCs w:val="32"/>
          <w:lang w:val="en-US" w:eastAsia="zh-CN"/>
        </w:rPr>
        <w:t>单，并接入省政府门户网站总入口和小程序。做到“同一事项、同一名称、同一编码、同一标准”实现办事要件和办事指南标准化、规范化。</w:t>
      </w:r>
      <w:bookmarkEnd w:id="81"/>
      <w:bookmarkEnd w:id="82"/>
    </w:p>
    <w:bookmarkEnd w:id="79"/>
    <w:bookmarkEnd w:id="80"/>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83" w:name="_Toc28743"/>
      <w:bookmarkStart w:id="84" w:name="_Toc16219"/>
      <w:bookmarkStart w:id="85" w:name="_Toc30958"/>
      <w:bookmarkStart w:id="86" w:name="_Toc8837"/>
      <w:r>
        <w:rPr>
          <w:rFonts w:hint="eastAsia" w:ascii="Times New Roman Regular" w:hAnsi="Times New Roman Regular" w:eastAsia="仿宋" w:cs="Times New Roman Regular"/>
          <w:b w:val="0"/>
          <w:bCs w:val="0"/>
          <w:color w:val="auto"/>
          <w:sz w:val="32"/>
          <w:szCs w:val="32"/>
          <w:lang w:val="en-US" w:eastAsia="zh-CN"/>
        </w:rPr>
        <w:t>2、</w:t>
      </w:r>
      <w:r>
        <w:rPr>
          <w:rFonts w:hint="default" w:ascii="Times New Roman Regular" w:hAnsi="Times New Roman Regular" w:eastAsia="仿宋" w:cs="Times New Roman Regular"/>
          <w:b w:val="0"/>
          <w:bCs w:val="0"/>
          <w:color w:val="auto"/>
          <w:sz w:val="32"/>
          <w:szCs w:val="32"/>
          <w:lang w:val="en-US" w:eastAsia="zh-CN"/>
        </w:rPr>
        <w:t>深入</w:t>
      </w:r>
      <w:r>
        <w:rPr>
          <w:rFonts w:hint="eastAsia" w:ascii="Times New Roman Regular" w:hAnsi="Times New Roman Regular" w:eastAsia="仿宋" w:cs="Times New Roman Regular"/>
          <w:b w:val="0"/>
          <w:bCs w:val="0"/>
          <w:color w:val="auto"/>
          <w:sz w:val="32"/>
          <w:szCs w:val="32"/>
          <w:lang w:val="en-US" w:eastAsia="zh-CN"/>
        </w:rPr>
        <w:t>推进“四推四减”“银发服务”工作</w:t>
      </w:r>
      <w:bookmarkEnd w:id="83"/>
      <w:bookmarkEnd w:id="84"/>
    </w:p>
    <w:bookmarkEnd w:id="85"/>
    <w:bookmarkEnd w:id="86"/>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 w:hAnsi="仿宋" w:eastAsia="仿宋" w:cs="仿宋"/>
          <w:b w:val="0"/>
          <w:bCs w:val="0"/>
          <w:color w:val="auto"/>
          <w:sz w:val="32"/>
          <w:szCs w:val="32"/>
          <w:lang w:val="en-US" w:eastAsia="zh-CN"/>
        </w:rPr>
      </w:pPr>
      <w:bookmarkStart w:id="87" w:name="_Toc29169"/>
      <w:bookmarkStart w:id="88" w:name="_Toc31312"/>
      <w:bookmarkStart w:id="89" w:name="_Toc11450"/>
      <w:bookmarkStart w:id="90" w:name="_Toc31179"/>
      <w:r>
        <w:rPr>
          <w:rFonts w:hint="eastAsia" w:ascii="仿宋" w:hAnsi="仿宋" w:eastAsia="仿宋" w:cs="仿宋"/>
          <w:b w:val="0"/>
          <w:bCs w:val="0"/>
          <w:color w:val="auto"/>
          <w:sz w:val="32"/>
          <w:szCs w:val="32"/>
          <w:lang w:val="en-US" w:eastAsia="zh-CN"/>
        </w:rPr>
        <w:t>一是推进“四推四减”工作。大</w:t>
      </w:r>
      <w:r>
        <w:rPr>
          <w:rFonts w:hint="default" w:ascii="Times New Roman Regular" w:hAnsi="Times New Roman Regular" w:eastAsia="仿宋" w:cs="Times New Roman Regular"/>
          <w:b w:val="0"/>
          <w:bCs w:val="0"/>
          <w:color w:val="auto"/>
          <w:sz w:val="32"/>
          <w:szCs w:val="32"/>
          <w:lang w:val="en-US" w:eastAsia="zh-CN"/>
        </w:rPr>
        <w:t>力推行帮代办制度，126名基层帮代办员今年办理 3153 件事项，减少企业群众跑腿次数87%</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推</w:t>
      </w:r>
      <w:r>
        <w:rPr>
          <w:rFonts w:hint="eastAsia" w:ascii="仿宋" w:hAnsi="仿宋" w:eastAsia="仿宋" w:cs="仿宋"/>
          <w:b w:val="0"/>
          <w:bCs w:val="0"/>
          <w:color w:val="auto"/>
          <w:sz w:val="32"/>
          <w:szCs w:val="32"/>
          <w:lang w:val="en-US" w:eastAsia="zh-CN"/>
        </w:rPr>
        <w:t>行“一次告知”“一表申请”，减</w:t>
      </w:r>
      <w:r>
        <w:rPr>
          <w:rFonts w:hint="default" w:ascii="Times New Roman Regular" w:hAnsi="Times New Roman Regular" w:eastAsia="仿宋" w:cs="Times New Roman Regular"/>
          <w:b w:val="0"/>
          <w:bCs w:val="0"/>
          <w:color w:val="auto"/>
          <w:sz w:val="32"/>
          <w:szCs w:val="32"/>
          <w:lang w:val="en-US" w:eastAsia="zh-CN"/>
        </w:rPr>
        <w:t>少办理环节 60%</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推进关联单位数据共享、资料共用，减少申报材料 65%</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推</w:t>
      </w:r>
      <w:r>
        <w:rPr>
          <w:rFonts w:hint="eastAsia" w:ascii="仿宋" w:hAnsi="仿宋" w:eastAsia="仿宋" w:cs="仿宋"/>
          <w:b w:val="0"/>
          <w:bCs w:val="0"/>
          <w:color w:val="auto"/>
          <w:sz w:val="32"/>
          <w:szCs w:val="32"/>
          <w:lang w:val="en-US" w:eastAsia="zh-CN"/>
        </w:rPr>
        <w:t>行“立即审批”“容缺受理”，企业登记时间压缩至1个工作日。二是推进“银发服务”工作。推进权力下沉，积极实施基层干部“帮代办”，高频民生事项全程</w:t>
      </w:r>
      <w:r>
        <w:rPr>
          <w:rFonts w:hint="default" w:ascii="Times New Roman Regular" w:hAnsi="Times New Roman Regular" w:eastAsia="仿宋" w:cs="Times New Roman Regular"/>
          <w:b w:val="0"/>
          <w:bCs w:val="0"/>
          <w:color w:val="auto"/>
          <w:sz w:val="32"/>
          <w:szCs w:val="32"/>
          <w:lang w:val="en-US" w:eastAsia="zh-CN"/>
        </w:rPr>
        <w:t>网办，可办率为85%。大</w:t>
      </w:r>
      <w:r>
        <w:rPr>
          <w:rFonts w:hint="eastAsia" w:ascii="仿宋" w:hAnsi="仿宋" w:eastAsia="仿宋" w:cs="仿宋"/>
          <w:b w:val="0"/>
          <w:bCs w:val="0"/>
          <w:color w:val="auto"/>
          <w:sz w:val="32"/>
          <w:szCs w:val="32"/>
          <w:lang w:val="en-US" w:eastAsia="zh-CN"/>
        </w:rPr>
        <w:t>力推广“一件事一次办”小程序和“精美北塔”、“湘税社保”、“老来网”</w:t>
      </w:r>
      <w:r>
        <w:rPr>
          <w:rFonts w:hint="default" w:ascii="Times New Roman" w:hAnsi="Times New Roman" w:eastAsia="仿宋" w:cs="Times New Roman"/>
          <w:b w:val="0"/>
          <w:bCs w:val="0"/>
          <w:color w:val="auto"/>
          <w:sz w:val="32"/>
          <w:szCs w:val="32"/>
          <w:lang w:val="en-US" w:eastAsia="zh-CN"/>
        </w:rPr>
        <w:t>APP，</w:t>
      </w:r>
      <w:r>
        <w:rPr>
          <w:rFonts w:hint="eastAsia" w:ascii="仿宋" w:hAnsi="仿宋" w:eastAsia="仿宋" w:cs="仿宋"/>
          <w:b w:val="0"/>
          <w:bCs w:val="0"/>
          <w:color w:val="auto"/>
          <w:sz w:val="32"/>
          <w:szCs w:val="32"/>
          <w:lang w:val="en-US" w:eastAsia="zh-CN"/>
        </w:rPr>
        <w:t>通过手机即可完成医保缴费等事项。在大厅配备暖心设施，实行“一对一”陪同服务，由志愿者为老年人排队取号、解读政策、填写表格、复印拍照并通过开辟绿色通道、提供延时服务、开展培训宣传、全面实施意见反馈改进制等系列举措增强老年群众幸福感、活动感，“银发服务”工作经验受湖南省政府门户网站推介。</w:t>
      </w:r>
      <w:bookmarkEnd w:id="87"/>
      <w:bookmarkEnd w:id="88"/>
    </w:p>
    <w:bookmarkEnd w:id="89"/>
    <w:bookmarkEnd w:id="90"/>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91" w:name="_Toc22463"/>
      <w:bookmarkStart w:id="92" w:name="_Toc29037"/>
      <w:bookmarkStart w:id="93" w:name="_Toc11667"/>
      <w:bookmarkStart w:id="94" w:name="_Toc7245"/>
      <w:r>
        <w:rPr>
          <w:rFonts w:hint="eastAsia" w:ascii="Times New Roman Regular" w:hAnsi="Times New Roman Regular" w:eastAsia="仿宋" w:cs="Times New Roman Regular"/>
          <w:b w:val="0"/>
          <w:bCs w:val="0"/>
          <w:color w:val="auto"/>
          <w:sz w:val="32"/>
          <w:szCs w:val="32"/>
          <w:lang w:val="en-US" w:eastAsia="zh-CN"/>
        </w:rPr>
        <w:t>3、</w:t>
      </w:r>
      <w:r>
        <w:rPr>
          <w:rFonts w:hint="default" w:ascii="Times New Roman Regular" w:hAnsi="Times New Roman Regular" w:eastAsia="仿宋" w:cs="Times New Roman Regular"/>
          <w:b w:val="0"/>
          <w:bCs w:val="0"/>
          <w:color w:val="auto"/>
          <w:sz w:val="32"/>
          <w:szCs w:val="32"/>
          <w:lang w:val="en-US" w:eastAsia="zh-CN"/>
        </w:rPr>
        <w:t>深入推</w:t>
      </w:r>
      <w:r>
        <w:rPr>
          <w:rFonts w:hint="eastAsia" w:ascii="Times New Roman Regular" w:hAnsi="Times New Roman Regular" w:eastAsia="仿宋" w:cs="Times New Roman Regular"/>
          <w:b w:val="0"/>
          <w:bCs w:val="0"/>
          <w:color w:val="auto"/>
          <w:sz w:val="32"/>
          <w:szCs w:val="32"/>
          <w:lang w:val="en-US" w:eastAsia="zh-CN"/>
        </w:rPr>
        <w:t>进“放管服”改革、优化营商环境工作</w:t>
      </w:r>
      <w:bookmarkEnd w:id="91"/>
      <w:bookmarkEnd w:id="92"/>
    </w:p>
    <w:bookmarkEnd w:id="93"/>
    <w:bookmarkEnd w:id="94"/>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lang w:val="en-US" w:eastAsia="zh-CN"/>
        </w:rPr>
      </w:pPr>
      <w:bookmarkStart w:id="95" w:name="_Toc19839"/>
      <w:bookmarkStart w:id="96" w:name="_Toc31612"/>
      <w:bookmarkStart w:id="97" w:name="_Toc21374"/>
      <w:r>
        <w:rPr>
          <w:rFonts w:hint="eastAsia" w:ascii="仿宋" w:hAnsi="仿宋" w:eastAsia="仿宋" w:cs="仿宋"/>
          <w:b w:val="0"/>
          <w:bCs w:val="0"/>
          <w:color w:val="auto"/>
          <w:sz w:val="32"/>
          <w:szCs w:val="32"/>
          <w:lang w:val="en-US" w:eastAsia="zh-CN"/>
        </w:rPr>
        <w:t>一是推进“三集中三到位”改革</w:t>
      </w:r>
      <w:r>
        <w:rPr>
          <w:rFonts w:hint="default" w:ascii="Times New Roman Regular" w:hAnsi="Times New Roman Regular" w:eastAsia="仿宋" w:cs="Times New Roman Regular"/>
          <w:b w:val="0"/>
          <w:bCs w:val="0"/>
          <w:color w:val="auto"/>
          <w:sz w:val="32"/>
          <w:szCs w:val="32"/>
          <w:lang w:val="en-US" w:eastAsia="zh-CN"/>
        </w:rPr>
        <w:t>。高标准扩建政务服务大厅。政务服务中心于2022 年4月正式动工扩建，扩建后面积从870平米增加至5000余平米，2022年10月重新投入运行，法律援助中心、婚姻登记中心、退役军人事务中心就业服务中心、婚前检查服务等政府部门的行政审批和公共服务事项已集中入驻政务大厅。设置 24 小时政务服务大厅计划引入相关单位的自助服务设备。二是梳理权责清单，规范服务事项。下发《关于印发北塔区属各职能部门</w:t>
      </w:r>
      <w:r>
        <w:rPr>
          <w:rFonts w:hint="eastAsia" w:ascii="Times New Roman Regular" w:hAnsi="Times New Roman Regular" w:eastAsia="仿宋" w:cs="Times New Roman Regular"/>
          <w:b w:val="0"/>
          <w:bCs w:val="0"/>
          <w:color w:val="auto"/>
          <w:sz w:val="32"/>
          <w:szCs w:val="32"/>
          <w:lang w:val="en-US" w:eastAsia="zh-CN"/>
        </w:rPr>
        <w:t>赋予</w:t>
      </w:r>
      <w:r>
        <w:rPr>
          <w:rFonts w:hint="default" w:ascii="Times New Roman Regular" w:hAnsi="Times New Roman Regular" w:eastAsia="仿宋" w:cs="Times New Roman Regular"/>
          <w:b w:val="0"/>
          <w:bCs w:val="0"/>
          <w:color w:val="auto"/>
          <w:sz w:val="32"/>
          <w:szCs w:val="32"/>
          <w:lang w:val="en-US" w:eastAsia="zh-CN"/>
        </w:rPr>
        <w:t>镇</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街道</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权力清单和责任清单目录认领的通知》，按照职责事项准入要求，在全区范围内进一步优化完善赋权事项权责归属组织区属各相关部门认领事项 59 项，并签订《放权赋权授权责任书》，按</w:t>
      </w:r>
      <w:r>
        <w:rPr>
          <w:rFonts w:hint="eastAsia" w:ascii="仿宋" w:hAnsi="仿宋" w:eastAsia="仿宋" w:cs="仿宋"/>
          <w:b w:val="0"/>
          <w:bCs w:val="0"/>
          <w:color w:val="auto"/>
          <w:sz w:val="32"/>
          <w:szCs w:val="32"/>
          <w:lang w:val="en-US" w:eastAsia="zh-CN"/>
        </w:rPr>
        <w:t>照“谁受理、谁审批、谁办结”“怎么受理怎么审批、怎么办结”的原则，切实履行各事项的</w:t>
      </w:r>
      <w:r>
        <w:rPr>
          <w:rFonts w:hint="default" w:ascii="Times New Roman Regular" w:hAnsi="Times New Roman Regular" w:eastAsia="仿宋" w:cs="Times New Roman Regular"/>
          <w:b w:val="0"/>
          <w:bCs w:val="0"/>
          <w:color w:val="auto"/>
          <w:sz w:val="32"/>
          <w:szCs w:val="32"/>
          <w:lang w:val="en-US" w:eastAsia="zh-CN"/>
        </w:rPr>
        <w:t>事中事后监管职责。三是全面梳理行政许可事项清单，优化营商政务环境。编制形成《北塔区行政许可事项清单</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2022 年版</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》共梳理出国务院确定实施的行政许可事项 183 项，地方性法规规定实施的行政许可事项4项</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并在区政府门户网站公布四是推进网上中介服务超市上线运行工作。由常务副区长王永红组织召开工作推进、业务培训会议，全区各相关单位参加会议，共认领 62 项中介服务事项，对应行政审批事项 77项。与市场监督管理局积极对接，共梳理出在北塔区登记、具有相应资质的企业 463 家。全区共 13 家机关单位、7 家中介服务机构入驻中介平台，3 家中介服务机构正在审核当中，采购订单 1个已完成。</w:t>
      </w:r>
      <w:bookmarkEnd w:id="95"/>
      <w:bookmarkEnd w:id="96"/>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98" w:name="_Toc26456"/>
      <w:bookmarkStart w:id="99" w:name="_Toc12779"/>
      <w:r>
        <w:rPr>
          <w:rFonts w:hint="eastAsia" w:ascii="Times New Roman Regular" w:hAnsi="Times New Roman Regular" w:eastAsia="仿宋" w:cs="Times New Roman Regular"/>
          <w:b w:val="0"/>
          <w:bCs w:val="0"/>
          <w:color w:val="auto"/>
          <w:sz w:val="32"/>
          <w:szCs w:val="32"/>
          <w:lang w:val="en-US" w:eastAsia="zh-CN"/>
        </w:rPr>
        <w:t>4、</w:t>
      </w:r>
      <w:r>
        <w:rPr>
          <w:rFonts w:hint="default" w:ascii="Times New Roman Regular" w:hAnsi="Times New Roman Regular" w:eastAsia="仿宋" w:cs="Times New Roman Regular"/>
          <w:b w:val="0"/>
          <w:bCs w:val="0"/>
          <w:color w:val="auto"/>
          <w:sz w:val="32"/>
          <w:szCs w:val="32"/>
          <w:lang w:val="en-US" w:eastAsia="zh-CN"/>
        </w:rPr>
        <w:t>深入推</w:t>
      </w:r>
      <w:r>
        <w:rPr>
          <w:rFonts w:hint="eastAsia" w:ascii="Times New Roman Regular" w:hAnsi="Times New Roman Regular" w:eastAsia="仿宋" w:cs="Times New Roman Regular"/>
          <w:b w:val="0"/>
          <w:bCs w:val="0"/>
          <w:color w:val="auto"/>
          <w:sz w:val="32"/>
          <w:szCs w:val="32"/>
          <w:lang w:val="en-US" w:eastAsia="zh-CN"/>
        </w:rPr>
        <w:t>进“走流程、解难题、优服务”行动</w:t>
      </w:r>
      <w:bookmarkEnd w:id="98"/>
      <w:bookmarkEnd w:id="9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 w:hAnsi="仿宋" w:eastAsia="仿宋" w:cs="仿宋"/>
          <w:b w:val="0"/>
          <w:bCs w:val="0"/>
          <w:color w:val="auto"/>
          <w:sz w:val="32"/>
          <w:szCs w:val="32"/>
          <w:lang w:val="en-US" w:eastAsia="zh-CN"/>
        </w:rPr>
      </w:pPr>
      <w:bookmarkStart w:id="100" w:name="_Toc16941"/>
      <w:bookmarkStart w:id="101" w:name="_Toc15606"/>
      <w:r>
        <w:rPr>
          <w:rFonts w:hint="default" w:ascii="Times New Roman Regular" w:hAnsi="Times New Roman Regular" w:eastAsia="仿宋" w:cs="Times New Roman Regular"/>
          <w:b w:val="0"/>
          <w:bCs w:val="0"/>
          <w:color w:val="auto"/>
          <w:sz w:val="32"/>
          <w:szCs w:val="32"/>
          <w:lang w:val="en-US" w:eastAsia="zh-CN"/>
        </w:rPr>
        <w:t>一是加强组织领导。制定下发《北塔区开</w:t>
      </w:r>
      <w:r>
        <w:rPr>
          <w:rFonts w:hint="eastAsia" w:ascii="仿宋" w:hAnsi="仿宋" w:eastAsia="仿宋" w:cs="仿宋"/>
          <w:b w:val="0"/>
          <w:bCs w:val="0"/>
          <w:color w:val="auto"/>
          <w:sz w:val="32"/>
          <w:szCs w:val="32"/>
          <w:lang w:val="en-US" w:eastAsia="zh-CN"/>
        </w:rPr>
        <w:t>展“走流程解难题、优服务”行动方案》，</w:t>
      </w:r>
      <w:r>
        <w:rPr>
          <w:rFonts w:hint="default" w:ascii="Times New Roman Regular" w:hAnsi="Times New Roman Regular" w:eastAsia="仿宋" w:cs="Times New Roman Regular"/>
          <w:b w:val="0"/>
          <w:bCs w:val="0"/>
          <w:color w:val="auto"/>
          <w:sz w:val="32"/>
          <w:szCs w:val="32"/>
          <w:lang w:val="en-US" w:eastAsia="zh-CN"/>
        </w:rPr>
        <w:t>成立由区委副书记、区人民政府区长姚文娟同志任组长的“走流程、解难题、优服务”行动工作专班。二是广泛</w:t>
      </w:r>
      <w:r>
        <w:rPr>
          <w:rFonts w:hint="eastAsia" w:ascii="Times New Roman Regular" w:hAnsi="Times New Roman Regular" w:eastAsia="仿宋" w:cs="Times New Roman Regular"/>
          <w:b w:val="0"/>
          <w:bCs w:val="0"/>
          <w:color w:val="auto"/>
          <w:sz w:val="32"/>
          <w:szCs w:val="32"/>
          <w:lang w:val="en-US" w:eastAsia="zh-CN"/>
        </w:rPr>
        <w:t>开展</w:t>
      </w:r>
      <w:r>
        <w:rPr>
          <w:rFonts w:hint="default" w:ascii="Times New Roman Regular" w:hAnsi="Times New Roman Regular" w:eastAsia="仿宋" w:cs="Times New Roman Regular"/>
          <w:b w:val="0"/>
          <w:bCs w:val="0"/>
          <w:color w:val="auto"/>
          <w:sz w:val="32"/>
          <w:szCs w:val="32"/>
          <w:lang w:val="en-US" w:eastAsia="zh-CN"/>
        </w:rPr>
        <w:t>宣传发动。通过线上 12345 政务服务便民热线、线下政务大厅等渠道，在全区范围内广泛收集群众反映强烈重点难点事项，营造了浓厚氛围。三是着力开展业务培训、梳理服务事项。为提升工作效率、确保工作质量，</w:t>
      </w:r>
      <w:r>
        <w:rPr>
          <w:rFonts w:hint="eastAsia" w:ascii="仿宋" w:hAnsi="仿宋" w:eastAsia="仿宋" w:cs="仿宋"/>
          <w:b w:val="0"/>
          <w:bCs w:val="0"/>
          <w:color w:val="auto"/>
          <w:sz w:val="32"/>
          <w:szCs w:val="32"/>
          <w:lang w:val="en-US" w:eastAsia="zh-CN"/>
        </w:rPr>
        <w:t>组织各职能部门分管领导、业务骨干、各窗口工作人员开展“走流程、解难题、优服务”专题业务培训，针对各类民生事项、“跨省通办”事项、“一件事一次办”事项等进行动态梳理，进一步压缩办事环节、事项、材料等，对于赋权合规的事项做到权利“应放尽放”，并编制办事指南。四是广泛开展体验办理。由区政府分管副区长及跟线的政府办副主任重点对窗口单位的高频事项和群众“急难愁盼”事项走流程；区政府相关职能部门主要负责人、分管负责人对各单位负责事项走流程；各镇（街道）行政负责人、分管政务中心负责人对镇 （街道） 事项走流程，所有服务事项实现应“走”尽“走”。通过线上线下齐办理、既当办事员、又当办事群众的方式确保走出实效。五是创新验收方式。通过办事全流程截图纪实、反馈处理结果、“好差评”记录等方式，将“走流程”过程中的关键环节、评判依据进行适度留痕，由工作专班办公室进行监督抽查，杜绝“走过场”等不作为现象。</w:t>
      </w:r>
      <w:bookmarkEnd w:id="100"/>
      <w:bookmarkEnd w:id="101"/>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102" w:name="_Toc12568"/>
      <w:bookmarkStart w:id="103" w:name="_Toc21817"/>
      <w:r>
        <w:rPr>
          <w:rFonts w:hint="eastAsia" w:ascii="Times New Roman Regular" w:hAnsi="Times New Roman Regular" w:eastAsia="仿宋" w:cs="Times New Roman Regular"/>
          <w:b w:val="0"/>
          <w:bCs w:val="0"/>
          <w:color w:val="auto"/>
          <w:sz w:val="32"/>
          <w:szCs w:val="32"/>
          <w:lang w:val="en-US" w:eastAsia="zh-CN"/>
        </w:rPr>
        <w:t>5、深入推进“互联网+政务服务”和政务公开工作</w:t>
      </w:r>
      <w:bookmarkEnd w:id="102"/>
      <w:bookmarkEnd w:id="10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color w:val="auto"/>
          <w:sz w:val="32"/>
          <w:szCs w:val="32"/>
          <w:lang w:val="en-US" w:eastAsia="zh-CN"/>
        </w:rPr>
      </w:pPr>
      <w:bookmarkStart w:id="104" w:name="_Toc3514"/>
      <w:bookmarkStart w:id="105" w:name="_Toc21262"/>
      <w:r>
        <w:rPr>
          <w:rFonts w:hint="eastAsia" w:ascii="仿宋" w:hAnsi="仿宋" w:eastAsia="仿宋" w:cs="仿宋"/>
          <w:b w:val="0"/>
          <w:bCs w:val="0"/>
          <w:color w:val="auto"/>
          <w:sz w:val="32"/>
          <w:szCs w:val="32"/>
          <w:lang w:val="en-US" w:eastAsia="zh-CN"/>
        </w:rPr>
        <w:t>一是提升网络服务便利度。电子政务外网实现区、镇（街道）、村 （社区） 三级全覆盖，完成了5个镇（街道）、</w:t>
      </w:r>
      <w:r>
        <w:rPr>
          <w:rFonts w:hint="default" w:ascii="Times New Roman Regular" w:hAnsi="Times New Roman Regular" w:eastAsia="仿宋" w:cs="Times New Roman Regular"/>
          <w:b w:val="0"/>
          <w:bCs w:val="0"/>
          <w:color w:val="auto"/>
          <w:sz w:val="32"/>
          <w:szCs w:val="32"/>
          <w:lang w:val="en-US" w:eastAsia="zh-CN"/>
        </w:rPr>
        <w:t>44个村</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社区</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的电子政务外网互联互通，调整了养老保险中心专网的移机并线、医保中心的专网线路改造，配合网信办加载态势感知安全监测系统，并对拟交付的纺织局办公楼网络进行整体科学谋划，指导组网布局</w:t>
      </w:r>
      <w:r>
        <w:rPr>
          <w:rFonts w:hint="eastAsia" w:ascii="仿宋" w:hAnsi="仿宋" w:eastAsia="仿宋" w:cs="仿宋"/>
          <w:b w:val="0"/>
          <w:bCs w:val="0"/>
          <w:color w:val="auto"/>
          <w:sz w:val="32"/>
          <w:szCs w:val="32"/>
          <w:lang w:val="en-US" w:eastAsia="zh-CN"/>
        </w:rPr>
        <w:t>。“互联网+政务服务”</w:t>
      </w:r>
      <w:r>
        <w:rPr>
          <w:rFonts w:hint="default" w:ascii="Times New Roman Regular" w:hAnsi="Times New Roman Regular" w:eastAsia="仿宋" w:cs="Times New Roman Regular"/>
          <w:b w:val="0"/>
          <w:bCs w:val="0"/>
          <w:color w:val="auto"/>
          <w:sz w:val="32"/>
          <w:szCs w:val="32"/>
          <w:lang w:val="en-US" w:eastAsia="zh-CN"/>
        </w:rPr>
        <w:t>一体化平台发布权力清单业务办理项748项</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全年录入办件7.6万件。二是规范管理政府门户网站和政务新媒体。动态调整北塔区政府门户网站栏目结构，使网站栏目功能更完善、更新频率更快速、查阅信息更准确、用户体验更佳，更新北塔区各级各部门新一届领导班子简历，并制作了规范性文件专栏，今年发布信息稿件 2198 篇，答复网络问政信件 60件。三是推</w:t>
      </w:r>
      <w:r>
        <w:rPr>
          <w:rFonts w:hint="eastAsia" w:ascii="仿宋" w:hAnsi="仿宋" w:eastAsia="仿宋" w:cs="仿宋"/>
          <w:b w:val="0"/>
          <w:bCs w:val="0"/>
          <w:color w:val="auto"/>
          <w:sz w:val="32"/>
          <w:szCs w:val="32"/>
          <w:lang w:val="en-US" w:eastAsia="zh-CN"/>
        </w:rPr>
        <w:t>进“互联网+监管”“互联网+监督”工作。指导各执法部门录入行政检查、行政处罚、行政强制、行政</w:t>
      </w:r>
      <w:r>
        <w:rPr>
          <w:rFonts w:hint="default" w:ascii="Times New Roman Regular" w:hAnsi="Times New Roman Regular" w:eastAsia="仿宋" w:cs="Times New Roman Regular"/>
          <w:b w:val="0"/>
          <w:bCs w:val="0"/>
          <w:color w:val="auto"/>
          <w:sz w:val="32"/>
          <w:szCs w:val="32"/>
          <w:lang w:val="en-US" w:eastAsia="zh-CN"/>
        </w:rPr>
        <w:t>征收等执法行为信息 45 件，目前</w:t>
      </w:r>
      <w:r>
        <w:rPr>
          <w:rFonts w:hint="eastAsia" w:ascii="Times New Roman Regular" w:hAnsi="Times New Roman Regular" w:eastAsia="仿宋" w:cs="Times New Roman Regular"/>
          <w:b w:val="0"/>
          <w:bCs w:val="0"/>
          <w:color w:val="auto"/>
          <w:sz w:val="32"/>
          <w:szCs w:val="32"/>
          <w:lang w:val="en-US" w:eastAsia="zh-CN"/>
        </w:rPr>
        <w:t>北塔</w:t>
      </w:r>
      <w:r>
        <w:rPr>
          <w:rFonts w:hint="default" w:ascii="Times New Roman Regular" w:hAnsi="Times New Roman Regular" w:eastAsia="仿宋" w:cs="Times New Roman Regular"/>
          <w:b w:val="0"/>
          <w:bCs w:val="0"/>
          <w:color w:val="auto"/>
          <w:sz w:val="32"/>
          <w:szCs w:val="32"/>
          <w:lang w:val="en-US" w:eastAsia="zh-CN"/>
        </w:rPr>
        <w:t>区</w:t>
      </w:r>
      <w:r>
        <w:rPr>
          <w:rFonts w:hint="eastAsia" w:ascii="Times New Roman Regular" w:hAnsi="Times New Roman Regular" w:eastAsia="仿宋" w:cs="Times New Roman Regular"/>
          <w:b w:val="0"/>
          <w:bCs w:val="0"/>
          <w:color w:val="auto"/>
          <w:sz w:val="32"/>
          <w:szCs w:val="32"/>
          <w:lang w:val="en-US" w:eastAsia="zh-CN"/>
        </w:rPr>
        <w:t>平台登录</w:t>
      </w:r>
      <w:r>
        <w:rPr>
          <w:rFonts w:hint="default" w:ascii="Times New Roman Regular" w:hAnsi="Times New Roman Regular" w:eastAsia="仿宋" w:cs="Times New Roman Regular"/>
          <w:b w:val="0"/>
          <w:bCs w:val="0"/>
          <w:color w:val="auto"/>
          <w:sz w:val="32"/>
          <w:szCs w:val="32"/>
          <w:lang w:val="en-US" w:eastAsia="zh-CN"/>
        </w:rPr>
        <w:t>日活跃度、月活跃度排名全市第2。配合区纪委对</w:t>
      </w:r>
      <w:r>
        <w:rPr>
          <w:rFonts w:hint="eastAsia" w:ascii="仿宋" w:hAnsi="仿宋" w:eastAsia="仿宋" w:cs="仿宋"/>
          <w:b w:val="0"/>
          <w:bCs w:val="0"/>
          <w:color w:val="auto"/>
          <w:sz w:val="32"/>
          <w:szCs w:val="32"/>
          <w:lang w:val="en-US" w:eastAsia="zh-CN"/>
        </w:rPr>
        <w:t>“互联网+监督”平台</w:t>
      </w:r>
      <w:r>
        <w:rPr>
          <w:rFonts w:hint="default" w:ascii="Times New Roman Regular" w:hAnsi="Times New Roman Regular" w:eastAsia="仿宋" w:cs="Times New Roman Regular"/>
          <w:b w:val="0"/>
          <w:bCs w:val="0"/>
          <w:color w:val="auto"/>
          <w:sz w:val="32"/>
          <w:szCs w:val="32"/>
          <w:lang w:val="en-US" w:eastAsia="zh-CN"/>
        </w:rPr>
        <w:t>中全区所有单位用户账号的审批权限进行授权校核，确保平台中权限分配准确有效运行。四是</w:t>
      </w:r>
      <w:r>
        <w:rPr>
          <w:rFonts w:hint="eastAsia" w:ascii="仿宋" w:hAnsi="仿宋" w:eastAsia="仿宋" w:cs="仿宋"/>
          <w:b w:val="0"/>
          <w:bCs w:val="0"/>
          <w:color w:val="auto"/>
          <w:sz w:val="32"/>
          <w:szCs w:val="32"/>
          <w:lang w:val="en-US" w:eastAsia="zh-CN"/>
        </w:rPr>
        <w:t>加强对“好差评”、“</w:t>
      </w:r>
      <w:r>
        <w:rPr>
          <w:rFonts w:hint="default" w:ascii="Times New Roman" w:hAnsi="Times New Roman" w:eastAsia="仿宋" w:cs="Times New Roman"/>
          <w:b w:val="0"/>
          <w:bCs w:val="0"/>
          <w:color w:val="auto"/>
          <w:sz w:val="32"/>
          <w:szCs w:val="32"/>
          <w:lang w:val="en-US" w:eastAsia="zh-CN"/>
        </w:rPr>
        <w:t>12345</w:t>
      </w:r>
      <w:r>
        <w:rPr>
          <w:rFonts w:hint="eastAsia" w:ascii="仿宋" w:hAnsi="仿宋" w:eastAsia="仿宋" w:cs="仿宋"/>
          <w:b w:val="0"/>
          <w:bCs w:val="0"/>
          <w:color w:val="auto"/>
          <w:sz w:val="32"/>
          <w:szCs w:val="32"/>
          <w:lang w:val="en-US" w:eastAsia="zh-CN"/>
        </w:rPr>
        <w:t>”热线管理。建立了“好差评”评价的处置、督办、整改、反馈的全流程闭环工作机制，实现了五级评价，针对评价覆盖率.及时率、好评率、评价内容丰富度四个方面提升综合评分目前北塔区评分</w:t>
      </w:r>
      <w:r>
        <w:rPr>
          <w:rFonts w:hint="default" w:ascii="Times New Roman" w:hAnsi="Times New Roman" w:eastAsia="仿宋" w:cs="Times New Roman"/>
          <w:b w:val="0"/>
          <w:bCs w:val="0"/>
          <w:color w:val="auto"/>
          <w:sz w:val="32"/>
          <w:szCs w:val="32"/>
          <w:lang w:val="en-US" w:eastAsia="zh-CN"/>
        </w:rPr>
        <w:t>97.83</w:t>
      </w:r>
      <w:r>
        <w:rPr>
          <w:rFonts w:hint="eastAsia" w:ascii="仿宋" w:hAnsi="仿宋" w:eastAsia="仿宋" w:cs="仿宋"/>
          <w:b w:val="0"/>
          <w:bCs w:val="0"/>
          <w:color w:val="auto"/>
          <w:sz w:val="32"/>
          <w:szCs w:val="32"/>
          <w:lang w:val="en-US" w:eastAsia="zh-CN"/>
        </w:rPr>
        <w:t>分，在全市排名第</w:t>
      </w:r>
      <w:r>
        <w:rPr>
          <w:rFonts w:hint="default" w:ascii="Times New Roman" w:hAnsi="Times New Roman" w:eastAsia="仿宋" w:cs="Times New Roman"/>
          <w:b w:val="0"/>
          <w:bCs w:val="0"/>
          <w:color w:val="auto"/>
          <w:sz w:val="32"/>
          <w:szCs w:val="32"/>
          <w:lang w:val="en-US" w:eastAsia="zh-CN"/>
        </w:rPr>
        <w:t>1</w:t>
      </w:r>
      <w:r>
        <w:rPr>
          <w:rFonts w:hint="eastAsia" w:ascii="仿宋" w:hAnsi="仿宋" w:eastAsia="仿宋" w:cs="仿宋"/>
          <w:b w:val="0"/>
          <w:bCs w:val="0"/>
          <w:color w:val="auto"/>
          <w:sz w:val="32"/>
          <w:szCs w:val="32"/>
          <w:lang w:val="en-US" w:eastAsia="zh-CN"/>
        </w:rPr>
        <w:t>名。“</w:t>
      </w:r>
      <w:r>
        <w:rPr>
          <w:rFonts w:hint="default" w:ascii="Times New Roman" w:hAnsi="Times New Roman" w:eastAsia="仿宋" w:cs="Times New Roman"/>
          <w:b w:val="0"/>
          <w:bCs w:val="0"/>
          <w:color w:val="auto"/>
          <w:sz w:val="32"/>
          <w:szCs w:val="32"/>
          <w:lang w:val="en-US" w:eastAsia="zh-CN"/>
        </w:rPr>
        <w:t>12345</w:t>
      </w:r>
      <w:r>
        <w:rPr>
          <w:rFonts w:hint="eastAsia" w:ascii="仿宋" w:hAnsi="仿宋" w:eastAsia="仿宋" w:cs="仿宋"/>
          <w:b w:val="0"/>
          <w:bCs w:val="0"/>
          <w:color w:val="auto"/>
          <w:sz w:val="32"/>
          <w:szCs w:val="32"/>
          <w:lang w:val="en-US" w:eastAsia="zh-CN"/>
        </w:rPr>
        <w:t>”政务</w:t>
      </w:r>
      <w:r>
        <w:rPr>
          <w:rFonts w:hint="default" w:ascii="Times New Roman Regular" w:hAnsi="Times New Roman Regular" w:eastAsia="仿宋" w:cs="Times New Roman Regular"/>
          <w:b w:val="0"/>
          <w:bCs w:val="0"/>
          <w:color w:val="auto"/>
          <w:sz w:val="32"/>
          <w:szCs w:val="32"/>
          <w:lang w:val="en-US" w:eastAsia="zh-CN"/>
        </w:rPr>
        <w:t>服务热线全年共受理2990件工单，办结2320件，1-10月群众综合满意率为98.2%。五是加速推进电子证照制发汇聚。在全区统一收集证照目录模板、存量数据，并导入电子签单CA认证。目前已收集18种证照，大力推进北塔区电子证照在省级平台的应用领域扩展。</w:t>
      </w:r>
      <w:bookmarkEnd w:id="104"/>
      <w:bookmarkEnd w:id="105"/>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eastAsia" w:ascii="仿宋" w:hAnsi="仿宋" w:eastAsia="仿宋" w:cs="仿宋"/>
          <w:b w:val="0"/>
          <w:bCs w:val="0"/>
          <w:color w:val="auto"/>
          <w:sz w:val="32"/>
          <w:szCs w:val="32"/>
          <w:lang w:val="en-US" w:eastAsia="zh-CN"/>
        </w:rPr>
      </w:pPr>
      <w:bookmarkStart w:id="106" w:name="_Toc22833"/>
      <w:bookmarkStart w:id="107" w:name="_Toc4072"/>
      <w:r>
        <w:rPr>
          <w:rFonts w:hint="eastAsia" w:ascii="Times New Roman Regular" w:hAnsi="Times New Roman Regular" w:eastAsia="仿宋" w:cs="Times New Roman Regular"/>
          <w:b w:val="0"/>
          <w:bCs w:val="0"/>
          <w:color w:val="auto"/>
          <w:sz w:val="32"/>
          <w:szCs w:val="32"/>
          <w:lang w:val="en-US" w:eastAsia="zh-CN"/>
        </w:rPr>
        <w:t>6、</w:t>
      </w:r>
      <w:r>
        <w:rPr>
          <w:rFonts w:hint="default" w:ascii="Times New Roman Regular" w:hAnsi="Times New Roman Regular" w:eastAsia="仿宋" w:cs="Times New Roman Regular"/>
          <w:b w:val="0"/>
          <w:bCs w:val="0"/>
          <w:color w:val="auto"/>
          <w:sz w:val="32"/>
          <w:szCs w:val="32"/>
          <w:lang w:val="en-US" w:eastAsia="zh-CN"/>
        </w:rPr>
        <w:t>深入推进</w:t>
      </w:r>
      <w:r>
        <w:rPr>
          <w:rFonts w:hint="eastAsia" w:ascii="仿宋" w:hAnsi="仿宋" w:eastAsia="仿宋" w:cs="仿宋"/>
          <w:b w:val="0"/>
          <w:bCs w:val="0"/>
          <w:color w:val="auto"/>
          <w:sz w:val="32"/>
          <w:szCs w:val="32"/>
          <w:lang w:val="en-US" w:eastAsia="zh-CN"/>
        </w:rPr>
        <w:t>“清廉大厅”建设</w:t>
      </w:r>
      <w:bookmarkEnd w:id="106"/>
      <w:bookmarkEnd w:id="10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color w:val="auto"/>
          <w:sz w:val="32"/>
          <w:szCs w:val="32"/>
          <w:lang w:val="en-US" w:eastAsia="zh-CN"/>
        </w:rPr>
      </w:pPr>
      <w:bookmarkStart w:id="108" w:name="_Toc22461"/>
      <w:bookmarkStart w:id="109" w:name="_Toc9064"/>
      <w:r>
        <w:rPr>
          <w:rFonts w:hint="eastAsia" w:ascii="仿宋" w:hAnsi="仿宋" w:eastAsia="仿宋" w:cs="仿宋"/>
          <w:b w:val="0"/>
          <w:bCs w:val="0"/>
          <w:color w:val="auto"/>
          <w:sz w:val="32"/>
          <w:szCs w:val="32"/>
          <w:lang w:val="en-US" w:eastAsia="zh-CN"/>
        </w:rPr>
        <w:t>在加强学习教育、规范审批行为、推行标准服务、整治窗口腐败的基础上，加大监督力度</w:t>
      </w:r>
      <w:r>
        <w:rPr>
          <w:rFonts w:hint="default" w:ascii="Times New Roman Regular" w:hAnsi="Times New Roman Regular" w:eastAsia="仿宋" w:cs="Times New Roman Regular"/>
          <w:b w:val="0"/>
          <w:bCs w:val="0"/>
          <w:color w:val="auto"/>
          <w:sz w:val="32"/>
          <w:szCs w:val="32"/>
          <w:lang w:val="en-US" w:eastAsia="zh-CN"/>
        </w:rPr>
        <w:t>。通过瞄准关键人、关键事、关键环节，把准重点。一是加强内部监督。组建廉洁服务监督小组，小组成员为局机关干部职工，采取交叉监督、不定时检查，对政务服务中心工作人员的作风纪律进行监督轻则通报整改，重则退回原单位或移交区纪检组处理。二是强化外部监督。尊重群众主体地位，构建监督反馈机制，通过投诉举报电话、投诉举报记录本、面对面投诉等渠道倾听群众声音。在政务大厅设</w:t>
      </w:r>
      <w:r>
        <w:rPr>
          <w:rFonts w:hint="eastAsia" w:ascii="仿宋" w:hAnsi="仿宋" w:eastAsia="仿宋" w:cs="仿宋"/>
          <w:b w:val="0"/>
          <w:bCs w:val="0"/>
          <w:color w:val="auto"/>
          <w:sz w:val="32"/>
          <w:szCs w:val="32"/>
          <w:lang w:val="en-US" w:eastAsia="zh-CN"/>
        </w:rPr>
        <w:t>立“办不成事”反</w:t>
      </w:r>
      <w:r>
        <w:rPr>
          <w:rFonts w:hint="default" w:ascii="Times New Roman Regular" w:hAnsi="Times New Roman Regular" w:eastAsia="仿宋" w:cs="Times New Roman Regular"/>
          <w:b w:val="0"/>
          <w:bCs w:val="0"/>
          <w:color w:val="auto"/>
          <w:sz w:val="32"/>
          <w:szCs w:val="32"/>
          <w:lang w:val="en-US" w:eastAsia="zh-CN"/>
        </w:rPr>
        <w:t>映窗口，建立了处理台账，并适时跟踪回访。让群众办事不白跑、不扑空、有地儿找、有人帮，对</w:t>
      </w:r>
      <w:r>
        <w:rPr>
          <w:rFonts w:hint="eastAsia" w:ascii="仿宋" w:hAnsi="仿宋" w:eastAsia="仿宋" w:cs="仿宋"/>
          <w:b w:val="0"/>
          <w:bCs w:val="0"/>
          <w:color w:val="auto"/>
          <w:sz w:val="32"/>
          <w:szCs w:val="32"/>
          <w:lang w:val="en-US" w:eastAsia="zh-CN"/>
        </w:rPr>
        <w:t>“办不成的事”一</w:t>
      </w:r>
      <w:r>
        <w:rPr>
          <w:rFonts w:hint="default" w:ascii="Times New Roman Regular" w:hAnsi="Times New Roman Regular" w:eastAsia="仿宋" w:cs="Times New Roman Regular"/>
          <w:b w:val="0"/>
          <w:bCs w:val="0"/>
          <w:color w:val="auto"/>
          <w:sz w:val="32"/>
          <w:szCs w:val="32"/>
          <w:lang w:val="en-US" w:eastAsia="zh-CN"/>
        </w:rPr>
        <w:t>帮到底。三是瞄准关键少数。对企业开办、项目审批工作负责人进行常态化监督，促使其当好清廉头雁，带好廉洁队伍。2022 年区政务服务中心办件量24692件</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评价率 98.5%，群众满意率 99.98%</w:t>
      </w:r>
      <w:r>
        <w:rPr>
          <w:rFonts w:hint="eastAsia" w:ascii="Times New Roman Regular" w:hAnsi="Times New Roman Regular" w:eastAsia="仿宋" w:cs="Times New Roman Regular"/>
          <w:b w:val="0"/>
          <w:bCs w:val="0"/>
          <w:color w:val="auto"/>
          <w:sz w:val="32"/>
          <w:szCs w:val="32"/>
          <w:lang w:val="en-US" w:eastAsia="zh-CN"/>
        </w:rPr>
        <w:t>。四是配强法律专业力量。从北塔区一品法律服务所聘请 2 名法律顾问，为政务服务中心干部职工、企业群众提供法律咨询服务。</w:t>
      </w:r>
      <w:bookmarkEnd w:id="108"/>
      <w:bookmarkEnd w:id="10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110" w:name="_Toc3298"/>
      <w:r>
        <w:rPr>
          <w:rFonts w:hint="default" w:ascii="Times New Roman Regular" w:hAnsi="Times New Roman Regular" w:eastAsia="楷体" w:cs="Times New Roman Regular"/>
          <w:b/>
          <w:bCs/>
          <w:sz w:val="32"/>
          <w:szCs w:val="32"/>
          <w:lang w:val="en-US" w:eastAsia="zh-CN"/>
        </w:rPr>
        <w:t>（三）部门整体满意度</w:t>
      </w:r>
      <w:bookmarkEnd w:id="97"/>
      <w:bookmarkEnd w:id="11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sz w:val="32"/>
          <w:szCs w:val="32"/>
          <w:lang w:val="en-US" w:eastAsia="zh-CN"/>
        </w:rPr>
        <w:t>绩效评价小组针对</w:t>
      </w:r>
      <w:r>
        <w:rPr>
          <w:rFonts w:hint="eastAsia" w:ascii="Times New Roman Regular" w:hAnsi="Times New Roman Regular" w:eastAsia="仿宋" w:cs="Times New Roman Regular"/>
          <w:b w:val="0"/>
          <w:bCs w:val="0"/>
          <w:sz w:val="32"/>
          <w:szCs w:val="32"/>
          <w:lang w:val="en-US" w:eastAsia="zh-CN"/>
        </w:rPr>
        <w:t>区行政审批服务局</w:t>
      </w:r>
      <w:r>
        <w:rPr>
          <w:rFonts w:hint="default" w:ascii="Times New Roman Regular" w:hAnsi="Times New Roman Regular" w:eastAsia="仿宋" w:cs="Times New Roman Regular"/>
          <w:b w:val="0"/>
          <w:bCs w:val="0"/>
          <w:sz w:val="32"/>
          <w:szCs w:val="32"/>
          <w:lang w:val="en-US" w:eastAsia="zh-CN"/>
        </w:rPr>
        <w:t>整体情况通过</w:t>
      </w:r>
      <w:r>
        <w:rPr>
          <w:rFonts w:hint="eastAsia" w:ascii="Times New Roman Regular" w:hAnsi="Times New Roman Regular" w:eastAsia="仿宋" w:cs="Times New Roman Regular"/>
          <w:b w:val="0"/>
          <w:bCs w:val="0"/>
          <w:sz w:val="32"/>
          <w:szCs w:val="32"/>
          <w:lang w:val="en-US" w:eastAsia="zh-CN"/>
        </w:rPr>
        <w:t>电子问卷向单位职工</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相关受益群体</w:t>
      </w:r>
      <w:r>
        <w:rPr>
          <w:rFonts w:hint="default" w:ascii="Times New Roman Regular" w:hAnsi="Times New Roman Regular" w:eastAsia="仿宋" w:cs="Times New Roman Regular"/>
          <w:b w:val="0"/>
          <w:bCs w:val="0"/>
          <w:sz w:val="32"/>
          <w:szCs w:val="32"/>
          <w:lang w:val="en-US" w:eastAsia="zh-CN"/>
        </w:rPr>
        <w:t>发放问卷进行满意度调查，共收集有效</w:t>
      </w:r>
      <w:r>
        <w:rPr>
          <w:rFonts w:hint="default" w:ascii="Times New Roman Regular" w:hAnsi="Times New Roman Regular" w:eastAsia="仿宋" w:cs="Times New Roman Regular"/>
          <w:b w:val="0"/>
          <w:bCs w:val="0"/>
          <w:color w:val="auto"/>
          <w:sz w:val="32"/>
          <w:szCs w:val="32"/>
          <w:lang w:val="en-US" w:eastAsia="zh-CN"/>
        </w:rPr>
        <w:t>问卷</w:t>
      </w:r>
      <w:r>
        <w:rPr>
          <w:rFonts w:hint="eastAsia" w:ascii="Times New Roman Regular" w:hAnsi="Times New Roman Regular" w:eastAsia="仿宋" w:cs="Times New Roman Regular"/>
          <w:b w:val="0"/>
          <w:bCs w:val="0"/>
          <w:color w:val="auto"/>
          <w:sz w:val="32"/>
          <w:szCs w:val="32"/>
          <w:lang w:val="en-US" w:eastAsia="zh-CN"/>
        </w:rPr>
        <w:t>65</w:t>
      </w:r>
      <w:r>
        <w:rPr>
          <w:rFonts w:hint="default" w:ascii="Times New Roman Regular" w:hAnsi="Times New Roman Regular" w:eastAsia="仿宋" w:cs="Times New Roman Regular"/>
          <w:b w:val="0"/>
          <w:bCs w:val="0"/>
          <w:color w:val="auto"/>
          <w:sz w:val="32"/>
          <w:szCs w:val="32"/>
          <w:lang w:val="en-US" w:eastAsia="zh-CN"/>
        </w:rPr>
        <w:t>份。经统计，2022年</w:t>
      </w:r>
      <w:r>
        <w:rPr>
          <w:rFonts w:hint="eastAsia" w:ascii="Times New Roman Regular" w:hAnsi="Times New Roman Regular" w:eastAsia="仿宋" w:cs="Times New Roman Regular"/>
          <w:b w:val="0"/>
          <w:bCs w:val="0"/>
          <w:color w:val="auto"/>
          <w:sz w:val="32"/>
          <w:szCs w:val="32"/>
          <w:lang w:val="en-US" w:eastAsia="zh-CN"/>
        </w:rPr>
        <w:t>区行政审批服务局</w:t>
      </w:r>
      <w:r>
        <w:rPr>
          <w:rFonts w:hint="default" w:ascii="Times New Roman Regular" w:hAnsi="Times New Roman Regular" w:eastAsia="仿宋" w:cs="Times New Roman Regular"/>
          <w:b w:val="0"/>
          <w:bCs w:val="0"/>
          <w:color w:val="auto"/>
          <w:sz w:val="32"/>
          <w:szCs w:val="32"/>
          <w:lang w:val="en-US" w:eastAsia="zh-CN"/>
        </w:rPr>
        <w:t>整体满意度为</w:t>
      </w:r>
      <w:r>
        <w:rPr>
          <w:rFonts w:hint="eastAsia" w:ascii="Times New Roman Regular" w:hAnsi="Times New Roman Regular" w:eastAsia="仿宋" w:cs="Times New Roman Regular"/>
          <w:b w:val="0"/>
          <w:bCs w:val="0"/>
          <w:color w:val="auto"/>
          <w:sz w:val="32"/>
          <w:szCs w:val="32"/>
          <w:lang w:val="en-US" w:eastAsia="zh-CN"/>
        </w:rPr>
        <w:t>100.00</w:t>
      </w:r>
      <w:r>
        <w:rPr>
          <w:rFonts w:hint="default" w:ascii="Times New Roman Regular" w:hAnsi="Times New Roman Regular" w:eastAsia="仿宋" w:cs="Times New Roman Regular"/>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111" w:name="_Toc20035"/>
      <w:bookmarkStart w:id="112" w:name="_Toc12488"/>
      <w:r>
        <w:rPr>
          <w:rFonts w:hint="default" w:ascii="Times New Roman Regular" w:hAnsi="Times New Roman Regular" w:eastAsia="黑体" w:cs="Times New Roman Regular"/>
          <w:b/>
          <w:bCs/>
          <w:kern w:val="2"/>
          <w:sz w:val="32"/>
          <w:szCs w:val="32"/>
          <w:lang w:val="en-US" w:eastAsia="zh-CN" w:bidi="ar-SA"/>
        </w:rPr>
        <w:t>六、综合评价情况及评价结论</w:t>
      </w:r>
      <w:bookmarkEnd w:id="111"/>
      <w:bookmarkEnd w:id="11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根据资金绩效评价指标体系和绩效检查情况，</w:t>
      </w:r>
      <w:r>
        <w:rPr>
          <w:rFonts w:hint="eastAsia" w:ascii="Times New Roman Regular" w:hAnsi="Times New Roman Regular" w:eastAsia="仿宋" w:cs="Times New Roman Regular"/>
          <w:b w:val="0"/>
          <w:bCs w:val="0"/>
          <w:sz w:val="32"/>
          <w:szCs w:val="32"/>
          <w:lang w:val="en-US" w:eastAsia="zh-CN"/>
        </w:rPr>
        <w:t>区行政审批服务局</w:t>
      </w:r>
      <w:r>
        <w:rPr>
          <w:rFonts w:hint="default" w:ascii="Times New Roman Regular" w:hAnsi="Times New Roman Regular" w:eastAsia="仿宋" w:cs="Times New Roman Regular"/>
          <w:b w:val="0"/>
          <w:bCs w:val="0"/>
          <w:sz w:val="32"/>
          <w:szCs w:val="32"/>
          <w:lang w:val="en-US" w:eastAsia="zh-CN"/>
        </w:rPr>
        <w:t>2022年度部门整体支出重点绩效评价分值100分，从部门决策、部门预算、内部制度管理、部门产出、部门效益等方面总体评价，实得</w:t>
      </w:r>
      <w:r>
        <w:rPr>
          <w:rFonts w:hint="eastAsia" w:ascii="Times New Roman Regular" w:hAnsi="Times New Roman Regular" w:eastAsia="仿宋" w:cs="Times New Roman Regular"/>
          <w:b w:val="0"/>
          <w:bCs w:val="0"/>
          <w:sz w:val="32"/>
          <w:szCs w:val="32"/>
          <w:lang w:val="en-US" w:eastAsia="zh-CN"/>
        </w:rPr>
        <w:t>95</w:t>
      </w:r>
      <w:r>
        <w:rPr>
          <w:rFonts w:hint="default" w:ascii="Times New Roman Regular" w:hAnsi="Times New Roman Regular" w:eastAsia="仿宋" w:cs="Times New Roman Regular"/>
          <w:b w:val="0"/>
          <w:bCs w:val="0"/>
          <w:color w:val="auto"/>
          <w:sz w:val="32"/>
          <w:szCs w:val="32"/>
          <w:lang w:val="en-US" w:eastAsia="zh-CN"/>
        </w:rPr>
        <w:t>分，被评为</w:t>
      </w:r>
      <w:r>
        <w:rPr>
          <w:rFonts w:hint="eastAsia" w:ascii="仿宋" w:hAnsi="仿宋" w:eastAsia="仿宋" w:cs="仿宋"/>
          <w:b w:val="0"/>
          <w:bCs w:val="0"/>
          <w:color w:val="auto"/>
          <w:sz w:val="32"/>
          <w:szCs w:val="32"/>
          <w:lang w:val="en-US" w:eastAsia="zh-CN"/>
        </w:rPr>
        <w:t>“优”等级</w:t>
      </w:r>
      <w:r>
        <w:rPr>
          <w:rFonts w:hint="eastAsia" w:ascii="仿宋" w:hAnsi="仿宋" w:eastAsia="仿宋" w:cs="仿宋"/>
          <w:b w:val="0"/>
          <w:bCs w:val="0"/>
          <w:sz w:val="32"/>
          <w:szCs w:val="32"/>
          <w:lang w:val="en-US" w:eastAsia="zh-CN"/>
        </w:rPr>
        <w:t>（详见附件）</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113" w:name="_Toc19999"/>
      <w:bookmarkStart w:id="114" w:name="_Toc4731"/>
      <w:r>
        <w:rPr>
          <w:rFonts w:hint="default" w:ascii="Times New Roman Regular" w:hAnsi="Times New Roman Regular" w:eastAsia="黑体" w:cs="Times New Roman Regular"/>
          <w:b/>
          <w:bCs/>
          <w:kern w:val="2"/>
          <w:sz w:val="32"/>
          <w:szCs w:val="32"/>
          <w:lang w:val="en-US" w:eastAsia="zh-CN" w:bidi="ar-SA"/>
        </w:rPr>
        <w:t>七、存在的主要问题</w:t>
      </w:r>
      <w:bookmarkEnd w:id="113"/>
      <w:bookmarkEnd w:id="11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1"/>
        <w:rPr>
          <w:rFonts w:hint="eastAsia" w:ascii="Times New Roman Regular" w:hAnsi="Times New Roman Regular" w:eastAsia="楷体" w:cs="Times New Roman Regular"/>
          <w:b/>
          <w:bCs/>
          <w:sz w:val="32"/>
          <w:szCs w:val="32"/>
          <w:lang w:val="en-US" w:eastAsia="zh-CN"/>
        </w:rPr>
      </w:pPr>
      <w:bookmarkStart w:id="115" w:name="_Toc2624"/>
      <w:bookmarkStart w:id="116" w:name="_Toc7224"/>
      <w:r>
        <w:rPr>
          <w:rFonts w:hint="eastAsia" w:ascii="Times New Roman Regular" w:hAnsi="Times New Roman Regular" w:eastAsia="楷体" w:cs="Times New Roman Regular"/>
          <w:b/>
          <w:bCs/>
          <w:sz w:val="32"/>
          <w:szCs w:val="32"/>
          <w:lang w:val="en-US" w:eastAsia="zh-CN"/>
        </w:rPr>
        <w:t>（一）政府采购管理方面</w:t>
      </w:r>
      <w:bookmarkEnd w:id="11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Regular" w:hAnsi="Times New Roman Regular" w:eastAsia="仿宋" w:cs="Times New Roman Regular"/>
          <w:b w:val="0"/>
          <w:bCs w:val="0"/>
          <w:sz w:val="32"/>
          <w:szCs w:val="32"/>
          <w:highlight w:val="none"/>
          <w:lang w:val="en-US" w:eastAsia="zh-CN"/>
        </w:rPr>
      </w:pPr>
      <w:r>
        <w:rPr>
          <w:rFonts w:hint="eastAsia" w:ascii="Times New Roman Regular" w:hAnsi="Times New Roman Regular" w:eastAsia="仿宋" w:cs="Times New Roman Regular"/>
          <w:b w:val="0"/>
          <w:bCs w:val="0"/>
          <w:sz w:val="32"/>
          <w:szCs w:val="32"/>
          <w:highlight w:val="none"/>
          <w:lang w:val="en-US" w:eastAsia="zh-CN"/>
        </w:rPr>
        <w:t>政府采购预决算偏离较大。经查看单位2022年度预决算公开情况，2022年度政府采购预算102.00万元，</w:t>
      </w:r>
      <w:r>
        <w:rPr>
          <w:rFonts w:hint="eastAsia" w:ascii="Times New Roman Regular" w:hAnsi="Times New Roman Regular" w:eastAsia="仿宋" w:cs="Times New Roman Regular"/>
          <w:sz w:val="32"/>
          <w:szCs w:val="32"/>
          <w:highlight w:val="none"/>
        </w:rPr>
        <w:t>其中，货物类采购预算99万元；工程类采购预算0万元；服务类采购预算3万元。</w:t>
      </w:r>
      <w:r>
        <w:rPr>
          <w:rFonts w:hint="eastAsia" w:ascii="Times New Roman Regular" w:hAnsi="Times New Roman Regular" w:eastAsia="仿宋" w:cs="Times New Roman Regular"/>
          <w:sz w:val="32"/>
          <w:szCs w:val="32"/>
          <w:highlight w:val="none"/>
          <w:lang w:val="en-US" w:eastAsia="zh-CN"/>
        </w:rPr>
        <w:t>2022年政府采购决算324.17万元，</w:t>
      </w:r>
      <w:r>
        <w:rPr>
          <w:rFonts w:hint="eastAsia" w:ascii="Times New Roman Regular" w:hAnsi="Times New Roman Regular" w:eastAsia="仿宋" w:cs="Times New Roman Regular"/>
          <w:sz w:val="32"/>
          <w:szCs w:val="32"/>
          <w:highlight w:val="none"/>
        </w:rPr>
        <w:t>其中：政府采购货物支出64.76万元、政府采购工程支出100万元、政府采购服务支出159.41万元</w:t>
      </w:r>
      <w:r>
        <w:rPr>
          <w:rFonts w:hint="eastAsia" w:ascii="Times New Roman Regular" w:hAnsi="Times New Roman Regular" w:eastAsia="仿宋" w:cs="Times New Roman Regular"/>
          <w:sz w:val="32"/>
          <w:szCs w:val="32"/>
          <w:highlight w:val="none"/>
          <w:lang w:eastAsia="zh-CN"/>
        </w:rPr>
        <w:t>。</w:t>
      </w:r>
      <w:r>
        <w:rPr>
          <w:rFonts w:hint="eastAsia" w:ascii="Times New Roman Regular" w:hAnsi="Times New Roman Regular" w:eastAsia="仿宋" w:cs="Times New Roman Regular"/>
          <w:sz w:val="32"/>
          <w:szCs w:val="32"/>
          <w:highlight w:val="none"/>
          <w:lang w:val="en-US" w:eastAsia="zh-CN"/>
        </w:rPr>
        <w:t>决算支出偏离预算支出217.81%。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1"/>
        <w:rPr>
          <w:rFonts w:hint="eastAsia" w:ascii="Times New Roman Regular" w:hAnsi="Times New Roman Regular" w:eastAsia="楷体" w:cs="Times New Roman Regular"/>
          <w:b/>
          <w:bCs/>
          <w:sz w:val="32"/>
          <w:szCs w:val="32"/>
          <w:lang w:val="en-US" w:eastAsia="zh-CN"/>
        </w:rPr>
      </w:pPr>
      <w:bookmarkStart w:id="117" w:name="_Toc19372"/>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财务管理方面</w:t>
      </w:r>
      <w:bookmarkEnd w:id="116"/>
      <w:bookmarkEnd w:id="11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1、跨期报账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经查看区行政审批服务局2022年7月4#凭证，付区财政局公车使用费以及租车费0.43万元，附件中费用记录为日期为2021年1月-2021年12月，该笔款项于2022年7月14日支付。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2、未按合同约定付款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经查看区行政审批服务局2022年11月2#凭证，2022年11月25日付政务中心扩建费60万元，附件中未附带工程进度款担保文件及监理方相关文件，不符合合同条款“.在合回协议书签订后，由承包人向发包人提交了发包人认可的工程进度款担保，并经监理人出具付款证书报送发包人批准后30 天内予以支付。”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118" w:name="_Toc14824"/>
      <w:bookmarkStart w:id="119" w:name="_Toc27434"/>
      <w:r>
        <w:rPr>
          <w:rFonts w:hint="default" w:ascii="Times New Roman Regular" w:hAnsi="Times New Roman Regular" w:eastAsia="黑体" w:cs="Times New Roman Regular"/>
          <w:b/>
          <w:bCs/>
          <w:kern w:val="2"/>
          <w:sz w:val="32"/>
          <w:szCs w:val="32"/>
          <w:lang w:val="en-US" w:eastAsia="zh-CN" w:bidi="ar-SA"/>
        </w:rPr>
        <w:t>八、相关建议</w:t>
      </w:r>
      <w:bookmarkEnd w:id="118"/>
      <w:bookmarkEnd w:id="11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1"/>
        <w:rPr>
          <w:rFonts w:hint="eastAsia" w:ascii="Times New Roman Regular" w:hAnsi="Times New Roman Regular" w:eastAsia="楷体" w:cs="Times New Roman Regular"/>
          <w:b/>
          <w:bCs/>
          <w:sz w:val="32"/>
          <w:szCs w:val="32"/>
          <w:lang w:val="en-US" w:eastAsia="zh-CN"/>
        </w:rPr>
      </w:pPr>
      <w:bookmarkStart w:id="120" w:name="_Toc20957"/>
      <w:bookmarkStart w:id="121" w:name="_Toc679"/>
      <w:r>
        <w:rPr>
          <w:rFonts w:hint="eastAsia" w:ascii="Times New Roman Regular" w:hAnsi="Times New Roman Regular" w:eastAsia="楷体" w:cs="Times New Roman Regular"/>
          <w:b/>
          <w:bCs/>
          <w:sz w:val="32"/>
          <w:szCs w:val="32"/>
          <w:lang w:val="en-US" w:eastAsia="zh-CN"/>
        </w:rPr>
        <w:t>（一）加强政府采购管理</w:t>
      </w:r>
      <w:bookmarkEnd w:id="12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一是强化政府采购预算管理，从预算编制入手，细化采购项目预算的编制工作，二是采购项目不得超过预算定额，增强采购的计划性，三是减少临时性采购，增强政府采购预算的刚性约束，严格按预算执行政府采购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122" w:name="_Toc15600"/>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提高财务</w:t>
      </w:r>
      <w:r>
        <w:rPr>
          <w:rFonts w:hint="default" w:ascii="Times New Roman Regular" w:hAnsi="Times New Roman Regular" w:eastAsia="楷体" w:cs="Times New Roman Regular"/>
          <w:b/>
          <w:bCs/>
          <w:sz w:val="32"/>
          <w:szCs w:val="32"/>
          <w:lang w:val="en-US" w:eastAsia="zh-CN"/>
        </w:rPr>
        <w:t>管理</w:t>
      </w:r>
      <w:r>
        <w:rPr>
          <w:rFonts w:hint="eastAsia" w:ascii="Times New Roman Regular" w:hAnsi="Times New Roman Regular" w:eastAsia="楷体" w:cs="Times New Roman Regular"/>
          <w:b/>
          <w:bCs/>
          <w:sz w:val="32"/>
          <w:szCs w:val="32"/>
          <w:lang w:val="en-US" w:eastAsia="zh-CN"/>
        </w:rPr>
        <w:t>规范性</w:t>
      </w:r>
      <w:bookmarkEnd w:id="121"/>
      <w:bookmarkEnd w:id="12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40"/>
          <w:lang w:val="en-US" w:eastAsia="zh-CN"/>
        </w:rPr>
      </w:pPr>
      <w:r>
        <w:rPr>
          <w:rFonts w:hint="eastAsia" w:ascii="Times New Roman Regular" w:hAnsi="Times New Roman Regular" w:eastAsia="仿宋" w:cs="Times New Roman Regular"/>
          <w:b w:val="0"/>
          <w:bCs w:val="0"/>
          <w:kern w:val="2"/>
          <w:sz w:val="32"/>
          <w:szCs w:val="32"/>
          <w:lang w:val="en-US" w:eastAsia="zh-CN" w:bidi="ar-SA"/>
        </w:rPr>
        <w:t>一是规范报账程序，设立报账截止时点，以便于准确反映单位年度资金使用情况；二是</w:t>
      </w:r>
      <w:r>
        <w:rPr>
          <w:rFonts w:hint="eastAsia" w:ascii="Times New Roman" w:hAnsi="Times New Roman" w:eastAsia="仿宋" w:cs="Times New Roman"/>
          <w:sz w:val="32"/>
          <w:szCs w:val="40"/>
          <w:lang w:val="en-US" w:eastAsia="zh-CN"/>
        </w:rPr>
        <w:t>建议单位严格按照合同签订的方式进行付款，一方面避免因拖欠项目款项而违约的情况发生，另一方面</w:t>
      </w:r>
      <w:r>
        <w:rPr>
          <w:rFonts w:hint="eastAsia" w:eastAsia="仿宋" w:cs="Times New Roman"/>
          <w:sz w:val="32"/>
          <w:szCs w:val="40"/>
          <w:lang w:val="en-US" w:eastAsia="zh-CN"/>
        </w:rPr>
        <w:t>严格按照合同约定支付避免资金使用风险；三是加强合同签订的合理性，在业务开展前签订合同，保证合同的真实合法性，避免因合同后签导致合同无效从而引起不必要的法律风险。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123" w:name="_Toc24893"/>
      <w:bookmarkStart w:id="124" w:name="_Toc4642"/>
      <w:r>
        <w:rPr>
          <w:rFonts w:hint="default" w:ascii="Times New Roman Regular" w:hAnsi="Times New Roman Regular" w:eastAsia="黑体" w:cs="Times New Roman Regular"/>
          <w:b/>
          <w:bCs/>
          <w:kern w:val="2"/>
          <w:sz w:val="32"/>
          <w:szCs w:val="32"/>
          <w:lang w:val="en-US" w:eastAsia="zh-CN" w:bidi="ar-SA"/>
        </w:rPr>
        <w:t>九、报告使用情况说明</w:t>
      </w:r>
      <w:bookmarkEnd w:id="123"/>
      <w:bookmarkEnd w:id="12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本报告仅供委托方了解部门整体支出绩效情况使用，亦可供</w:t>
      </w:r>
      <w:r>
        <w:rPr>
          <w:rFonts w:hint="eastAsia" w:ascii="Times New Roman Regular" w:hAnsi="Times New Roman Regular" w:eastAsia="仿宋" w:cs="Times New Roman Regular"/>
          <w:b w:val="0"/>
          <w:bCs w:val="0"/>
          <w:sz w:val="32"/>
          <w:szCs w:val="32"/>
          <w:lang w:val="en-US" w:eastAsia="zh-CN"/>
        </w:rPr>
        <w:t>邵阳市北塔区行政审批服务局</w:t>
      </w:r>
      <w:r>
        <w:rPr>
          <w:rFonts w:hint="default" w:ascii="Times New Roman Regular" w:hAnsi="Times New Roman Regular" w:eastAsia="仿宋" w:cs="Times New Roman Regular"/>
          <w:b w:val="0"/>
          <w:bCs w:val="0"/>
          <w:sz w:val="32"/>
          <w:szCs w:val="32"/>
          <w:lang w:val="en-US" w:eastAsia="zh-CN"/>
        </w:rPr>
        <w:t>加强部门整体绩效管理参考使用，非经委托方和本所许可，不得用于其他目的。</w:t>
      </w:r>
    </w:p>
    <w:p>
      <w:pPr>
        <w:pStyle w:val="11"/>
        <w:rPr>
          <w:rFonts w:hint="default" w:ascii="Times New Roman Regular" w:hAnsi="Times New Roman Regular" w:eastAsia="仿宋" w:cs="Times New Roman Regular"/>
          <w:b w:val="0"/>
          <w:bCs w:val="0"/>
          <w:sz w:val="32"/>
          <w:szCs w:val="32"/>
          <w:lang w:val="en-US" w:eastAsia="zh-CN"/>
        </w:rPr>
      </w:pPr>
    </w:p>
    <w:p>
      <w:pPr>
        <w:pStyle w:val="11"/>
        <w:jc w:val="left"/>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1</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邵阳市北塔区行政审批服务局</w:t>
      </w:r>
      <w:r>
        <w:rPr>
          <w:rFonts w:hint="default" w:ascii="Times New Roman Regular" w:hAnsi="Times New Roman Regular" w:eastAsia="仿宋" w:cs="Times New Roman Regular"/>
          <w:b w:val="0"/>
          <w:bCs w:val="0"/>
          <w:sz w:val="32"/>
          <w:szCs w:val="32"/>
          <w:lang w:val="en-US" w:eastAsia="zh-CN"/>
        </w:rPr>
        <w:t>2022年度部门整体支出绩效评价指标表</w:t>
      </w:r>
    </w:p>
    <w:p>
      <w:pPr>
        <w:pStyle w:val="11"/>
        <w:widowControl/>
        <w:jc w:val="left"/>
        <w:rPr>
          <w:rFonts w:hint="eastAsia" w:ascii="Times New Roman Regular" w:hAnsi="Times New Roman Regular" w:eastAsia="仿宋" w:cs="Times New Roman Regular"/>
          <w:sz w:val="32"/>
          <w:szCs w:val="32"/>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2：邵阳市北塔区行政审批服务局</w:t>
      </w:r>
      <w:r>
        <w:rPr>
          <w:rFonts w:hint="default" w:ascii="Times New Roman Regular" w:hAnsi="Times New Roman Regular" w:eastAsia="仿宋" w:cs="Times New Roman Regular"/>
          <w:b w:val="0"/>
          <w:bCs w:val="0"/>
          <w:sz w:val="32"/>
          <w:szCs w:val="32"/>
          <w:lang w:val="en-US" w:eastAsia="zh-CN"/>
        </w:rPr>
        <w:t>2022年度</w:t>
      </w:r>
      <w:r>
        <w:rPr>
          <w:rFonts w:hint="eastAsia" w:ascii="Times New Roman Regular" w:hAnsi="Times New Roman Regular" w:eastAsia="仿宋" w:cs="Times New Roman Regular"/>
          <w:sz w:val="32"/>
          <w:szCs w:val="32"/>
        </w:rPr>
        <w:t>部门整体支出绩效评价基础数据表</w:t>
      </w:r>
    </w:p>
    <w:p>
      <w:pPr>
        <w:pStyle w:val="11"/>
        <w:widowControl/>
        <w:jc w:val="left"/>
        <w:rPr>
          <w:rFonts w:hint="eastAsia" w:ascii="Times New Roman Regular" w:hAnsi="Times New Roman Regular" w:eastAsia="仿宋" w:cs="Times New Roman Regular"/>
          <w:color w:val="000000"/>
          <w:kern w:val="2"/>
          <w:sz w:val="32"/>
          <w:szCs w:val="32"/>
        </w:rPr>
      </w:pPr>
      <w:r>
        <w:rPr>
          <w:rFonts w:hint="eastAsia" w:ascii="Times New Roman Regular" w:hAnsi="Times New Roman Regular" w:eastAsia="仿宋" w:cs="Times New Roman Regular"/>
          <w:b w:val="0"/>
          <w:bCs w:val="0"/>
          <w:sz w:val="32"/>
          <w:szCs w:val="32"/>
          <w:lang w:val="en-US" w:eastAsia="zh-CN"/>
        </w:rPr>
        <w:t>附件3：邵阳市北塔区行政审批服务局</w:t>
      </w:r>
      <w:r>
        <w:rPr>
          <w:rFonts w:hint="default" w:ascii="Times New Roman Regular" w:hAnsi="Times New Roman Regular" w:eastAsia="仿宋" w:cs="Times New Roman Regular"/>
          <w:b w:val="0"/>
          <w:bCs w:val="0"/>
          <w:sz w:val="32"/>
          <w:szCs w:val="32"/>
          <w:lang w:val="en-US" w:eastAsia="zh-CN"/>
        </w:rPr>
        <w:t>2022年度</w:t>
      </w:r>
      <w:r>
        <w:rPr>
          <w:rFonts w:hint="eastAsia" w:ascii="Times New Roman Regular" w:hAnsi="Times New Roman Regular" w:eastAsia="仿宋" w:cs="Times New Roman Regular"/>
          <w:sz w:val="32"/>
          <w:szCs w:val="32"/>
        </w:rPr>
        <w:t>部门整体支出绩效自评表</w:t>
      </w:r>
    </w:p>
    <w:p>
      <w:pPr>
        <w:pStyle w:val="11"/>
        <w:widowControl/>
        <w:jc w:val="left"/>
        <w:rPr>
          <w:rFonts w:hint="eastAsia" w:ascii="Times New Roman Regular" w:hAnsi="Times New Roman Regular" w:eastAsia="仿宋" w:cs="Times New Roman Regular"/>
          <w:color w:val="000000"/>
          <w:kern w:val="2"/>
          <w:sz w:val="32"/>
          <w:szCs w:val="32"/>
        </w:rPr>
      </w:pPr>
      <w:r>
        <w:rPr>
          <w:rFonts w:hint="eastAsia" w:ascii="Times New Roman Regular" w:hAnsi="Times New Roman Regular" w:eastAsia="仿宋" w:cs="Times New Roman Regular"/>
          <w:b w:val="0"/>
          <w:bCs w:val="0"/>
          <w:sz w:val="32"/>
          <w:szCs w:val="32"/>
          <w:lang w:val="en-US" w:eastAsia="zh-CN"/>
        </w:rPr>
        <w:t>附件4：邵阳市北塔区行政审批服务局</w:t>
      </w:r>
      <w:r>
        <w:rPr>
          <w:rFonts w:hint="default" w:ascii="Times New Roman Regular" w:hAnsi="Times New Roman Regular" w:eastAsia="仿宋" w:cs="Times New Roman Regular"/>
          <w:b w:val="0"/>
          <w:bCs w:val="0"/>
          <w:sz w:val="32"/>
          <w:szCs w:val="32"/>
          <w:lang w:val="en-US" w:eastAsia="zh-CN"/>
        </w:rPr>
        <w:t>2022年度</w:t>
      </w:r>
      <w:r>
        <w:rPr>
          <w:rFonts w:hint="eastAsia" w:ascii="Times New Roman Regular" w:hAnsi="Times New Roman Regular" w:eastAsia="仿宋" w:cs="Times New Roman Regular"/>
          <w:sz w:val="32"/>
          <w:szCs w:val="32"/>
        </w:rPr>
        <w:t>部门整体支出</w:t>
      </w:r>
      <w:r>
        <w:rPr>
          <w:rFonts w:hint="eastAsia" w:ascii="Times New Roman Regular" w:hAnsi="Times New Roman Regular" w:eastAsia="仿宋" w:cs="Times New Roman Regular"/>
          <w:sz w:val="32"/>
          <w:szCs w:val="32"/>
          <w:lang w:val="en-US" w:eastAsia="zh-CN"/>
        </w:rPr>
        <w:t>项目</w:t>
      </w:r>
      <w:r>
        <w:rPr>
          <w:rFonts w:hint="eastAsia" w:ascii="Times New Roman Regular" w:hAnsi="Times New Roman Regular" w:eastAsia="仿宋" w:cs="Times New Roman Regular"/>
          <w:sz w:val="32"/>
          <w:szCs w:val="32"/>
        </w:rPr>
        <w:t>绩效自评表</w:t>
      </w:r>
    </w:p>
    <w:p>
      <w:pPr>
        <w:pStyle w:val="12"/>
        <w:rPr>
          <w:rFonts w:hint="default"/>
          <w:lang w:val="en-US" w:eastAsia="zh-CN"/>
        </w:rPr>
      </w:pPr>
    </w:p>
    <w:p>
      <w:pPr>
        <w:pStyle w:val="11"/>
        <w:rPr>
          <w:rFonts w:hint="default" w:ascii="Times New Roman Regular" w:hAnsi="Times New Roman Regular" w:eastAsia="楷体" w:cs="Times New Roman Regular"/>
          <w:sz w:val="30"/>
          <w:szCs w:val="30"/>
          <w:lang w:val="en-US" w:eastAsia="zh-CN"/>
        </w:rPr>
      </w:pPr>
    </w:p>
    <w:p>
      <w:pPr>
        <w:pStyle w:val="11"/>
        <w:rPr>
          <w:rFonts w:hint="default" w:ascii="Times New Roman Regular" w:hAnsi="Times New Roman Regular" w:eastAsia="楷体" w:cs="Times New Roman Regular"/>
          <w:sz w:val="30"/>
          <w:szCs w:val="30"/>
          <w:lang w:val="en-US" w:eastAsia="zh-CN"/>
        </w:rPr>
      </w:pPr>
    </w:p>
    <w:p>
      <w:pPr>
        <w:pStyle w:val="11"/>
        <w:rPr>
          <w:rFonts w:hint="default" w:ascii="Times New Roman Regular" w:hAnsi="Times New Roman Regular" w:eastAsia="楷体" w:cs="Times New Roman Regular"/>
          <w:sz w:val="30"/>
          <w:szCs w:val="30"/>
          <w:lang w:val="en-US" w:eastAsia="zh-CN"/>
        </w:rPr>
      </w:pPr>
      <w:r>
        <w:rPr>
          <w:rFonts w:hint="default" w:ascii="Times New Roman Regular" w:hAnsi="Times New Roman Regular" w:eastAsia="楷体" w:cs="Times New Roman Regular"/>
          <w:sz w:val="30"/>
          <w:szCs w:val="30"/>
          <w:lang w:val="en-US" w:eastAsia="zh-CN"/>
        </w:rPr>
        <w:t>湖南财正会计师事务所</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普通合伙</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 xml:space="preserve">       中国注册会计师：</w:t>
      </w:r>
    </w:p>
    <w:p>
      <w:pPr>
        <w:rPr>
          <w:rFonts w:hint="default" w:ascii="Times New Roman Regular" w:hAnsi="Times New Roman Regular" w:eastAsia="仿宋" w:cs="Times New Roman Regular"/>
          <w:b w:val="0"/>
          <w:bCs w:val="0"/>
          <w:sz w:val="31"/>
          <w:szCs w:val="31"/>
          <w:lang w:val="en-US" w:eastAsia="zh-CN"/>
        </w:rPr>
      </w:pPr>
    </w:p>
    <w:p>
      <w:pPr>
        <w:ind w:firstLine="900" w:firstLineChars="300"/>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b w:val="0"/>
          <w:bCs w:val="0"/>
          <w:sz w:val="30"/>
          <w:szCs w:val="30"/>
          <w:lang w:val="en-US" w:eastAsia="zh-CN"/>
        </w:rPr>
        <w:t>湖南</w:t>
      </w:r>
      <w:r>
        <w:rPr>
          <w:rFonts w:hint="eastAsia" w:ascii="微软雅黑" w:hAnsi="微软雅黑" w:eastAsia="微软雅黑" w:cs="微软雅黑"/>
          <w:b w:val="0"/>
          <w:bCs w:val="0"/>
          <w:sz w:val="30"/>
          <w:szCs w:val="30"/>
          <w:lang w:val="en-US" w:eastAsia="zh-CN"/>
        </w:rPr>
        <w:t>•</w:t>
      </w:r>
      <w:r>
        <w:rPr>
          <w:rFonts w:hint="default" w:ascii="Times New Roman Regular" w:hAnsi="Times New Roman Regular" w:eastAsia="楷体" w:cs="Times New Roman Regular"/>
          <w:b w:val="0"/>
          <w:bCs w:val="0"/>
          <w:sz w:val="30"/>
          <w:szCs w:val="30"/>
          <w:lang w:val="en-US" w:eastAsia="zh-CN"/>
        </w:rPr>
        <w:t>长沙</w:t>
      </w:r>
      <w:r>
        <w:rPr>
          <w:rFonts w:hint="default" w:ascii="Times New Roman Regular" w:hAnsi="Times New Roman Regular" w:cs="Times New Roman Regular"/>
          <w:sz w:val="30"/>
          <w:szCs w:val="30"/>
          <w:lang w:val="en-US" w:eastAsia="zh-CN"/>
        </w:rPr>
        <w:t xml:space="preserve">  </w:t>
      </w:r>
      <w:r>
        <w:rPr>
          <w:rFonts w:hint="default" w:ascii="Times New Roman Regular" w:hAnsi="Times New Roman Regular" w:cs="Times New Roman Regular"/>
          <w:lang w:val="en-US" w:eastAsia="zh-CN"/>
        </w:rPr>
        <w:t xml:space="preserve">                              </w:t>
      </w:r>
      <w:r>
        <w:rPr>
          <w:rFonts w:hint="default" w:ascii="Times New Roman Regular" w:hAnsi="Times New Roman Regular" w:eastAsia="楷体" w:cs="Times New Roman Regular"/>
          <w:sz w:val="30"/>
          <w:szCs w:val="30"/>
          <w:lang w:val="en-US" w:eastAsia="zh-CN"/>
        </w:rPr>
        <w:t xml:space="preserve"> 中国注册会计师：</w:t>
      </w:r>
    </w:p>
    <w:p>
      <w:pPr>
        <w:pStyle w:val="11"/>
        <w:rPr>
          <w:rFonts w:hint="default" w:ascii="Times New Roman Regular" w:hAnsi="Times New Roman Regular" w:cs="Times New Roman Regular"/>
          <w:lang w:val="en-US" w:eastAsia="zh-CN"/>
        </w:rPr>
      </w:pPr>
    </w:p>
    <w:p>
      <w:pPr>
        <w:pStyle w:val="11"/>
        <w:ind w:firstLine="5670" w:firstLineChars="2700"/>
        <w:rPr>
          <w:rFonts w:hint="default" w:ascii="Times New Roman Regular" w:hAnsi="Times New Roman Regular" w:cs="Times New Roman Regular"/>
          <w:lang w:val="en-US" w:eastAsia="zh-CN"/>
        </w:rPr>
      </w:pPr>
    </w:p>
    <w:p>
      <w:pPr>
        <w:pStyle w:val="11"/>
        <w:ind w:firstLine="5670" w:firstLineChars="2700"/>
        <w:rPr>
          <w:rFonts w:hint="default" w:ascii="Times New Roman Regular" w:hAnsi="Times New Roman Regular" w:cs="Times New Roman Regular"/>
          <w:lang w:val="en-US" w:eastAsia="zh-CN"/>
        </w:rPr>
      </w:pPr>
    </w:p>
    <w:p>
      <w:pPr>
        <w:pStyle w:val="11"/>
        <w:ind w:firstLine="0" w:firstLineChars="0"/>
        <w:jc w:val="right"/>
        <w:rPr>
          <w:rFonts w:hint="default" w:ascii="Times New Roman Regular" w:hAnsi="Times New Roman Regular" w:eastAsia="仿宋" w:cs="Times New Roman Regular"/>
          <w:b w:val="0"/>
          <w:bCs w:val="0"/>
          <w:sz w:val="31"/>
          <w:szCs w:val="31"/>
          <w:lang w:val="en-US" w:eastAsia="zh-CN"/>
        </w:rPr>
        <w:sectPr>
          <w:headerReference r:id="rId4" w:type="default"/>
          <w:pgSz w:w="11906" w:h="16838"/>
          <w:pgMar w:top="1440" w:right="1757" w:bottom="1440" w:left="1757" w:header="62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Regular" w:hAnsi="Times New Roman Regular" w:eastAsia="楷体" w:cs="Times New Roman Regular"/>
          <w:kern w:val="2"/>
          <w:sz w:val="30"/>
          <w:szCs w:val="30"/>
          <w:lang w:val="en-US" w:eastAsia="zh-CN" w:bidi="ar-SA"/>
        </w:rPr>
        <w:t>二〇二三年十月二十日</w:t>
      </w:r>
    </w:p>
    <w:p>
      <w:pPr>
        <w:widowControl/>
        <w:kinsoku w:val="0"/>
        <w:autoSpaceDE w:val="0"/>
        <w:autoSpaceDN w:val="0"/>
        <w:adjustRightInd w:val="0"/>
        <w:snapToGrid w:val="0"/>
        <w:spacing w:before="171" w:line="160" w:lineRule="auto"/>
        <w:jc w:val="both"/>
        <w:textAlignment w:val="baseline"/>
        <w:rPr>
          <w:rFonts w:hint="default" w:ascii="Times New Roman" w:hAnsi="Times New Roman" w:eastAsia="仿宋" w:cs="Times New Roman"/>
          <w:b w:val="0"/>
          <w:bCs w:val="0"/>
          <w:snapToGrid w:val="0"/>
          <w:color w:val="000000"/>
          <w:spacing w:val="-3"/>
          <w:kern w:val="0"/>
          <w:sz w:val="32"/>
          <w:szCs w:val="32"/>
          <w:lang w:val="en-US" w:eastAsia="zh-CN"/>
        </w:rPr>
      </w:pPr>
      <w:r>
        <w:rPr>
          <w:rFonts w:hint="default" w:ascii="Times New Roman" w:hAnsi="Times New Roman" w:eastAsia="仿宋" w:cs="Times New Roman"/>
          <w:b w:val="0"/>
          <w:bCs w:val="0"/>
          <w:snapToGrid w:val="0"/>
          <w:color w:val="000000"/>
          <w:spacing w:val="-3"/>
          <w:kern w:val="0"/>
          <w:sz w:val="32"/>
          <w:szCs w:val="32"/>
          <w:lang w:val="en-US" w:eastAsia="zh-CN"/>
        </w:rPr>
        <w:t>附件1：</w:t>
      </w:r>
    </w:p>
    <w:p>
      <w:pPr>
        <w:widowControl/>
        <w:kinsoku w:val="0"/>
        <w:autoSpaceDE w:val="0"/>
        <w:autoSpaceDN w:val="0"/>
        <w:adjustRightInd w:val="0"/>
        <w:snapToGrid w:val="0"/>
        <w:spacing w:before="171" w:line="160" w:lineRule="auto"/>
        <w:jc w:val="center"/>
        <w:textAlignment w:val="baseline"/>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pP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邵阳市北塔区行政审批服务局2022年度部门整体支出绩效评价指标表</w:t>
      </w:r>
    </w:p>
    <w:tbl>
      <w:tblPr>
        <w:tblStyle w:val="15"/>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8"/>
        <w:gridCol w:w="1007"/>
        <w:gridCol w:w="1463"/>
        <w:gridCol w:w="905"/>
        <w:gridCol w:w="5811"/>
        <w:gridCol w:w="1032"/>
        <w:gridCol w:w="2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tblHeader/>
          <w:jc w:val="center"/>
        </w:trPr>
        <w:tc>
          <w:tcPr>
            <w:tcW w:w="391"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一级指标</w:t>
            </w:r>
          </w:p>
        </w:tc>
        <w:tc>
          <w:tcPr>
            <w:tcW w:w="355"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二级指标</w:t>
            </w:r>
          </w:p>
        </w:tc>
        <w:tc>
          <w:tcPr>
            <w:tcW w:w="515"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三级指标</w:t>
            </w:r>
          </w:p>
        </w:tc>
        <w:tc>
          <w:tcPr>
            <w:tcW w:w="319"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标准分值</w:t>
            </w:r>
          </w:p>
        </w:tc>
        <w:tc>
          <w:tcPr>
            <w:tcW w:w="2049"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评价标准</w:t>
            </w:r>
          </w:p>
        </w:tc>
        <w:tc>
          <w:tcPr>
            <w:tcW w:w="364"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评价得分</w:t>
            </w:r>
          </w:p>
        </w:tc>
        <w:tc>
          <w:tcPr>
            <w:tcW w:w="1003"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投入</w:t>
            </w:r>
          </w:p>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（15分）</w:t>
            </w:r>
          </w:p>
        </w:tc>
        <w:tc>
          <w:tcPr>
            <w:tcW w:w="355"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目标设定（6分）</w:t>
            </w: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绩效目标合理性</w:t>
            </w:r>
          </w:p>
        </w:tc>
        <w:tc>
          <w:tcPr>
            <w:tcW w:w="319"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49"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绩效目标未达到以下标准的，每条扣0.5分，扣完为止：①符合国家法律法规、国民经济和社会发展总体规划；②符合部门“三定”方案确定的职责；③符合部门制定的中长期实施规划和年度工作计划。</w:t>
            </w:r>
          </w:p>
        </w:tc>
        <w:tc>
          <w:tcPr>
            <w:tcW w:w="364"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100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continue"/>
            <w:vAlign w:val="center"/>
          </w:tcPr>
          <w:p>
            <w:pPr>
              <w:rPr>
                <w:rFonts w:ascii="Times New Roman" w:hAnsi="Times New Roman" w:cs="Times New Roman" w:eastAsiaTheme="minorEastAsia"/>
                <w:color w:val="000000"/>
                <w:sz w:val="18"/>
                <w:szCs w:val="18"/>
              </w:rPr>
            </w:pP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绩效指标明确性</w:t>
            </w:r>
          </w:p>
        </w:tc>
        <w:tc>
          <w:tcPr>
            <w:tcW w:w="319"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49"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是否</w:t>
            </w:r>
            <w:r>
              <w:rPr>
                <w:rFonts w:ascii="Times New Roman" w:hAnsi="Times New Roman" w:cs="Times New Roman" w:eastAsiaTheme="minorEastAsia"/>
                <w:color w:val="000000"/>
                <w:sz w:val="18"/>
                <w:szCs w:val="18"/>
              </w:rPr>
              <w:t>将部门整体的绩效目标细化分解为具体的工作任务；通过清晰、可衡量的指标值予以体现。与部门年度的任务数或计划数相对应；与本年度部门预算资金相匹配。</w:t>
            </w:r>
            <w:r>
              <w:rPr>
                <w:rFonts w:hint="eastAsia" w:ascii="Times New Roman" w:hAnsi="Times New Roman" w:cs="Times New Roman"/>
                <w:color w:val="000000"/>
                <w:sz w:val="18"/>
                <w:szCs w:val="18"/>
                <w:lang w:val="en-US" w:eastAsia="zh-CN"/>
              </w:rPr>
              <w:t>每发现一项不符扣1分，</w:t>
            </w:r>
            <w:r>
              <w:rPr>
                <w:rFonts w:ascii="Times New Roman" w:hAnsi="Times New Roman" w:cs="Times New Roman" w:eastAsiaTheme="minorEastAsia"/>
                <w:color w:val="000000"/>
                <w:sz w:val="18"/>
                <w:szCs w:val="18"/>
              </w:rPr>
              <w:t>本项扣完为止。</w:t>
            </w:r>
          </w:p>
        </w:tc>
        <w:tc>
          <w:tcPr>
            <w:tcW w:w="364"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3</w:t>
            </w:r>
          </w:p>
        </w:tc>
        <w:tc>
          <w:tcPr>
            <w:tcW w:w="100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预算配置（9分）</w:t>
            </w: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在职</w:t>
            </w:r>
            <w:r>
              <w:rPr>
                <w:rFonts w:ascii="Times New Roman" w:hAnsi="Times New Roman" w:cs="Times New Roman" w:eastAsiaTheme="minorEastAsia"/>
                <w:color w:val="000000"/>
                <w:sz w:val="18"/>
                <w:szCs w:val="18"/>
              </w:rPr>
              <w:t>人员</w:t>
            </w:r>
          </w:p>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控制率</w:t>
            </w:r>
          </w:p>
        </w:tc>
        <w:tc>
          <w:tcPr>
            <w:tcW w:w="319"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49"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w:t>
            </w:r>
            <w:r>
              <w:rPr>
                <w:rFonts w:hint="eastAsia" w:ascii="Times New Roman" w:hAnsi="Times New Roman" w:cs="Times New Roman" w:eastAsiaTheme="minorEastAsia"/>
                <w:color w:val="000000"/>
                <w:sz w:val="18"/>
                <w:szCs w:val="18"/>
              </w:rPr>
              <w:t>在职人员控制率=（在职人员数/编制数）×100%。</w:t>
            </w:r>
            <w:r>
              <w:rPr>
                <w:rFonts w:hint="eastAsia" w:ascii="Times New Roman" w:hAnsi="Times New Roman" w:cs="Times New Roman"/>
                <w:color w:val="000000"/>
                <w:sz w:val="18"/>
                <w:szCs w:val="18"/>
                <w:lang w:val="en-US" w:eastAsia="zh-CN"/>
              </w:rPr>
              <w:t>在职人员</w:t>
            </w:r>
            <w:r>
              <w:rPr>
                <w:rFonts w:ascii="Times New Roman" w:hAnsi="Times New Roman" w:cs="Times New Roman" w:eastAsiaTheme="minorEastAsia"/>
                <w:color w:val="000000"/>
                <w:sz w:val="18"/>
                <w:szCs w:val="18"/>
              </w:rPr>
              <w:t>控制率≦100%，计3分，每超过1%，扣0.3分，扣完为止。</w:t>
            </w:r>
          </w:p>
        </w:tc>
        <w:tc>
          <w:tcPr>
            <w:tcW w:w="364"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3</w:t>
            </w:r>
          </w:p>
        </w:tc>
        <w:tc>
          <w:tcPr>
            <w:tcW w:w="1003" w:type="pct"/>
            <w:shd w:val="clear" w:color="auto" w:fill="auto"/>
            <w:vAlign w:val="center"/>
          </w:tcPr>
          <w:p>
            <w:pPr>
              <w:spacing w:line="360" w:lineRule="exact"/>
              <w:rPr>
                <w:rFonts w:hint="default" w:ascii="Times New Roman" w:hAnsi="Times New Roman" w:cs="Times New Roman" w:eastAsiaTheme="minorEastAsia"/>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w:t>
            </w:r>
          </w:p>
        </w:tc>
        <w:tc>
          <w:tcPr>
            <w:tcW w:w="319"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6</w:t>
            </w:r>
          </w:p>
        </w:tc>
        <w:tc>
          <w:tcPr>
            <w:tcW w:w="2049"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重点支出安排率≥90%，计6分；每少10%扣1.5分；低于60%不得分。</w:t>
            </w:r>
          </w:p>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重点支出安排率=（重点预算支出/预算总支出）×100%。</w:t>
            </w:r>
          </w:p>
        </w:tc>
        <w:tc>
          <w:tcPr>
            <w:tcW w:w="364"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6</w:t>
            </w:r>
          </w:p>
        </w:tc>
        <w:tc>
          <w:tcPr>
            <w:tcW w:w="100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过程</w:t>
            </w:r>
          </w:p>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（25分）</w:t>
            </w:r>
          </w:p>
        </w:tc>
        <w:tc>
          <w:tcPr>
            <w:tcW w:w="355"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预算执行（10分）</w:t>
            </w: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预算执行率</w:t>
            </w:r>
          </w:p>
        </w:tc>
        <w:tc>
          <w:tcPr>
            <w:tcW w:w="319"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49"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以100%为标准。预算执行率每下降一个百分点扣0.1分，扣完为止。</w:t>
            </w:r>
          </w:p>
        </w:tc>
        <w:tc>
          <w:tcPr>
            <w:tcW w:w="364"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支出进度</w:t>
            </w:r>
          </w:p>
        </w:tc>
        <w:tc>
          <w:tcPr>
            <w:tcW w:w="319"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49"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每发现一个项目未完成进度要求，完成资金下达的扣0.2分，扣完为止。</w:t>
            </w:r>
          </w:p>
        </w:tc>
        <w:tc>
          <w:tcPr>
            <w:tcW w:w="364"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2</w:t>
            </w:r>
          </w:p>
        </w:tc>
        <w:tc>
          <w:tcPr>
            <w:tcW w:w="100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结转结余率</w:t>
            </w:r>
          </w:p>
        </w:tc>
        <w:tc>
          <w:tcPr>
            <w:tcW w:w="319"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49"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无结余，2分；有结余但不超过上年结转，1分；每超过上年结转1个百分点扣0.1分，扣完为止。</w:t>
            </w:r>
          </w:p>
        </w:tc>
        <w:tc>
          <w:tcPr>
            <w:tcW w:w="364"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15"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“三公经费”</w:t>
            </w:r>
          </w:p>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控制率</w:t>
            </w:r>
          </w:p>
        </w:tc>
        <w:tc>
          <w:tcPr>
            <w:tcW w:w="319"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49"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以100%为标准。控制率≤100%，计2分；每超过一个百分点扣0.4分。</w:t>
            </w:r>
          </w:p>
        </w:tc>
        <w:tc>
          <w:tcPr>
            <w:tcW w:w="364"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15"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政府采购执行率</w:t>
            </w:r>
          </w:p>
        </w:tc>
        <w:tc>
          <w:tcPr>
            <w:tcW w:w="319"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49"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100%计满分，每低于1个百分点扣0.2分。</w:t>
            </w:r>
          </w:p>
        </w:tc>
        <w:tc>
          <w:tcPr>
            <w:tcW w:w="364"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0</w:t>
            </w:r>
          </w:p>
        </w:tc>
        <w:tc>
          <w:tcPr>
            <w:tcW w:w="1003" w:type="pct"/>
            <w:shd w:val="clear" w:color="auto" w:fill="auto"/>
            <w:vAlign w:val="center"/>
          </w:tcPr>
          <w:p>
            <w:pPr>
              <w:spacing w:line="340" w:lineRule="exact"/>
              <w:jc w:val="both"/>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政府采购决算偏离预算217.81%，存在无预算支出的情况，扣2分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预算管理（12分）</w:t>
            </w:r>
          </w:p>
        </w:tc>
        <w:tc>
          <w:tcPr>
            <w:tcW w:w="515"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管理制度健全性</w:t>
            </w:r>
          </w:p>
        </w:tc>
        <w:tc>
          <w:tcPr>
            <w:tcW w:w="319"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49"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①有制定管理制度，计1分；②管理制度合法、合规、完整，计1分；③相关管理制度得到有效执行计1分。</w:t>
            </w:r>
          </w:p>
        </w:tc>
        <w:tc>
          <w:tcPr>
            <w:tcW w:w="364"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2</w:t>
            </w:r>
          </w:p>
        </w:tc>
        <w:tc>
          <w:tcPr>
            <w:tcW w:w="1003" w:type="pct"/>
            <w:shd w:val="clear" w:color="auto" w:fill="auto"/>
            <w:vAlign w:val="center"/>
          </w:tcPr>
          <w:p>
            <w:pPr>
              <w:spacing w:line="340" w:lineRule="exact"/>
              <w:jc w:val="both"/>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相关财务管理制度未得到有效执行，扣1分。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continue"/>
            <w:vAlign w:val="center"/>
          </w:tcPr>
          <w:p>
            <w:pPr>
              <w:rPr>
                <w:rFonts w:ascii="Times New Roman" w:hAnsi="Times New Roman" w:cs="Times New Roman" w:eastAsiaTheme="minorEastAsia"/>
                <w:color w:val="000000"/>
                <w:sz w:val="18"/>
                <w:szCs w:val="18"/>
              </w:rPr>
            </w:pPr>
          </w:p>
        </w:tc>
        <w:tc>
          <w:tcPr>
            <w:tcW w:w="515"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资金使用合规性</w:t>
            </w:r>
          </w:p>
        </w:tc>
        <w:tc>
          <w:tcPr>
            <w:tcW w:w="319"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5</w:t>
            </w:r>
          </w:p>
        </w:tc>
        <w:tc>
          <w:tcPr>
            <w:tcW w:w="2049"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支出符合国家财经法规和财务管理制度规定以及有关专项资金管理办法的规定，2分。出现截留、挤占、挪用、虚列支出，大额现金支付、违规借出（占用）、乱发滥补、虚报冒领，转嫁支出、乱开户乱存放、私设小金库等违规行为，酌情扣分，扣完为止。</w:t>
            </w:r>
          </w:p>
          <w:p>
            <w:pPr>
              <w:spacing w:line="34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rPr>
              <w:t>②</w:t>
            </w:r>
            <w:r>
              <w:rPr>
                <w:rFonts w:ascii="Times New Roman" w:hAnsi="Times New Roman" w:cs="Times New Roman" w:eastAsiaTheme="minorEastAsia"/>
                <w:color w:val="000000"/>
                <w:sz w:val="18"/>
                <w:szCs w:val="18"/>
              </w:rPr>
              <w:t>资金拨付有完整的审批程序和手续，1分；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③项目支出按规定经过评估论证，1分；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④支出符合部门预算批复的用途，1分。</w:t>
            </w:r>
          </w:p>
        </w:tc>
        <w:tc>
          <w:tcPr>
            <w:tcW w:w="364" w:type="pct"/>
            <w:shd w:val="clear" w:color="auto" w:fill="auto"/>
            <w:vAlign w:val="center"/>
          </w:tcPr>
          <w:p>
            <w:pPr>
              <w:spacing w:line="34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3</w:t>
            </w:r>
          </w:p>
        </w:tc>
        <w:tc>
          <w:tcPr>
            <w:tcW w:w="100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存在</w:t>
            </w:r>
            <w:r>
              <w:rPr>
                <w:rFonts w:hint="eastAsia" w:ascii="Times New Roman" w:hAnsi="Times New Roman" w:cs="Times New Roman"/>
                <w:color w:val="000000"/>
                <w:sz w:val="18"/>
                <w:szCs w:val="18"/>
                <w:lang w:val="en-US" w:eastAsia="zh-CN"/>
              </w:rPr>
              <w:t>跨期报账、未按合同约定付款</w:t>
            </w: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酌情扣2</w:t>
            </w:r>
            <w:r>
              <w:rPr>
                <w:rFonts w:ascii="Times New Roman" w:hAnsi="Times New Roman" w:cs="Times New Roman" w:eastAsiaTheme="minorEastAsia"/>
                <w:color w:val="000000"/>
                <w:sz w:val="18"/>
                <w:szCs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continue"/>
            <w:vAlign w:val="center"/>
          </w:tcPr>
          <w:p>
            <w:pPr>
              <w:rPr>
                <w:rFonts w:ascii="Times New Roman" w:hAnsi="Times New Roman" w:cs="Times New Roman" w:eastAsiaTheme="minorEastAsia"/>
                <w:color w:val="000000"/>
                <w:sz w:val="18"/>
                <w:szCs w:val="18"/>
              </w:rPr>
            </w:pPr>
          </w:p>
        </w:tc>
        <w:tc>
          <w:tcPr>
            <w:tcW w:w="515"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预决算信息</w:t>
            </w:r>
          </w:p>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公开性</w:t>
            </w:r>
          </w:p>
        </w:tc>
        <w:tc>
          <w:tcPr>
            <w:tcW w:w="319"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49"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①按规定内容公开预决算信息，计1分；②按规定时限公开预决算信息，计1分。</w:t>
            </w:r>
          </w:p>
        </w:tc>
        <w:tc>
          <w:tcPr>
            <w:tcW w:w="364"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continue"/>
            <w:vAlign w:val="center"/>
          </w:tcPr>
          <w:p>
            <w:pPr>
              <w:rPr>
                <w:rFonts w:ascii="Times New Roman" w:hAnsi="Times New Roman" w:cs="Times New Roman" w:eastAsiaTheme="minorEastAsia"/>
                <w:color w:val="000000"/>
                <w:sz w:val="18"/>
                <w:szCs w:val="18"/>
              </w:rPr>
            </w:pPr>
          </w:p>
        </w:tc>
        <w:tc>
          <w:tcPr>
            <w:tcW w:w="515"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基础信息完善性</w:t>
            </w:r>
          </w:p>
        </w:tc>
        <w:tc>
          <w:tcPr>
            <w:tcW w:w="319"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49"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①基础数据信息和会计信息资料真实，计1分；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②基础数据信息和会计信息资料完整、准确，计1分。</w:t>
            </w:r>
          </w:p>
        </w:tc>
        <w:tc>
          <w:tcPr>
            <w:tcW w:w="364"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资产管理（3分）</w:t>
            </w:r>
          </w:p>
        </w:tc>
        <w:tc>
          <w:tcPr>
            <w:tcW w:w="515"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资产管理安全性</w:t>
            </w:r>
          </w:p>
        </w:tc>
        <w:tc>
          <w:tcPr>
            <w:tcW w:w="319"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49"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①资产保存完整，计0.5分；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②资产配置合理，计0.5分；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③资产配置规范，计0.5分；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④资产账务管理合规，账实相符，计0.5分。</w:t>
            </w:r>
          </w:p>
        </w:tc>
        <w:tc>
          <w:tcPr>
            <w:tcW w:w="364"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2</w:t>
            </w:r>
          </w:p>
        </w:tc>
        <w:tc>
          <w:tcPr>
            <w:tcW w:w="100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continue"/>
            <w:vAlign w:val="center"/>
          </w:tcPr>
          <w:p>
            <w:pPr>
              <w:rPr>
                <w:rFonts w:ascii="Times New Roman" w:hAnsi="Times New Roman" w:cs="Times New Roman" w:eastAsiaTheme="minorEastAsia"/>
                <w:color w:val="000000"/>
                <w:sz w:val="18"/>
                <w:szCs w:val="18"/>
              </w:rPr>
            </w:pPr>
          </w:p>
        </w:tc>
        <w:tc>
          <w:tcPr>
            <w:tcW w:w="515"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固定资产利用率</w:t>
            </w:r>
          </w:p>
        </w:tc>
        <w:tc>
          <w:tcPr>
            <w:tcW w:w="319"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w:t>
            </w:r>
          </w:p>
        </w:tc>
        <w:tc>
          <w:tcPr>
            <w:tcW w:w="2049"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每低于100%一个百分点扣0.1分，扣完为止。</w:t>
            </w:r>
          </w:p>
        </w:tc>
        <w:tc>
          <w:tcPr>
            <w:tcW w:w="364"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w:t>
            </w:r>
          </w:p>
        </w:tc>
        <w:tc>
          <w:tcPr>
            <w:tcW w:w="100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restar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产出</w:t>
            </w:r>
          </w:p>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355" w:type="pct"/>
            <w:vMerge w:val="restar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职责履行（</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515" w:type="pc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部门单位履职、运转</w:t>
            </w:r>
          </w:p>
        </w:tc>
        <w:tc>
          <w:tcPr>
            <w:tcW w:w="319"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6</w:t>
            </w:r>
          </w:p>
        </w:tc>
        <w:tc>
          <w:tcPr>
            <w:tcW w:w="2049"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单位履职、运转正常，计</w:t>
            </w:r>
            <w:r>
              <w:rPr>
                <w:rFonts w:hint="eastAsia" w:ascii="Times New Roman" w:hAnsi="Times New Roman" w:cs="Times New Roman"/>
                <w:color w:val="000000"/>
                <w:sz w:val="18"/>
                <w:szCs w:val="18"/>
                <w:lang w:val="en-US" w:eastAsia="zh-CN"/>
              </w:rPr>
              <w:t>6</w:t>
            </w:r>
            <w:r>
              <w:rPr>
                <w:rFonts w:ascii="Times New Roman" w:hAnsi="Times New Roman" w:cs="Times New Roman" w:eastAsiaTheme="minorEastAsia"/>
                <w:color w:val="000000"/>
                <w:sz w:val="18"/>
                <w:szCs w:val="18"/>
              </w:rPr>
              <w:t>分。</w:t>
            </w:r>
          </w:p>
        </w:tc>
        <w:tc>
          <w:tcPr>
            <w:tcW w:w="364"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6</w:t>
            </w:r>
          </w:p>
        </w:tc>
        <w:tc>
          <w:tcPr>
            <w:tcW w:w="100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vAlign w:val="center"/>
          </w:tcPr>
          <w:p>
            <w:pPr>
              <w:spacing w:line="370" w:lineRule="exact"/>
              <w:rPr>
                <w:rFonts w:ascii="Times New Roman" w:hAnsi="Times New Roman" w:cs="Times New Roman" w:eastAsiaTheme="minorEastAsia"/>
                <w:color w:val="000000"/>
                <w:sz w:val="18"/>
                <w:szCs w:val="18"/>
              </w:rPr>
            </w:pPr>
          </w:p>
        </w:tc>
        <w:tc>
          <w:tcPr>
            <w:tcW w:w="355" w:type="pct"/>
            <w:vMerge w:val="continue"/>
            <w:vAlign w:val="center"/>
          </w:tcPr>
          <w:p>
            <w:pPr>
              <w:spacing w:line="370" w:lineRule="exact"/>
              <w:rPr>
                <w:rFonts w:ascii="Times New Roman" w:hAnsi="Times New Roman" w:cs="Times New Roman" w:eastAsiaTheme="minorEastAsia"/>
                <w:color w:val="000000"/>
                <w:sz w:val="18"/>
                <w:szCs w:val="18"/>
              </w:rPr>
            </w:pPr>
          </w:p>
        </w:tc>
        <w:tc>
          <w:tcPr>
            <w:tcW w:w="515" w:type="pct"/>
            <w:shd w:val="clear" w:color="auto" w:fill="auto"/>
            <w:vAlign w:val="center"/>
          </w:tcPr>
          <w:p>
            <w:pPr>
              <w:spacing w:line="37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eastAsiaTheme="minorEastAsia"/>
                <w:color w:val="000000"/>
                <w:sz w:val="18"/>
                <w:szCs w:val="18"/>
                <w:lang w:val="en-US" w:eastAsia="zh-CN"/>
              </w:rPr>
              <w:t>“一件事一次办”改革</w:t>
            </w:r>
          </w:p>
        </w:tc>
        <w:tc>
          <w:tcPr>
            <w:tcW w:w="319"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49"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完成“一件事一次办”微信小程序注册人数25000人</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工作</w:t>
            </w:r>
            <w:r>
              <w:rPr>
                <w:rFonts w:ascii="Times New Roman" w:hAnsi="Times New Roman" w:cs="Times New Roman" w:eastAsiaTheme="minorEastAsia"/>
                <w:color w:val="000000"/>
                <w:sz w:val="18"/>
                <w:szCs w:val="18"/>
              </w:rPr>
              <w:t>完成</w:t>
            </w:r>
            <w:r>
              <w:rPr>
                <w:rFonts w:hint="eastAsia" w:ascii="Times New Roman" w:hAnsi="Times New Roman" w:cs="Times New Roman"/>
                <w:color w:val="000000"/>
                <w:sz w:val="18"/>
                <w:szCs w:val="18"/>
                <w:lang w:val="en-US" w:eastAsia="zh-CN"/>
              </w:rPr>
              <w:t>人数≥25000人</w:t>
            </w:r>
            <w:r>
              <w:rPr>
                <w:rFonts w:ascii="Times New Roman" w:hAnsi="Times New Roman" w:cs="Times New Roman" w:eastAsiaTheme="minorEastAsia"/>
                <w:color w:val="000000"/>
                <w:sz w:val="18"/>
                <w:szCs w:val="18"/>
              </w:rPr>
              <w:t>，得满分；未达到按实际完成情况得分。</w:t>
            </w:r>
          </w:p>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指标分值=（实际完成额/计划完成额）×100%*指标标准分值。</w:t>
            </w:r>
          </w:p>
        </w:tc>
        <w:tc>
          <w:tcPr>
            <w:tcW w:w="364"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vAlign w:val="center"/>
          </w:tcPr>
          <w:p>
            <w:pPr>
              <w:spacing w:line="370" w:lineRule="exact"/>
              <w:rPr>
                <w:rFonts w:ascii="Times New Roman" w:hAnsi="Times New Roman" w:cs="Times New Roman" w:eastAsiaTheme="minorEastAsia"/>
                <w:color w:val="000000"/>
                <w:sz w:val="18"/>
                <w:szCs w:val="18"/>
              </w:rPr>
            </w:pPr>
          </w:p>
        </w:tc>
        <w:tc>
          <w:tcPr>
            <w:tcW w:w="355" w:type="pct"/>
            <w:vMerge w:val="continue"/>
            <w:vAlign w:val="center"/>
          </w:tcPr>
          <w:p>
            <w:pPr>
              <w:spacing w:line="370" w:lineRule="exact"/>
              <w:rPr>
                <w:rFonts w:ascii="Times New Roman" w:hAnsi="Times New Roman" w:cs="Times New Roman" w:eastAsiaTheme="minorEastAsia"/>
                <w:color w:val="000000"/>
                <w:sz w:val="18"/>
                <w:szCs w:val="18"/>
              </w:rPr>
            </w:pPr>
          </w:p>
        </w:tc>
        <w:tc>
          <w:tcPr>
            <w:tcW w:w="515" w:type="pct"/>
            <w:shd w:val="clear" w:color="auto" w:fill="auto"/>
            <w:vAlign w:val="center"/>
          </w:tcPr>
          <w:p>
            <w:pPr>
              <w:spacing w:line="370" w:lineRule="exact"/>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eastAsiaTheme="minorEastAsia"/>
                <w:color w:val="000000"/>
                <w:sz w:val="18"/>
                <w:szCs w:val="18"/>
                <w:lang w:val="en-US" w:eastAsia="zh-CN"/>
              </w:rPr>
              <w:t>“四推四减”、“银发服务”工作</w:t>
            </w:r>
          </w:p>
        </w:tc>
        <w:tc>
          <w:tcPr>
            <w:tcW w:w="319"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49"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完成</w:t>
            </w:r>
            <w:r>
              <w:rPr>
                <w:rFonts w:hint="eastAsia" w:ascii="Times New Roman" w:hAnsi="Times New Roman" w:cs="Times New Roman" w:eastAsiaTheme="minorEastAsia"/>
                <w:color w:val="000000"/>
                <w:sz w:val="18"/>
                <w:szCs w:val="18"/>
                <w:lang w:val="en-US" w:eastAsia="zh-CN"/>
              </w:rPr>
              <w:t xml:space="preserve">办理 </w:t>
            </w:r>
            <w:r>
              <w:rPr>
                <w:rFonts w:hint="eastAsia" w:ascii="Times New Roman" w:hAnsi="Times New Roman" w:cs="Times New Roman"/>
                <w:color w:val="000000"/>
                <w:sz w:val="18"/>
                <w:szCs w:val="18"/>
                <w:lang w:val="en-US" w:eastAsia="zh-CN"/>
              </w:rPr>
              <w:t>事项</w:t>
            </w:r>
            <w:r>
              <w:rPr>
                <w:rFonts w:hint="eastAsia" w:ascii="Times New Roman" w:hAnsi="Times New Roman" w:cs="Times New Roman" w:eastAsiaTheme="minorEastAsia"/>
                <w:color w:val="000000"/>
                <w:sz w:val="18"/>
                <w:szCs w:val="18"/>
                <w:lang w:val="en-US" w:eastAsia="zh-CN"/>
              </w:rPr>
              <w:t>3</w:t>
            </w:r>
            <w:r>
              <w:rPr>
                <w:rFonts w:hint="eastAsia" w:ascii="Times New Roman" w:hAnsi="Times New Roman" w:cs="Times New Roman"/>
                <w:color w:val="000000"/>
                <w:sz w:val="18"/>
                <w:szCs w:val="18"/>
                <w:lang w:val="en-US" w:eastAsia="zh-CN"/>
              </w:rPr>
              <w:t>000</w:t>
            </w:r>
            <w:r>
              <w:rPr>
                <w:rFonts w:hint="eastAsia" w:ascii="Times New Roman" w:hAnsi="Times New Roman" w:cs="Times New Roman" w:eastAsiaTheme="minorEastAsia"/>
                <w:color w:val="000000"/>
                <w:sz w:val="18"/>
                <w:szCs w:val="18"/>
                <w:lang w:val="en-US" w:eastAsia="zh-CN"/>
              </w:rPr>
              <w:t xml:space="preserve"> </w:t>
            </w:r>
            <w:r>
              <w:rPr>
                <w:rFonts w:hint="eastAsia" w:ascii="Times New Roman" w:hAnsi="Times New Roman" w:cs="Times New Roman"/>
                <w:color w:val="000000"/>
                <w:sz w:val="18"/>
                <w:szCs w:val="18"/>
                <w:lang w:val="en-US" w:eastAsia="zh-CN"/>
              </w:rPr>
              <w:t>件</w:t>
            </w:r>
            <w:r>
              <w:rPr>
                <w:rFonts w:hint="eastAsia"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工作</w:t>
            </w:r>
            <w:r>
              <w:rPr>
                <w:rFonts w:ascii="Times New Roman" w:hAnsi="Times New Roman" w:cs="Times New Roman" w:eastAsiaTheme="minorEastAsia"/>
                <w:color w:val="000000"/>
                <w:sz w:val="18"/>
                <w:szCs w:val="18"/>
              </w:rPr>
              <w:t>完成率100%，得满分；未达到按实际完成情况得分。</w:t>
            </w:r>
          </w:p>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指标分值=（实际完成额/计划完成额）×100%*指标标准分值。</w:t>
            </w:r>
          </w:p>
        </w:tc>
        <w:tc>
          <w:tcPr>
            <w:tcW w:w="364"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vAlign w:val="center"/>
          </w:tcPr>
          <w:p>
            <w:pPr>
              <w:spacing w:line="370" w:lineRule="exact"/>
              <w:rPr>
                <w:rFonts w:ascii="Times New Roman" w:hAnsi="Times New Roman" w:cs="Times New Roman" w:eastAsiaTheme="minorEastAsia"/>
                <w:color w:val="000000"/>
                <w:sz w:val="18"/>
                <w:szCs w:val="18"/>
              </w:rPr>
            </w:pPr>
          </w:p>
        </w:tc>
        <w:tc>
          <w:tcPr>
            <w:tcW w:w="355" w:type="pct"/>
            <w:vMerge w:val="continue"/>
            <w:vAlign w:val="center"/>
          </w:tcPr>
          <w:p>
            <w:pPr>
              <w:spacing w:line="370" w:lineRule="exact"/>
              <w:rPr>
                <w:rFonts w:ascii="Times New Roman" w:hAnsi="Times New Roman" w:cs="Times New Roman" w:eastAsiaTheme="minorEastAsia"/>
                <w:color w:val="000000"/>
                <w:sz w:val="18"/>
                <w:szCs w:val="18"/>
              </w:rPr>
            </w:pPr>
          </w:p>
        </w:tc>
        <w:tc>
          <w:tcPr>
            <w:tcW w:w="515"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eastAsiaTheme="minorEastAsia"/>
                <w:color w:val="000000"/>
                <w:sz w:val="18"/>
                <w:szCs w:val="18"/>
                <w:lang w:val="en-US" w:eastAsia="zh-CN"/>
              </w:rPr>
              <w:t>“放管服”改革、优化营商环境工作</w:t>
            </w:r>
          </w:p>
        </w:tc>
        <w:tc>
          <w:tcPr>
            <w:tcW w:w="319"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49"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完成政务大厅扩建</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完成预计扩建面积</w:t>
            </w:r>
            <w:r>
              <w:rPr>
                <w:rFonts w:ascii="Times New Roman" w:hAnsi="Times New Roman" w:cs="Times New Roman" w:eastAsiaTheme="minorEastAsia"/>
                <w:color w:val="000000"/>
                <w:sz w:val="18"/>
                <w:szCs w:val="18"/>
              </w:rPr>
              <w:t>，得满分；未达到按实际完成情况得分</w:t>
            </w:r>
            <w:r>
              <w:rPr>
                <w:rFonts w:hint="eastAsia" w:ascii="Times New Roman" w:hAnsi="Times New Roman" w:cs="Times New Roman"/>
                <w:color w:val="000000"/>
                <w:sz w:val="18"/>
                <w:szCs w:val="18"/>
                <w:lang w:eastAsia="zh-CN"/>
              </w:rPr>
              <w:t>，</w:t>
            </w:r>
            <w:r>
              <w:rPr>
                <w:rFonts w:ascii="Times New Roman" w:hAnsi="Times New Roman" w:cs="Times New Roman" w:eastAsiaTheme="minorEastAsia"/>
                <w:color w:val="000000"/>
                <w:sz w:val="18"/>
                <w:szCs w:val="18"/>
              </w:rPr>
              <w:t>指标分值=（实际完成额/计划完成额）×100%*指标标准分值。</w:t>
            </w:r>
          </w:p>
        </w:tc>
        <w:tc>
          <w:tcPr>
            <w:tcW w:w="364" w:type="pct"/>
            <w:shd w:val="clear" w:color="auto" w:fill="auto"/>
            <w:vAlign w:val="center"/>
          </w:tcPr>
          <w:p>
            <w:pPr>
              <w:spacing w:line="37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4</w:t>
            </w:r>
          </w:p>
        </w:tc>
        <w:tc>
          <w:tcPr>
            <w:tcW w:w="1003" w:type="pct"/>
            <w:shd w:val="clear" w:color="auto" w:fill="auto"/>
            <w:vAlign w:val="center"/>
          </w:tcPr>
          <w:p>
            <w:pPr>
              <w:spacing w:line="370" w:lineRule="exact"/>
              <w:jc w:val="both"/>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vAlign w:val="center"/>
          </w:tcPr>
          <w:p>
            <w:pPr>
              <w:spacing w:line="370" w:lineRule="exact"/>
              <w:rPr>
                <w:rFonts w:ascii="Times New Roman" w:hAnsi="Times New Roman" w:cs="Times New Roman" w:eastAsiaTheme="minorEastAsia"/>
                <w:color w:val="000000"/>
                <w:sz w:val="18"/>
                <w:szCs w:val="18"/>
              </w:rPr>
            </w:pPr>
          </w:p>
        </w:tc>
        <w:tc>
          <w:tcPr>
            <w:tcW w:w="355" w:type="pct"/>
            <w:vMerge w:val="continue"/>
            <w:vAlign w:val="center"/>
          </w:tcPr>
          <w:p>
            <w:pPr>
              <w:spacing w:line="370" w:lineRule="exact"/>
              <w:rPr>
                <w:rFonts w:ascii="Times New Roman" w:hAnsi="Times New Roman" w:cs="Times New Roman" w:eastAsiaTheme="minorEastAsia"/>
                <w:color w:val="000000"/>
                <w:sz w:val="18"/>
                <w:szCs w:val="18"/>
              </w:rPr>
            </w:pPr>
          </w:p>
        </w:tc>
        <w:tc>
          <w:tcPr>
            <w:tcW w:w="515"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“互联网+政务服务”和政务公开工作</w:t>
            </w:r>
          </w:p>
        </w:tc>
        <w:tc>
          <w:tcPr>
            <w:tcW w:w="319"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49"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lang w:val="en-US" w:eastAsia="zh-CN"/>
              </w:rPr>
              <w:t>发布权力清单业务办理项7</w:t>
            </w:r>
            <w:r>
              <w:rPr>
                <w:rFonts w:hint="eastAsia" w:ascii="Times New Roman" w:hAnsi="Times New Roman" w:cs="Times New Roman"/>
                <w:color w:val="000000"/>
                <w:sz w:val="18"/>
                <w:szCs w:val="18"/>
                <w:lang w:val="en-US" w:eastAsia="zh-CN"/>
              </w:rPr>
              <w:t>00</w:t>
            </w:r>
            <w:r>
              <w:rPr>
                <w:rFonts w:hint="eastAsia" w:ascii="Times New Roman" w:hAnsi="Times New Roman" w:cs="Times New Roman" w:eastAsiaTheme="minorEastAsia"/>
                <w:color w:val="000000"/>
                <w:sz w:val="18"/>
                <w:szCs w:val="18"/>
                <w:lang w:val="en-US" w:eastAsia="zh-CN"/>
              </w:rPr>
              <w:t xml:space="preserve"> 项</w:t>
            </w:r>
            <w:r>
              <w:rPr>
                <w:rFonts w:hint="eastAsia" w:ascii="Times New Roman" w:hAnsi="Times New Roman" w:cs="Times New Roman" w:eastAsiaTheme="minorEastAsia"/>
                <w:color w:val="000000"/>
                <w:sz w:val="18"/>
                <w:szCs w:val="18"/>
              </w:rPr>
              <w:t>；</w:t>
            </w:r>
            <w:r>
              <w:rPr>
                <w:rFonts w:hint="eastAsia" w:ascii="Times New Roman" w:hAnsi="Times New Roman" w:cs="Times New Roman" w:eastAsiaTheme="minorEastAsia"/>
                <w:color w:val="000000"/>
                <w:sz w:val="18"/>
                <w:szCs w:val="18"/>
                <w:lang w:val="en-US" w:eastAsia="zh-CN"/>
              </w:rPr>
              <w:t>发布信息稿件 2</w:t>
            </w:r>
            <w:r>
              <w:rPr>
                <w:rFonts w:hint="eastAsia" w:ascii="Times New Roman" w:hAnsi="Times New Roman" w:cs="Times New Roman"/>
                <w:color w:val="000000"/>
                <w:sz w:val="18"/>
                <w:szCs w:val="18"/>
                <w:lang w:val="en-US" w:eastAsia="zh-CN"/>
              </w:rPr>
              <w:t>000</w:t>
            </w:r>
            <w:r>
              <w:rPr>
                <w:rFonts w:hint="eastAsia" w:ascii="Times New Roman" w:hAnsi="Times New Roman" w:cs="Times New Roman" w:eastAsiaTheme="minorEastAsia"/>
                <w:color w:val="000000"/>
                <w:sz w:val="18"/>
                <w:szCs w:val="18"/>
                <w:lang w:val="en-US" w:eastAsia="zh-CN"/>
              </w:rPr>
              <w:t xml:space="preserve"> 篇</w:t>
            </w:r>
            <w:r>
              <w:rPr>
                <w:rFonts w:hint="eastAsia" w:ascii="Times New Roman" w:hAnsi="Times New Roman" w:cs="Times New Roman"/>
                <w:color w:val="000000"/>
                <w:sz w:val="18"/>
                <w:szCs w:val="18"/>
                <w:lang w:val="en-US" w:eastAsia="zh-CN"/>
              </w:rPr>
              <w:t>；</w:t>
            </w:r>
            <w:r>
              <w:rPr>
                <w:rFonts w:hint="eastAsia" w:ascii="Times New Roman" w:hAnsi="Times New Roman" w:cs="Times New Roman" w:eastAsiaTheme="minorEastAsia"/>
                <w:color w:val="000000"/>
                <w:sz w:val="18"/>
                <w:szCs w:val="18"/>
                <w:lang w:val="en-US" w:eastAsia="zh-CN"/>
              </w:rPr>
              <w:t>答复网络问政信件</w:t>
            </w:r>
            <w:r>
              <w:rPr>
                <w:rFonts w:hint="eastAsia" w:ascii="Times New Roman" w:hAnsi="Times New Roman" w:cs="Times New Roman"/>
                <w:color w:val="000000"/>
                <w:sz w:val="18"/>
                <w:szCs w:val="18"/>
                <w:lang w:val="en-US" w:eastAsia="zh-CN"/>
              </w:rPr>
              <w:t>50</w:t>
            </w:r>
            <w:r>
              <w:rPr>
                <w:rFonts w:hint="eastAsia" w:ascii="Times New Roman" w:hAnsi="Times New Roman" w:cs="Times New Roman" w:eastAsiaTheme="minorEastAsia"/>
                <w:color w:val="000000"/>
                <w:sz w:val="18"/>
                <w:szCs w:val="18"/>
                <w:lang w:val="en-US" w:eastAsia="zh-CN"/>
              </w:rPr>
              <w:t xml:space="preserve"> 件</w:t>
            </w:r>
            <w:r>
              <w:rPr>
                <w:rFonts w:hint="eastAsia" w:ascii="Times New Roman" w:hAnsi="Times New Roman" w:cs="Times New Roman"/>
                <w:color w:val="000000"/>
                <w:sz w:val="18"/>
                <w:szCs w:val="18"/>
                <w:lang w:val="en-US" w:eastAsia="zh-CN"/>
              </w:rPr>
              <w:t>；</w:t>
            </w:r>
            <w:r>
              <w:rPr>
                <w:rFonts w:hint="eastAsia" w:ascii="Times New Roman" w:hAnsi="Times New Roman" w:cs="Times New Roman" w:eastAsiaTheme="minorEastAsia"/>
                <w:color w:val="000000"/>
                <w:sz w:val="18"/>
                <w:szCs w:val="18"/>
                <w:lang w:val="en-US" w:eastAsia="zh-CN"/>
              </w:rPr>
              <w:t>录入办件7万件</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工作</w:t>
            </w:r>
            <w:r>
              <w:rPr>
                <w:rFonts w:ascii="Times New Roman" w:hAnsi="Times New Roman" w:cs="Times New Roman" w:eastAsiaTheme="minorEastAsia"/>
                <w:color w:val="000000"/>
                <w:sz w:val="18"/>
                <w:szCs w:val="18"/>
              </w:rPr>
              <w:t>完成率100%，得满分；未达到按实际完成情况得分。</w:t>
            </w:r>
          </w:p>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指标分值=（实际完成额/计划完成额）×100%*指标标准分值。</w:t>
            </w:r>
          </w:p>
        </w:tc>
        <w:tc>
          <w:tcPr>
            <w:tcW w:w="364"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3" w:type="pct"/>
            <w:shd w:val="clear" w:color="auto" w:fill="auto"/>
            <w:vAlign w:val="center"/>
          </w:tcPr>
          <w:p>
            <w:pPr>
              <w:spacing w:line="370" w:lineRule="exact"/>
              <w:jc w:val="both"/>
              <w:rPr>
                <w:rFonts w:ascii="Times New Roman" w:hAnsi="Times New Roman" w:cs="Times New Roman" w:eastAsiaTheme="minorEastAsia"/>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vAlign w:val="center"/>
          </w:tcPr>
          <w:p>
            <w:pPr>
              <w:spacing w:line="360" w:lineRule="exact"/>
              <w:rPr>
                <w:rFonts w:ascii="Times New Roman" w:hAnsi="Times New Roman" w:cs="Times New Roman" w:eastAsiaTheme="minorEastAsia"/>
                <w:color w:val="000000"/>
                <w:sz w:val="18"/>
                <w:szCs w:val="18"/>
              </w:rPr>
            </w:pPr>
          </w:p>
        </w:tc>
        <w:tc>
          <w:tcPr>
            <w:tcW w:w="355" w:type="pct"/>
            <w:vMerge w:val="continue"/>
            <w:vAlign w:val="center"/>
          </w:tcPr>
          <w:p>
            <w:pPr>
              <w:spacing w:line="360" w:lineRule="exact"/>
              <w:rPr>
                <w:rFonts w:ascii="Times New Roman" w:hAnsi="Times New Roman" w:cs="Times New Roman" w:eastAsiaTheme="minorEastAsia"/>
                <w:color w:val="000000"/>
                <w:sz w:val="18"/>
                <w:szCs w:val="18"/>
              </w:rPr>
            </w:pP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工作完成</w:t>
            </w:r>
            <w:r>
              <w:rPr>
                <w:rFonts w:ascii="Times New Roman" w:hAnsi="Times New Roman" w:cs="Times New Roman" w:eastAsiaTheme="minorEastAsia"/>
                <w:color w:val="000000"/>
                <w:sz w:val="18"/>
                <w:szCs w:val="18"/>
              </w:rPr>
              <w:t>及时性</w:t>
            </w:r>
          </w:p>
        </w:tc>
        <w:tc>
          <w:tcPr>
            <w:tcW w:w="319"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49"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在计划时间内</w:t>
            </w:r>
            <w:r>
              <w:rPr>
                <w:rFonts w:hint="eastAsia" w:ascii="Times New Roman" w:hAnsi="Times New Roman" w:cs="Times New Roman"/>
                <w:color w:val="000000"/>
                <w:sz w:val="18"/>
                <w:szCs w:val="18"/>
                <w:lang w:val="en-US" w:eastAsia="zh-CN"/>
              </w:rPr>
              <w:t>完成工作</w:t>
            </w:r>
            <w:r>
              <w:rPr>
                <w:rFonts w:ascii="Times New Roman" w:hAnsi="Times New Roman" w:cs="Times New Roman" w:eastAsiaTheme="minorEastAsia"/>
                <w:color w:val="000000"/>
                <w:sz w:val="18"/>
                <w:szCs w:val="18"/>
              </w:rPr>
              <w:t>，得4分，</w:t>
            </w:r>
            <w:r>
              <w:rPr>
                <w:rFonts w:hint="eastAsia" w:ascii="Times New Roman" w:hAnsi="Times New Roman" w:cs="Times New Roman" w:eastAsiaTheme="minorEastAsia"/>
                <w:color w:val="000000"/>
                <w:sz w:val="18"/>
                <w:szCs w:val="18"/>
              </w:rPr>
              <w:t>未按时</w:t>
            </w:r>
            <w:r>
              <w:rPr>
                <w:rFonts w:hint="eastAsia" w:ascii="Times New Roman" w:hAnsi="Times New Roman" w:cs="Times New Roman"/>
                <w:color w:val="000000"/>
                <w:sz w:val="18"/>
                <w:szCs w:val="18"/>
                <w:lang w:val="en-US" w:eastAsia="zh-CN"/>
              </w:rPr>
              <w:t>完成</w:t>
            </w:r>
            <w:r>
              <w:rPr>
                <w:rFonts w:hint="eastAsia" w:ascii="Times New Roman" w:hAnsi="Times New Roman" w:cs="Times New Roman" w:eastAsiaTheme="minorEastAsia"/>
                <w:color w:val="000000"/>
                <w:sz w:val="18"/>
                <w:szCs w:val="18"/>
              </w:rPr>
              <w:t>，根据</w:t>
            </w:r>
            <w:r>
              <w:rPr>
                <w:rFonts w:hint="eastAsia" w:ascii="Times New Roman" w:hAnsi="Times New Roman" w:cs="Times New Roman"/>
                <w:color w:val="000000"/>
                <w:sz w:val="18"/>
                <w:szCs w:val="18"/>
                <w:lang w:val="en-US" w:eastAsia="zh-CN"/>
              </w:rPr>
              <w:t>完成</w:t>
            </w:r>
            <w:r>
              <w:rPr>
                <w:rFonts w:ascii="Times New Roman" w:hAnsi="Times New Roman" w:cs="Times New Roman" w:eastAsiaTheme="minorEastAsia"/>
                <w:color w:val="000000"/>
                <w:sz w:val="18"/>
                <w:szCs w:val="18"/>
              </w:rPr>
              <w:t>时间</w:t>
            </w:r>
            <w:r>
              <w:rPr>
                <w:rFonts w:hint="eastAsia" w:ascii="Times New Roman" w:hAnsi="Times New Roman" w:cs="Times New Roman" w:eastAsiaTheme="minorEastAsia"/>
                <w:color w:val="000000"/>
                <w:sz w:val="18"/>
                <w:szCs w:val="18"/>
              </w:rPr>
              <w:t>酌情扣分</w:t>
            </w:r>
            <w:r>
              <w:rPr>
                <w:rFonts w:ascii="Times New Roman" w:hAnsi="Times New Roman" w:cs="Times New Roman" w:eastAsiaTheme="minorEastAsia"/>
                <w:color w:val="000000"/>
                <w:sz w:val="18"/>
                <w:szCs w:val="18"/>
              </w:rPr>
              <w:t>。</w:t>
            </w:r>
          </w:p>
        </w:tc>
        <w:tc>
          <w:tcPr>
            <w:tcW w:w="364"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vAlign w:val="center"/>
          </w:tcPr>
          <w:p>
            <w:pPr>
              <w:spacing w:line="360" w:lineRule="exact"/>
              <w:rPr>
                <w:rFonts w:ascii="Times New Roman" w:hAnsi="Times New Roman" w:cs="Times New Roman" w:eastAsiaTheme="minorEastAsia"/>
                <w:color w:val="000000"/>
                <w:sz w:val="18"/>
                <w:szCs w:val="18"/>
              </w:rPr>
            </w:pPr>
          </w:p>
        </w:tc>
        <w:tc>
          <w:tcPr>
            <w:tcW w:w="355" w:type="pct"/>
            <w:vMerge w:val="continue"/>
            <w:vAlign w:val="center"/>
          </w:tcPr>
          <w:p>
            <w:pPr>
              <w:spacing w:line="360" w:lineRule="exact"/>
              <w:rPr>
                <w:rFonts w:ascii="Times New Roman" w:hAnsi="Times New Roman" w:cs="Times New Roman" w:eastAsiaTheme="minorEastAsia"/>
                <w:color w:val="000000"/>
                <w:sz w:val="18"/>
                <w:szCs w:val="18"/>
              </w:rPr>
            </w:pP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各项工作</w:t>
            </w:r>
            <w:r>
              <w:rPr>
                <w:rFonts w:ascii="Times New Roman" w:hAnsi="Times New Roman" w:cs="Times New Roman" w:eastAsiaTheme="minorEastAsia"/>
                <w:color w:val="000000"/>
                <w:sz w:val="18"/>
                <w:szCs w:val="18"/>
              </w:rPr>
              <w:t>成本节约率</w:t>
            </w:r>
          </w:p>
        </w:tc>
        <w:tc>
          <w:tcPr>
            <w:tcW w:w="319"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49"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成本节约率=[（计划成本-实际成本）/计划成本]×100%。成本节约率10%（不含）以上，得4分；成本节约率5%（不含）-10%（含）得3分，成本节约率5%（含）以下得</w:t>
            </w:r>
            <w:r>
              <w:rPr>
                <w:rFonts w:hint="eastAsia" w:ascii="Times New Roman" w:hAnsi="Times New Roman" w:cs="Times New Roman" w:eastAsiaTheme="minorEastAsia"/>
                <w:color w:val="000000"/>
                <w:sz w:val="18"/>
                <w:szCs w:val="18"/>
              </w:rPr>
              <w:t>2</w:t>
            </w:r>
            <w:r>
              <w:rPr>
                <w:rFonts w:ascii="Times New Roman" w:hAnsi="Times New Roman" w:cs="Times New Roman" w:eastAsiaTheme="minorEastAsia"/>
                <w:color w:val="000000"/>
                <w:sz w:val="18"/>
                <w:szCs w:val="18"/>
              </w:rPr>
              <w:t>分。</w:t>
            </w:r>
          </w:p>
        </w:tc>
        <w:tc>
          <w:tcPr>
            <w:tcW w:w="364"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restar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效果</w:t>
            </w:r>
          </w:p>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355" w:type="pct"/>
            <w:vMerge w:val="restar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职责效益（</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可持续影响</w:t>
            </w:r>
          </w:p>
        </w:tc>
        <w:tc>
          <w:tcPr>
            <w:tcW w:w="319"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49"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考核单位工作的开展是否能降能节耗，制止资源浪费，有效利用资源，节约财政资金，提升服务质量，</w:t>
            </w:r>
            <w:r>
              <w:rPr>
                <w:rFonts w:ascii="Times New Roman" w:hAnsi="Times New Roman" w:cs="Times New Roman" w:eastAsiaTheme="minorEastAsia"/>
                <w:color w:val="000000"/>
                <w:sz w:val="18"/>
                <w:szCs w:val="18"/>
              </w:rPr>
              <w:t>根据问卷调查统计结果，</w:t>
            </w:r>
            <w:r>
              <w:rPr>
                <w:rFonts w:hint="eastAsia" w:ascii="Times New Roman" w:hAnsi="Times New Roman" w:cs="Times New Roman"/>
                <w:color w:val="000000"/>
                <w:sz w:val="18"/>
                <w:szCs w:val="18"/>
                <w:lang w:val="en-US" w:eastAsia="zh-CN"/>
              </w:rPr>
              <w:t>结合单位工作开展情况</w:t>
            </w:r>
            <w:r>
              <w:rPr>
                <w:rFonts w:ascii="Times New Roman" w:hAnsi="Times New Roman" w:cs="Times New Roman" w:eastAsiaTheme="minorEastAsia"/>
                <w:color w:val="000000"/>
                <w:sz w:val="18"/>
                <w:szCs w:val="18"/>
              </w:rPr>
              <w:t>，90%的</w:t>
            </w:r>
            <w:r>
              <w:rPr>
                <w:rFonts w:hint="eastAsia" w:ascii="Times New Roman" w:hAnsi="Times New Roman" w:cs="Times New Roman"/>
                <w:color w:val="000000"/>
                <w:sz w:val="18"/>
                <w:szCs w:val="18"/>
                <w:lang w:val="en-US" w:eastAsia="zh-CN"/>
              </w:rPr>
              <w:t>受益</w:t>
            </w:r>
            <w:r>
              <w:rPr>
                <w:rFonts w:ascii="Times New Roman" w:hAnsi="Times New Roman" w:cs="Times New Roman" w:eastAsiaTheme="minorEastAsia"/>
                <w:color w:val="000000"/>
                <w:sz w:val="18"/>
                <w:szCs w:val="18"/>
              </w:rPr>
              <w:t>群众觉得效果显著得</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分。则每下降5%，扣1分，扣完为止。</w:t>
            </w:r>
          </w:p>
        </w:tc>
        <w:tc>
          <w:tcPr>
            <w:tcW w:w="364"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vAlign w:val="center"/>
          </w:tcPr>
          <w:p>
            <w:pPr>
              <w:spacing w:line="360" w:lineRule="exact"/>
              <w:rPr>
                <w:rFonts w:ascii="Times New Roman" w:hAnsi="Times New Roman" w:cs="Times New Roman" w:eastAsiaTheme="minorEastAsia"/>
                <w:color w:val="000000"/>
                <w:sz w:val="18"/>
                <w:szCs w:val="18"/>
              </w:rPr>
            </w:pPr>
          </w:p>
        </w:tc>
        <w:tc>
          <w:tcPr>
            <w:tcW w:w="355" w:type="pct"/>
            <w:vMerge w:val="continue"/>
            <w:vAlign w:val="center"/>
          </w:tcPr>
          <w:p>
            <w:pPr>
              <w:spacing w:line="360" w:lineRule="exact"/>
              <w:rPr>
                <w:rFonts w:ascii="Times New Roman" w:hAnsi="Times New Roman" w:cs="Times New Roman" w:eastAsiaTheme="minorEastAsia"/>
                <w:color w:val="000000"/>
                <w:sz w:val="18"/>
                <w:szCs w:val="18"/>
              </w:rPr>
            </w:pP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社会效益</w:t>
            </w:r>
          </w:p>
        </w:tc>
        <w:tc>
          <w:tcPr>
            <w:tcW w:w="319"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49"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考核单位工作的开展是否能显著优化环境提升全区形象，</w:t>
            </w:r>
            <w:r>
              <w:rPr>
                <w:rFonts w:ascii="Times New Roman" w:hAnsi="Times New Roman" w:cs="Times New Roman" w:eastAsiaTheme="minorEastAsia"/>
                <w:color w:val="000000"/>
                <w:sz w:val="18"/>
                <w:szCs w:val="18"/>
              </w:rPr>
              <w:t>根据问卷调查统计结果，</w:t>
            </w:r>
            <w:r>
              <w:rPr>
                <w:rFonts w:hint="eastAsia" w:ascii="Times New Roman" w:hAnsi="Times New Roman" w:cs="Times New Roman"/>
                <w:color w:val="000000"/>
                <w:sz w:val="18"/>
                <w:szCs w:val="18"/>
                <w:lang w:val="en-US" w:eastAsia="zh-CN"/>
              </w:rPr>
              <w:t>结合单位工作开展情况</w:t>
            </w:r>
            <w:r>
              <w:rPr>
                <w:rFonts w:ascii="Times New Roman" w:hAnsi="Times New Roman" w:cs="Times New Roman" w:eastAsiaTheme="minorEastAsia"/>
                <w:color w:val="000000"/>
                <w:sz w:val="18"/>
                <w:szCs w:val="18"/>
              </w:rPr>
              <w:t>，90%的群众觉得效果显著得</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分。则每下降5%，扣1分，扣完为止。</w:t>
            </w:r>
          </w:p>
        </w:tc>
        <w:tc>
          <w:tcPr>
            <w:tcW w:w="364"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vAlign w:val="center"/>
          </w:tcPr>
          <w:p>
            <w:pPr>
              <w:spacing w:line="360" w:lineRule="exact"/>
              <w:rPr>
                <w:rFonts w:ascii="Times New Roman" w:hAnsi="Times New Roman" w:cs="Times New Roman" w:eastAsiaTheme="minorEastAsia"/>
                <w:color w:val="000000"/>
                <w:sz w:val="18"/>
                <w:szCs w:val="18"/>
              </w:rPr>
            </w:pPr>
          </w:p>
        </w:tc>
        <w:tc>
          <w:tcPr>
            <w:tcW w:w="355" w:type="pct"/>
            <w:vMerge w:val="continue"/>
            <w:vAlign w:val="center"/>
          </w:tcPr>
          <w:p>
            <w:pPr>
              <w:spacing w:line="360" w:lineRule="exact"/>
              <w:rPr>
                <w:rFonts w:ascii="Times New Roman" w:hAnsi="Times New Roman" w:cs="Times New Roman" w:eastAsiaTheme="minorEastAsia"/>
                <w:color w:val="000000"/>
                <w:sz w:val="18"/>
                <w:szCs w:val="18"/>
              </w:rPr>
            </w:pP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单位职工</w:t>
            </w:r>
            <w:r>
              <w:rPr>
                <w:rFonts w:hint="eastAsia" w:ascii="Times New Roman" w:hAnsi="Times New Roman" w:cs="Times New Roman"/>
                <w:color w:val="000000"/>
                <w:sz w:val="18"/>
                <w:szCs w:val="18"/>
                <w:lang w:val="en-US" w:eastAsia="zh-CN"/>
              </w:rPr>
              <w:t>及受益群众</w:t>
            </w:r>
            <w:r>
              <w:rPr>
                <w:rFonts w:ascii="Times New Roman" w:hAnsi="Times New Roman" w:cs="Times New Roman" w:eastAsiaTheme="minorEastAsia"/>
                <w:color w:val="000000"/>
                <w:sz w:val="18"/>
                <w:szCs w:val="18"/>
              </w:rPr>
              <w:t>满意度</w:t>
            </w:r>
          </w:p>
        </w:tc>
        <w:tc>
          <w:tcPr>
            <w:tcW w:w="319"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49"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以调查问卷为依据。</w:t>
            </w:r>
            <w:r>
              <w:rPr>
                <w:rFonts w:hint="eastAsia" w:ascii="Times New Roman" w:hAnsi="Times New Roman" w:cs="Times New Roman"/>
                <w:color w:val="000000"/>
                <w:sz w:val="18"/>
                <w:szCs w:val="18"/>
                <w:lang w:val="en-US" w:eastAsia="zh-CN"/>
              </w:rPr>
              <w:t>单位职工及受益对象</w:t>
            </w:r>
            <w:r>
              <w:rPr>
                <w:rFonts w:ascii="Times New Roman" w:hAnsi="Times New Roman" w:cs="Times New Roman" w:eastAsiaTheme="minorEastAsia"/>
                <w:color w:val="000000"/>
                <w:sz w:val="18"/>
                <w:szCs w:val="18"/>
              </w:rPr>
              <w:t>满意度≥95%计</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分：每低5%扣1分。满意度＜75%计0分。</w:t>
            </w:r>
          </w:p>
        </w:tc>
        <w:tc>
          <w:tcPr>
            <w:tcW w:w="364"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1262" w:type="pct"/>
            <w:gridSpan w:val="3"/>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合计</w:t>
            </w:r>
          </w:p>
        </w:tc>
        <w:tc>
          <w:tcPr>
            <w:tcW w:w="319"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100</w:t>
            </w:r>
          </w:p>
        </w:tc>
        <w:tc>
          <w:tcPr>
            <w:tcW w:w="2049"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c>
          <w:tcPr>
            <w:tcW w:w="364"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95</w:t>
            </w:r>
          </w:p>
        </w:tc>
        <w:tc>
          <w:tcPr>
            <w:tcW w:w="1003"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0" w:lineRule="atLeast"/>
        <w:jc w:val="both"/>
        <w:textAlignment w:val="auto"/>
        <w:rPr>
          <w:rFonts w:hint="default" w:ascii="Times New Roman Regular" w:hAnsi="Times New Roman Regular" w:eastAsia="仿宋" w:cs="Times New Roman Regular"/>
          <w:b w:val="0"/>
          <w:bCs w:val="0"/>
          <w:sz w:val="31"/>
          <w:szCs w:val="31"/>
          <w:lang w:val="en-US" w:eastAsia="zh-CN"/>
        </w:rPr>
      </w:pPr>
    </w:p>
    <w:p>
      <w:pPr>
        <w:pStyle w:val="12"/>
        <w:rPr>
          <w:rFonts w:hint="default" w:ascii="Times New Roman Regular" w:hAnsi="Times New Roman Regular" w:eastAsia="仿宋" w:cs="Times New Roman Regular"/>
          <w:b w:val="0"/>
          <w:bCs w:val="0"/>
          <w:sz w:val="31"/>
          <w:szCs w:val="31"/>
          <w:lang w:val="en-US" w:eastAsia="zh-CN"/>
        </w:rPr>
      </w:pPr>
    </w:p>
    <w:p>
      <w:pPr>
        <w:widowControl/>
        <w:rPr>
          <w:rFonts w:hint="default" w:ascii="Times New Roman" w:hAnsi="Times New Roman" w:eastAsia="仿宋" w:cs="Times New Roman"/>
          <w:color w:val="000000"/>
          <w:kern w:val="0"/>
          <w:sz w:val="32"/>
          <w:szCs w:val="32"/>
        </w:rPr>
      </w:pPr>
    </w:p>
    <w:p>
      <w:pPr>
        <w:widowControl/>
        <w:rPr>
          <w:rFonts w:hint="default" w:ascii="Times New Roman" w:hAnsi="Times New Roman" w:eastAsia="仿宋" w:cs="Times New Roman"/>
          <w:color w:val="000000"/>
          <w:kern w:val="0"/>
          <w:sz w:val="32"/>
          <w:szCs w:val="32"/>
        </w:rPr>
      </w:pPr>
    </w:p>
    <w:p>
      <w:pPr>
        <w:widowControl/>
        <w:rPr>
          <w:rFonts w:hint="default" w:ascii="Times New Roman" w:hAnsi="Times New Roman" w:eastAsia="仿宋" w:cs="Times New Roman"/>
          <w:color w:val="000000"/>
          <w:kern w:val="0"/>
          <w:sz w:val="32"/>
          <w:szCs w:val="32"/>
        </w:rPr>
      </w:pPr>
    </w:p>
    <w:p>
      <w:pPr>
        <w:widowControl/>
        <w:rPr>
          <w:rFonts w:hint="default" w:ascii="Times New Roman" w:hAnsi="Times New Roman" w:eastAsia="仿宋" w:cs="Times New Roman"/>
          <w:color w:val="000000"/>
          <w:kern w:val="0"/>
          <w:sz w:val="32"/>
          <w:szCs w:val="32"/>
        </w:rPr>
      </w:pPr>
    </w:p>
    <w:p>
      <w:pPr>
        <w:widowControl/>
        <w:rPr>
          <w:rFonts w:hint="default" w:ascii="Times New Roman" w:hAnsi="Times New Roman" w:eastAsia="仿宋" w:cs="Times New Roman"/>
          <w:color w:val="000000"/>
          <w:kern w:val="0"/>
          <w:sz w:val="32"/>
          <w:szCs w:val="32"/>
        </w:rPr>
        <w:sectPr>
          <w:headerReference r:id="rId5" w:type="default"/>
          <w:footerReference r:id="rId6" w:type="default"/>
          <w:pgSz w:w="16838" w:h="11906" w:orient="landscape"/>
          <w:pgMar w:top="1803" w:right="1440" w:bottom="1803" w:left="1440" w:header="964"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pPr>
    </w:p>
    <w:p>
      <w:pPr>
        <w:widowControl/>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附件</w:t>
      </w:r>
      <w:r>
        <w:rPr>
          <w:rFonts w:hint="eastAsia" w:ascii="Times New Roman" w:hAnsi="Times New Roman" w:eastAsia="仿宋" w:cs="Times New Roman"/>
          <w:color w:val="000000"/>
          <w:kern w:val="0"/>
          <w:sz w:val="32"/>
          <w:szCs w:val="32"/>
          <w:lang w:val="en-US" w:eastAsia="zh-CN"/>
        </w:rPr>
        <w:t>2：</w:t>
      </w:r>
      <w:r>
        <w:rPr>
          <w:rFonts w:hint="default" w:ascii="Times New Roman" w:hAnsi="Times New Roman" w:eastAsia="仿宋" w:cs="Times New Roman"/>
          <w:color w:val="000000"/>
          <w:kern w:val="0"/>
          <w:sz w:val="32"/>
          <w:szCs w:val="32"/>
        </w:rPr>
        <w:t xml:space="preserve">      </w:t>
      </w:r>
    </w:p>
    <w:p>
      <w:pPr>
        <w:pStyle w:val="11"/>
        <w:widowControl/>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b w:val="0"/>
          <w:bCs w:val="0"/>
          <w:sz w:val="32"/>
          <w:szCs w:val="32"/>
          <w:lang w:val="en-US" w:eastAsia="zh-CN"/>
        </w:rPr>
        <w:t>邵阳市北塔区行政审批服务局2022年度</w:t>
      </w:r>
      <w:r>
        <w:rPr>
          <w:rFonts w:hint="default" w:ascii="Times New Roman" w:hAnsi="Times New Roman" w:eastAsia="方正小标宋_GBK" w:cs="Times New Roman"/>
          <w:sz w:val="32"/>
          <w:szCs w:val="32"/>
        </w:rPr>
        <w:t>部门整体支出</w:t>
      </w:r>
    </w:p>
    <w:p>
      <w:pPr>
        <w:pStyle w:val="11"/>
        <w:widowControl/>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绩效评价基础数据表</w:t>
      </w:r>
    </w:p>
    <w:tbl>
      <w:tblPr>
        <w:tblStyle w:val="15"/>
        <w:tblW w:w="8378" w:type="dxa"/>
        <w:jc w:val="center"/>
        <w:tblLayout w:type="fixed"/>
        <w:tblCellMar>
          <w:top w:w="0" w:type="dxa"/>
          <w:left w:w="108" w:type="dxa"/>
          <w:bottom w:w="0" w:type="dxa"/>
          <w:right w:w="108" w:type="dxa"/>
        </w:tblCellMar>
      </w:tblPr>
      <w:tblGrid>
        <w:gridCol w:w="3084"/>
        <w:gridCol w:w="1571"/>
        <w:gridCol w:w="5"/>
        <w:gridCol w:w="5"/>
        <w:gridCol w:w="2132"/>
        <w:gridCol w:w="1581"/>
      </w:tblGrid>
      <w:tr>
        <w:tblPrEx>
          <w:tblCellMar>
            <w:top w:w="0" w:type="dxa"/>
            <w:left w:w="108" w:type="dxa"/>
            <w:bottom w:w="0" w:type="dxa"/>
            <w:right w:w="108" w:type="dxa"/>
          </w:tblCellMar>
        </w:tblPrEx>
        <w:trPr>
          <w:trHeight w:val="403" w:hRule="atLeast"/>
          <w:jc w:val="center"/>
        </w:trPr>
        <w:tc>
          <w:tcPr>
            <w:tcW w:w="30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lang w:val="en-US" w:eastAsia="zh-CN"/>
              </w:rPr>
              <w:t>:</w:t>
            </w:r>
            <w:r>
              <w:rPr>
                <w:rFonts w:hint="default" w:ascii="Times New Roman" w:hAnsi="Times New Roman" w:cs="Times New Roman" w:eastAsiaTheme="minorEastAsia"/>
                <w:kern w:val="0"/>
                <w:sz w:val="21"/>
                <w:szCs w:val="21"/>
              </w:rPr>
              <w:t>财政供养人员情况</w:t>
            </w:r>
          </w:p>
        </w:tc>
        <w:tc>
          <w:tcPr>
            <w:tcW w:w="157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编制数</w:t>
            </w:r>
          </w:p>
        </w:tc>
        <w:tc>
          <w:tcPr>
            <w:tcW w:w="214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年末实际在职人数</w:t>
            </w:r>
          </w:p>
        </w:tc>
        <w:tc>
          <w:tcPr>
            <w:tcW w:w="15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控制率</w:t>
            </w:r>
          </w:p>
        </w:tc>
      </w:tr>
      <w:tr>
        <w:tblPrEx>
          <w:tblCellMar>
            <w:top w:w="0" w:type="dxa"/>
            <w:left w:w="108" w:type="dxa"/>
            <w:bottom w:w="0" w:type="dxa"/>
            <w:right w:w="108" w:type="dxa"/>
          </w:tblCellMar>
        </w:tblPrEx>
        <w:trPr>
          <w:trHeight w:val="403" w:hRule="atLeast"/>
          <w:jc w:val="center"/>
        </w:trPr>
        <w:tc>
          <w:tcPr>
            <w:tcW w:w="30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p>
        </w:tc>
        <w:tc>
          <w:tcPr>
            <w:tcW w:w="157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8</w:t>
            </w:r>
          </w:p>
        </w:tc>
        <w:tc>
          <w:tcPr>
            <w:tcW w:w="214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7</w:t>
            </w:r>
          </w:p>
        </w:tc>
        <w:tc>
          <w:tcPr>
            <w:tcW w:w="15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87.5%</w:t>
            </w: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经费控制情况</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当年决算数</w:t>
            </w: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当年预算数</w:t>
            </w: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上年决算数</w:t>
            </w: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一、部门基本支出</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218.58</w:t>
            </w: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i w:val="0"/>
                <w:iCs w:val="0"/>
                <w:caps w:val="0"/>
                <w:color w:val="000000"/>
                <w:spacing w:val="0"/>
                <w:sz w:val="21"/>
                <w:szCs w:val="21"/>
                <w:lang w:val="en-US" w:eastAsia="zh-CN"/>
              </w:rPr>
              <w:t>81.19</w:t>
            </w: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375.64</w:t>
            </w: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其中： 1、压缩一般性支出</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lang w:val="en-US" w:eastAsia="zh-CN"/>
              </w:rPr>
              <w:t>218.58</w:t>
            </w: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aps w:val="0"/>
                <w:color w:val="000000"/>
                <w:spacing w:val="0"/>
                <w:sz w:val="21"/>
                <w:szCs w:val="21"/>
                <w:lang w:val="en-US" w:eastAsia="zh-CN"/>
              </w:rPr>
              <w:t>81.19</w:t>
            </w: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lang w:val="en-US" w:eastAsia="zh-CN"/>
              </w:rPr>
              <w:t>375.64</w:t>
            </w: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2、三公经费</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0</w:t>
            </w: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0</w:t>
            </w: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0</w:t>
            </w: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公务用车购置和维护经费</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其中：公车购置</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公车运行维护</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bidi="ar-SA"/>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bidi="ar-SA"/>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bidi="ar-SA"/>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公务接待</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出国（境）经费</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二、部门项目支出</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aps w:val="0"/>
                <w:color w:val="auto"/>
                <w:spacing w:val="0"/>
                <w:kern w:val="2"/>
                <w:sz w:val="21"/>
                <w:szCs w:val="21"/>
                <w:highlight w:val="none"/>
                <w:shd w:val="clear" w:fill="FFFFFF"/>
                <w:lang w:val="en-US" w:eastAsia="zh-CN" w:bidi="ar-SA"/>
              </w:rPr>
              <w:t>196.14</w:t>
            </w: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aps w:val="0"/>
                <w:color w:val="auto"/>
                <w:spacing w:val="0"/>
                <w:kern w:val="2"/>
                <w:sz w:val="21"/>
                <w:szCs w:val="21"/>
                <w:highlight w:val="none"/>
                <w:shd w:val="clear" w:fill="FFFFFF"/>
                <w:lang w:val="en-US" w:eastAsia="zh-CN" w:bidi="ar-SA"/>
              </w:rPr>
              <w:t>100.5</w:t>
            </w: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0</w:t>
            </w: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1、业务工作专项</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b w:val="0"/>
                <w:bCs w:val="0"/>
                <w:kern w:val="0"/>
                <w:sz w:val="21"/>
                <w:szCs w:val="21"/>
                <w:lang w:val="en-US" w:eastAsia="zh-CN" w:bidi="ar-SA"/>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文化旅游体育与传媒支出</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b w:val="0"/>
                <w:bCs w:val="0"/>
                <w:kern w:val="0"/>
                <w:sz w:val="21"/>
                <w:szCs w:val="21"/>
                <w:lang w:val="en-US" w:eastAsia="zh-CN" w:bidi="ar-SA"/>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节能环保支出</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b w:val="0"/>
                <w:bCs w:val="0"/>
                <w:kern w:val="0"/>
                <w:sz w:val="21"/>
                <w:szCs w:val="21"/>
                <w:lang w:val="en-US" w:eastAsia="zh-CN" w:bidi="ar-SA"/>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农林水支出</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b w:val="0"/>
                <w:bCs w:val="0"/>
                <w:kern w:val="0"/>
                <w:sz w:val="21"/>
                <w:szCs w:val="21"/>
                <w:lang w:val="en-US" w:eastAsia="zh-CN" w:bidi="ar-SA"/>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商业服务业等支出</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b w:val="0"/>
                <w:bCs w:val="0"/>
                <w:kern w:val="0"/>
                <w:sz w:val="21"/>
                <w:szCs w:val="21"/>
                <w:lang w:val="en-US" w:eastAsia="zh-CN" w:bidi="ar-SA"/>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灾害防治及应急管理支出</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b w:val="0"/>
                <w:bCs w:val="0"/>
                <w:kern w:val="0"/>
                <w:sz w:val="21"/>
                <w:szCs w:val="21"/>
                <w:lang w:val="en-US" w:eastAsia="zh-CN" w:bidi="ar-SA"/>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其他支出</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bidi="ar-SA"/>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2、运行维护专项</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bidi="ar-SA"/>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一般公共服务支出</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bidi="ar-SA"/>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社会保障和就业支出</w:t>
            </w:r>
          </w:p>
        </w:tc>
        <w:tc>
          <w:tcPr>
            <w:tcW w:w="157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214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bidi="ar-SA"/>
              </w:rPr>
            </w:pPr>
          </w:p>
        </w:tc>
      </w:tr>
      <w:tr>
        <w:tblPrEx>
          <w:tblCellMar>
            <w:top w:w="0" w:type="dxa"/>
            <w:left w:w="108" w:type="dxa"/>
            <w:bottom w:w="0" w:type="dxa"/>
            <w:right w:w="108" w:type="dxa"/>
          </w:tblCellMar>
        </w:tblPrEx>
        <w:trPr>
          <w:trHeight w:val="298"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ind w:firstLine="210" w:firstLineChars="10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城乡社区支出</w:t>
            </w:r>
          </w:p>
        </w:tc>
        <w:tc>
          <w:tcPr>
            <w:tcW w:w="157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213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bidi="ar-SA"/>
              </w:rPr>
            </w:pPr>
          </w:p>
        </w:tc>
      </w:tr>
      <w:tr>
        <w:tblPrEx>
          <w:tblCellMar>
            <w:top w:w="0" w:type="dxa"/>
            <w:left w:w="108" w:type="dxa"/>
            <w:bottom w:w="0" w:type="dxa"/>
            <w:right w:w="108" w:type="dxa"/>
          </w:tblCellMar>
        </w:tblPrEx>
        <w:trPr>
          <w:trHeight w:val="401" w:hRule="atLeast"/>
          <w:jc w:val="center"/>
        </w:trPr>
        <w:tc>
          <w:tcPr>
            <w:tcW w:w="3084" w:type="dxa"/>
            <w:tcBorders>
              <w:top w:val="single" w:color="auto" w:sz="4" w:space="0"/>
              <w:left w:val="single" w:color="auto" w:sz="4" w:space="0"/>
              <w:bottom w:val="single" w:color="auto" w:sz="4" w:space="0"/>
              <w:right w:val="single" w:color="auto" w:sz="4" w:space="0"/>
            </w:tcBorders>
            <w:noWrap w:val="0"/>
            <w:vAlign w:val="center"/>
          </w:tcPr>
          <w:p>
            <w:pPr>
              <w:widowControl/>
              <w:ind w:firstLine="210" w:firstLineChars="100"/>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政府采购金额</w:t>
            </w:r>
          </w:p>
        </w:tc>
        <w:tc>
          <w:tcPr>
            <w:tcW w:w="158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16" w:hRule="atLeast"/>
          <w:jc w:val="center"/>
        </w:trPr>
        <w:tc>
          <w:tcPr>
            <w:tcW w:w="30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厉行节约保障措施</w:t>
            </w:r>
          </w:p>
        </w:tc>
        <w:tc>
          <w:tcPr>
            <w:tcW w:w="5294" w:type="dxa"/>
            <w:gridSpan w:val="5"/>
            <w:tcBorders>
              <w:top w:val="single" w:color="auto" w:sz="4" w:space="0"/>
              <w:left w:val="nil"/>
              <w:bottom w:val="single" w:color="auto" w:sz="4" w:space="0"/>
              <w:right w:val="single" w:color="000000" w:sz="4" w:space="0"/>
            </w:tcBorders>
            <w:noWrap w:val="0"/>
            <w:vAlign w:val="center"/>
          </w:tcPr>
          <w:p>
            <w:pPr>
              <w:widowControl/>
              <w:tabs>
                <w:tab w:val="left" w:pos="1703"/>
              </w:tabs>
              <w:jc w:val="left"/>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ab/>
            </w:r>
            <w:r>
              <w:rPr>
                <w:rFonts w:hint="default" w:ascii="Times New Roman" w:hAnsi="Times New Roman" w:cs="Times New Roman" w:eastAsiaTheme="minorEastAsia"/>
                <w:kern w:val="0"/>
                <w:sz w:val="21"/>
                <w:szCs w:val="21"/>
                <w:lang w:val="en-US" w:eastAsia="zh-CN"/>
              </w:rPr>
              <w:t>严格控制三公经费支出</w:t>
            </w:r>
            <w:r>
              <w:rPr>
                <w:rFonts w:hint="default" w:ascii="Times New Roman" w:hAnsi="Times New Roman" w:cs="Times New Roman" w:eastAsiaTheme="minorEastAsia"/>
                <w:kern w:val="0"/>
                <w:sz w:val="21"/>
                <w:szCs w:val="21"/>
              </w:rPr>
              <w:t>　　</w:t>
            </w:r>
          </w:p>
        </w:tc>
      </w:tr>
    </w:tbl>
    <w:p>
      <w:pPr>
        <w:spacing w:before="62" w:beforeLines="20"/>
        <w:rPr>
          <w:rFonts w:hint="default" w:ascii="Times New Roman" w:hAnsi="Times New Roman" w:eastAsia="仿宋_GB2312" w:cs="Times New Roman"/>
          <w:sz w:val="32"/>
          <w:szCs w:val="32"/>
        </w:rPr>
      </w:pPr>
    </w:p>
    <w:p>
      <w:pPr>
        <w:spacing w:before="62" w:beforeLines="20"/>
        <w:rPr>
          <w:rFonts w:hint="default" w:ascii="Times New Roman" w:hAnsi="Times New Roman" w:eastAsia="仿宋_GB2312" w:cs="Times New Roman"/>
          <w:sz w:val="32"/>
          <w:szCs w:val="32"/>
        </w:rPr>
      </w:pPr>
    </w:p>
    <w:p>
      <w:pPr>
        <w:spacing w:before="62" w:beforeLines="20"/>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3：</w:t>
      </w:r>
    </w:p>
    <w:p>
      <w:pPr>
        <w:pStyle w:val="11"/>
        <w:widowControl/>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b w:val="0"/>
          <w:bCs w:val="0"/>
          <w:sz w:val="32"/>
          <w:szCs w:val="32"/>
          <w:lang w:val="en-US" w:eastAsia="zh-CN"/>
        </w:rPr>
        <w:t>邵阳市北塔区行政审批服务局2022年度</w:t>
      </w:r>
      <w:r>
        <w:rPr>
          <w:rFonts w:hint="default" w:ascii="Times New Roman" w:hAnsi="Times New Roman" w:eastAsia="方正小标宋_GBK" w:cs="Times New Roman"/>
          <w:sz w:val="32"/>
          <w:szCs w:val="32"/>
        </w:rPr>
        <w:t>部门整体支出</w:t>
      </w:r>
    </w:p>
    <w:p>
      <w:pPr>
        <w:pStyle w:val="11"/>
        <w:widowControl/>
        <w:jc w:val="center"/>
        <w:rPr>
          <w:rFonts w:hint="default" w:ascii="Times New Roman" w:hAnsi="Times New Roman" w:eastAsia="方正小标宋_GBK" w:cs="Times New Roman"/>
          <w:color w:val="000000"/>
          <w:kern w:val="2"/>
          <w:sz w:val="32"/>
          <w:szCs w:val="32"/>
        </w:rPr>
      </w:pPr>
      <w:r>
        <w:rPr>
          <w:rFonts w:hint="default" w:ascii="Times New Roman" w:hAnsi="Times New Roman" w:eastAsia="方正小标宋_GBK" w:cs="Times New Roman"/>
          <w:sz w:val="32"/>
          <w:szCs w:val="32"/>
        </w:rPr>
        <w:t>绩效自评表</w:t>
      </w:r>
    </w:p>
    <w:tbl>
      <w:tblPr>
        <w:tblStyle w:val="15"/>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513"/>
        <w:gridCol w:w="755"/>
        <w:gridCol w:w="878"/>
        <w:gridCol w:w="847"/>
        <w:gridCol w:w="1003"/>
        <w:gridCol w:w="1695"/>
        <w:gridCol w:w="1230"/>
        <w:gridCol w:w="614"/>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90" w:hRule="atLeast"/>
          <w:jc w:val="center"/>
        </w:trPr>
        <w:tc>
          <w:tcPr>
            <w:tcW w:w="513" w:type="dxa"/>
            <w:vMerge w:val="restart"/>
            <w:noWrap w:val="0"/>
            <w:textDirection w:val="tbRlV"/>
            <w:vAlign w:val="center"/>
          </w:tcPr>
          <w:p>
            <w:pPr>
              <w:widowControl/>
              <w:ind w:left="113" w:right="113"/>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部门资金（万元）</w:t>
            </w:r>
          </w:p>
        </w:tc>
        <w:tc>
          <w:tcPr>
            <w:tcW w:w="2480"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p>
        </w:tc>
        <w:tc>
          <w:tcPr>
            <w:tcW w:w="1003"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全年预算数</w:t>
            </w:r>
          </w:p>
        </w:tc>
        <w:tc>
          <w:tcPr>
            <w:tcW w:w="1695"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全年执行数</w:t>
            </w:r>
          </w:p>
        </w:tc>
        <w:tc>
          <w:tcPr>
            <w:tcW w:w="1230"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预算执行率</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分值</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63" w:hRule="atLeast"/>
          <w:jc w:val="center"/>
        </w:trPr>
        <w:tc>
          <w:tcPr>
            <w:tcW w:w="513"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480"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年度资金总额　</w:t>
            </w:r>
          </w:p>
        </w:tc>
        <w:tc>
          <w:tcPr>
            <w:tcW w:w="1003"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i w:val="0"/>
                <w:iCs w:val="0"/>
                <w:caps w:val="0"/>
                <w:color w:val="000000"/>
                <w:spacing w:val="0"/>
                <w:sz w:val="21"/>
                <w:szCs w:val="21"/>
                <w:lang w:val="en-US" w:eastAsia="zh-CN"/>
              </w:rPr>
              <w:t>181.69</w:t>
            </w:r>
          </w:p>
        </w:tc>
        <w:tc>
          <w:tcPr>
            <w:tcW w:w="1695"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aps w:val="0"/>
                <w:color w:val="000000"/>
                <w:spacing w:val="0"/>
                <w:sz w:val="21"/>
                <w:szCs w:val="21"/>
                <w:lang w:val="en-US" w:eastAsia="zh-CN"/>
              </w:rPr>
              <w:t>414.73</w:t>
            </w:r>
          </w:p>
        </w:tc>
        <w:tc>
          <w:tcPr>
            <w:tcW w:w="1230" w:type="dxa"/>
            <w:noWrap w:val="0"/>
            <w:vAlign w:val="center"/>
          </w:tcPr>
          <w:p>
            <w:pPr>
              <w:widowControl/>
              <w:jc w:val="center"/>
              <w:rPr>
                <w:rFonts w:hint="default" w:ascii="Times New Roman" w:hAnsi="Times New Roman" w:cs="Times New Roman" w:eastAsiaTheme="minorEastAsia"/>
                <w:color w:val="000000"/>
                <w:kern w:val="0"/>
                <w:sz w:val="21"/>
                <w:szCs w:val="21"/>
                <w:lang w:val="en-US"/>
              </w:rPr>
            </w:pPr>
            <w:r>
              <w:rPr>
                <w:rFonts w:hint="default" w:ascii="Times New Roman" w:hAnsi="Times New Roman" w:cs="Times New Roman" w:eastAsiaTheme="minorEastAsia"/>
                <w:i w:val="0"/>
                <w:iCs w:val="0"/>
                <w:caps w:val="0"/>
                <w:color w:val="000000"/>
                <w:spacing w:val="0"/>
                <w:sz w:val="21"/>
                <w:szCs w:val="21"/>
                <w:lang w:val="en-US" w:eastAsia="zh-CN"/>
              </w:rPr>
              <w:t>228.26%</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63" w:hRule="atLeast"/>
          <w:jc w:val="center"/>
        </w:trPr>
        <w:tc>
          <w:tcPr>
            <w:tcW w:w="513"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3483" w:type="dxa"/>
            <w:gridSpan w:val="4"/>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按收入性质分类</w:t>
            </w:r>
          </w:p>
        </w:tc>
        <w:tc>
          <w:tcPr>
            <w:tcW w:w="4320" w:type="dxa"/>
            <w:gridSpan w:val="4"/>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63" w:hRule="atLeast"/>
          <w:jc w:val="center"/>
        </w:trPr>
        <w:tc>
          <w:tcPr>
            <w:tcW w:w="513"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480"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一般公共预算拨款</w:t>
            </w:r>
          </w:p>
        </w:tc>
        <w:tc>
          <w:tcPr>
            <w:tcW w:w="1003"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i w:val="0"/>
                <w:iCs w:val="0"/>
                <w:caps w:val="0"/>
                <w:color w:val="000000"/>
                <w:spacing w:val="0"/>
                <w:sz w:val="21"/>
                <w:szCs w:val="21"/>
                <w:lang w:val="en-US" w:eastAsia="zh-CN"/>
              </w:rPr>
              <w:t>395.56</w:t>
            </w:r>
          </w:p>
        </w:tc>
        <w:tc>
          <w:tcPr>
            <w:tcW w:w="2925"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基本支出</w:t>
            </w:r>
          </w:p>
        </w:tc>
        <w:tc>
          <w:tcPr>
            <w:tcW w:w="1395" w:type="dxa"/>
            <w:gridSpan w:val="2"/>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63" w:hRule="atLeast"/>
          <w:jc w:val="center"/>
        </w:trPr>
        <w:tc>
          <w:tcPr>
            <w:tcW w:w="513"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480"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政府性基金拨款</w:t>
            </w:r>
          </w:p>
        </w:tc>
        <w:tc>
          <w:tcPr>
            <w:tcW w:w="1003"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p>
        </w:tc>
        <w:tc>
          <w:tcPr>
            <w:tcW w:w="2925" w:type="dxa"/>
            <w:gridSpan w:val="2"/>
            <w:noWrap w:val="0"/>
            <w:vAlign w:val="center"/>
          </w:tcPr>
          <w:p>
            <w:pPr>
              <w:widowControl/>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bidi="ar"/>
              </w:rPr>
              <w:t xml:space="preserve">         1.人员经费</w:t>
            </w:r>
          </w:p>
        </w:tc>
        <w:tc>
          <w:tcPr>
            <w:tcW w:w="1395"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aps w:val="0"/>
                <w:color w:val="auto"/>
                <w:spacing w:val="0"/>
                <w:kern w:val="2"/>
                <w:sz w:val="21"/>
                <w:szCs w:val="21"/>
                <w:highlight w:val="none"/>
                <w:shd w:val="clear" w:fill="FFFFFF"/>
                <w:lang w:val="en-US" w:eastAsia="zh-CN" w:bidi="ar-SA"/>
              </w:rPr>
              <w:t>78.11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63" w:hRule="atLeast"/>
          <w:jc w:val="center"/>
        </w:trPr>
        <w:tc>
          <w:tcPr>
            <w:tcW w:w="513"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480"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纳入管理的非税收入拨款</w:t>
            </w:r>
          </w:p>
        </w:tc>
        <w:tc>
          <w:tcPr>
            <w:tcW w:w="1003"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925" w:type="dxa"/>
            <w:gridSpan w:val="2"/>
            <w:noWrap w:val="0"/>
            <w:vAlign w:val="center"/>
          </w:tcPr>
          <w:p>
            <w:pPr>
              <w:widowControl/>
              <w:ind w:firstLine="420" w:firstLineChars="20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bidi="ar"/>
              </w:rPr>
              <w:t xml:space="preserve">     2.公用经费</w:t>
            </w:r>
          </w:p>
        </w:tc>
        <w:tc>
          <w:tcPr>
            <w:tcW w:w="1395"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aps w:val="0"/>
                <w:color w:val="auto"/>
                <w:spacing w:val="0"/>
                <w:kern w:val="2"/>
                <w:sz w:val="21"/>
                <w:szCs w:val="21"/>
                <w:highlight w:val="none"/>
                <w:shd w:val="clear" w:fill="FFFFFF"/>
                <w:lang w:val="en-US" w:eastAsia="zh-CN" w:bidi="ar-SA"/>
              </w:rPr>
              <w:t>140.47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63" w:hRule="atLeast"/>
          <w:jc w:val="center"/>
        </w:trPr>
        <w:tc>
          <w:tcPr>
            <w:tcW w:w="513"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480"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……拨款</w:t>
            </w:r>
          </w:p>
        </w:tc>
        <w:tc>
          <w:tcPr>
            <w:tcW w:w="1003" w:type="dxa"/>
            <w:noWrap w:val="0"/>
            <w:vAlign w:val="center"/>
          </w:tcPr>
          <w:p>
            <w:pPr>
              <w:widowControl/>
              <w:jc w:val="center"/>
              <w:rPr>
                <w:rFonts w:hint="default" w:ascii="Times New Roman" w:hAnsi="Times New Roman" w:cs="Times New Roman" w:eastAsiaTheme="minorEastAsia"/>
                <w:color w:val="000000"/>
                <w:kern w:val="0"/>
                <w:sz w:val="21"/>
                <w:szCs w:val="21"/>
              </w:rPr>
            </w:pPr>
          </w:p>
        </w:tc>
        <w:tc>
          <w:tcPr>
            <w:tcW w:w="2925" w:type="dxa"/>
            <w:gridSpan w:val="2"/>
            <w:noWrap w:val="0"/>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其中：三公经费</w:t>
            </w:r>
          </w:p>
        </w:tc>
        <w:tc>
          <w:tcPr>
            <w:tcW w:w="1395"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63" w:hRule="atLeast"/>
          <w:jc w:val="center"/>
        </w:trPr>
        <w:tc>
          <w:tcPr>
            <w:tcW w:w="513"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480"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其他资金</w:t>
            </w:r>
          </w:p>
        </w:tc>
        <w:tc>
          <w:tcPr>
            <w:tcW w:w="1003"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aps w:val="0"/>
                <w:color w:val="000000"/>
                <w:spacing w:val="0"/>
                <w:sz w:val="21"/>
                <w:szCs w:val="21"/>
                <w:lang w:val="en-US" w:eastAsia="zh-CN"/>
              </w:rPr>
              <w:t>19.17</w:t>
            </w:r>
            <w:r>
              <w:rPr>
                <w:rFonts w:hint="default" w:ascii="Times New Roman" w:hAnsi="Times New Roman" w:cs="Times New Roman" w:eastAsiaTheme="minorEastAsia"/>
                <w:color w:val="000000"/>
                <w:kern w:val="0"/>
                <w:sz w:val="21"/>
                <w:szCs w:val="21"/>
              </w:rPr>
              <w:t>　</w:t>
            </w:r>
          </w:p>
        </w:tc>
        <w:tc>
          <w:tcPr>
            <w:tcW w:w="2925"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项目支出</w:t>
            </w:r>
          </w:p>
        </w:tc>
        <w:tc>
          <w:tcPr>
            <w:tcW w:w="1395"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aps w:val="0"/>
                <w:color w:val="auto"/>
                <w:spacing w:val="0"/>
                <w:kern w:val="2"/>
                <w:sz w:val="21"/>
                <w:szCs w:val="21"/>
                <w:highlight w:val="none"/>
                <w:shd w:val="clear" w:fill="FFFFFF"/>
                <w:lang w:val="en-US" w:eastAsia="zh-CN" w:bidi="ar-SA"/>
              </w:rPr>
              <w:t>196.14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90" w:hRule="atLeast"/>
          <w:jc w:val="center"/>
        </w:trPr>
        <w:tc>
          <w:tcPr>
            <w:tcW w:w="513" w:type="dxa"/>
            <w:vMerge w:val="restart"/>
            <w:noWrap w:val="0"/>
            <w:textDirection w:val="tbRlV"/>
            <w:vAlign w:val="center"/>
          </w:tcPr>
          <w:p>
            <w:pPr>
              <w:widowControl/>
              <w:ind w:left="113" w:right="113"/>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年度总体目标</w:t>
            </w:r>
          </w:p>
        </w:tc>
        <w:tc>
          <w:tcPr>
            <w:tcW w:w="3483" w:type="dxa"/>
            <w:gridSpan w:val="4"/>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年初预期（设定）目标　</w:t>
            </w:r>
          </w:p>
        </w:tc>
        <w:tc>
          <w:tcPr>
            <w:tcW w:w="4320" w:type="dxa"/>
            <w:gridSpan w:val="4"/>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921" w:hRule="atLeast"/>
          <w:jc w:val="center"/>
        </w:trPr>
        <w:tc>
          <w:tcPr>
            <w:tcW w:w="513"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3483" w:type="dxa"/>
            <w:gridSpan w:val="4"/>
            <w:noWrap w:val="0"/>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在本年度收支预算内，确保完成以下整体目标：</w:t>
            </w:r>
          </w:p>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目标1：人员经费按照相关政策及时发放到位</w:t>
            </w:r>
          </w:p>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目标2：严格控制三公经费，确保机关正常运行</w:t>
            </w:r>
          </w:p>
          <w:p>
            <w:pPr>
              <w:widowControl/>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目标3：做好社会保障工作</w:t>
            </w:r>
          </w:p>
        </w:tc>
        <w:tc>
          <w:tcPr>
            <w:tcW w:w="4320" w:type="dxa"/>
            <w:gridSpan w:val="4"/>
            <w:noWrap w:val="0"/>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按照财政预算，严控三公经费，2022年本单位正常运行，人员相关经费按照政策及时发放到位。民生支出及时到位，</w:t>
            </w:r>
            <w:r>
              <w:rPr>
                <w:rFonts w:hint="default" w:ascii="Times New Roman" w:hAnsi="Times New Roman" w:cs="Times New Roman" w:eastAsiaTheme="minorEastAsia"/>
                <w:color w:val="000000"/>
                <w:kern w:val="0"/>
                <w:sz w:val="21"/>
                <w:szCs w:val="21"/>
              </w:rPr>
              <w:t>本乡经济平稳发展</w:t>
            </w:r>
            <w:r>
              <w:rPr>
                <w:rFonts w:hint="default" w:ascii="Times New Roman" w:hAnsi="Times New Roman" w:cs="Times New Roman" w:eastAsiaTheme="minorEastAsia"/>
                <w:color w:val="000000"/>
                <w:kern w:val="0"/>
                <w:sz w:val="21"/>
                <w:szCs w:val="21"/>
                <w:lang w:eastAsia="zh-CN"/>
              </w:rPr>
              <w:t>。</w:t>
            </w:r>
            <w:r>
              <w:rPr>
                <w:rFonts w:hint="default" w:ascii="Times New Roman" w:hAnsi="Times New Roman" w:cs="Times New Roman" w:eastAsiaTheme="minorEastAsia"/>
                <w:color w:val="000000"/>
                <w:kern w:val="0"/>
                <w:sz w:val="21"/>
                <w:szCs w:val="21"/>
              </w:rPr>
              <w:t xml:space="preserve"> 　</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30" w:hRule="exact"/>
          <w:jc w:val="center"/>
        </w:trPr>
        <w:tc>
          <w:tcPr>
            <w:tcW w:w="513" w:type="dxa"/>
            <w:vMerge w:val="restart"/>
            <w:noWrap w:val="0"/>
            <w:textDirection w:val="tbRlV"/>
            <w:vAlign w:val="center"/>
          </w:tcPr>
          <w:p>
            <w:pPr>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绩效指标</w:t>
            </w:r>
          </w:p>
        </w:tc>
        <w:tc>
          <w:tcPr>
            <w:tcW w:w="755"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一级</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tc>
        <w:tc>
          <w:tcPr>
            <w:tcW w:w="878"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二级指标</w:t>
            </w:r>
          </w:p>
        </w:tc>
        <w:tc>
          <w:tcPr>
            <w:tcW w:w="1850"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三级指标　</w:t>
            </w:r>
          </w:p>
        </w:tc>
        <w:tc>
          <w:tcPr>
            <w:tcW w:w="1695"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年度指标值</w:t>
            </w:r>
          </w:p>
        </w:tc>
        <w:tc>
          <w:tcPr>
            <w:tcW w:w="1230"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实际完成值</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分值</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30" w:hRule="exact"/>
          <w:jc w:val="center"/>
        </w:trPr>
        <w:tc>
          <w:tcPr>
            <w:tcW w:w="513"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755"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产出</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（50分）</w:t>
            </w:r>
          </w:p>
        </w:tc>
        <w:tc>
          <w:tcPr>
            <w:tcW w:w="878"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数量指标</w:t>
            </w:r>
          </w:p>
        </w:tc>
        <w:tc>
          <w:tcPr>
            <w:tcW w:w="1850" w:type="dxa"/>
            <w:gridSpan w:val="2"/>
            <w:noWrap w:val="0"/>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sz w:val="21"/>
                <w:szCs w:val="21"/>
              </w:rPr>
              <w:t>组织编制发布政府信息公开指南和年报，编制发布政府信息公开工作年度报告</w:t>
            </w:r>
          </w:p>
        </w:tc>
        <w:tc>
          <w:tcPr>
            <w:tcW w:w="1695"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val="en-US" w:eastAsia="zh-CN"/>
              </w:rPr>
              <w:t>1个</w:t>
            </w:r>
          </w:p>
        </w:tc>
        <w:tc>
          <w:tcPr>
            <w:tcW w:w="1230"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1个</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21" w:hRule="exact"/>
          <w:jc w:val="center"/>
        </w:trPr>
        <w:tc>
          <w:tcPr>
            <w:tcW w:w="513"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755"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878"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1850" w:type="dxa"/>
            <w:gridSpan w:val="2"/>
            <w:noWrap w:val="0"/>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加强政府信息公开专栏、政务公开窗口等政务公开平台建设</w:t>
            </w:r>
          </w:p>
        </w:tc>
        <w:tc>
          <w:tcPr>
            <w:tcW w:w="1695"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val="en-US" w:eastAsia="zh-CN"/>
              </w:rPr>
              <w:t>符合省政务管理服务局对平台建设的要求</w:t>
            </w:r>
          </w:p>
        </w:tc>
        <w:tc>
          <w:tcPr>
            <w:tcW w:w="1230"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100%</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581" w:hRule="exact"/>
          <w:jc w:val="center"/>
        </w:trPr>
        <w:tc>
          <w:tcPr>
            <w:tcW w:w="513"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755"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878"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质量指标</w:t>
            </w:r>
          </w:p>
        </w:tc>
        <w:tc>
          <w:tcPr>
            <w:tcW w:w="1850" w:type="dxa"/>
            <w:gridSpan w:val="2"/>
            <w:noWrap w:val="0"/>
            <w:vAlign w:val="center"/>
          </w:tcPr>
          <w:p>
            <w:pPr>
              <w:widowControl/>
              <w:jc w:val="both"/>
              <w:textAlignment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督促指导、组织推进全区政务工作，确保政务信息依申请公开渠道畅通，依法依规办理政府信息依申请公开，做好政务公开工作</w:t>
            </w:r>
          </w:p>
        </w:tc>
        <w:tc>
          <w:tcPr>
            <w:tcW w:w="1695"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100%</w:t>
            </w:r>
          </w:p>
        </w:tc>
        <w:tc>
          <w:tcPr>
            <w:tcW w:w="1230"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val="en-US" w:eastAsia="zh-CN"/>
              </w:rPr>
              <w:t>98</w:t>
            </w:r>
            <w:r>
              <w:rPr>
                <w:rFonts w:hint="default" w:ascii="Times New Roman" w:hAnsi="Times New Roman" w:cs="Times New Roman" w:eastAsiaTheme="minorEastAsia"/>
                <w:color w:val="000000"/>
                <w:sz w:val="21"/>
                <w:szCs w:val="21"/>
              </w:rPr>
              <w:t>%</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9</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91" w:hRule="exact"/>
          <w:jc w:val="center"/>
        </w:trPr>
        <w:tc>
          <w:tcPr>
            <w:tcW w:w="513"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755"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878"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1850" w:type="dxa"/>
            <w:gridSpan w:val="2"/>
            <w:noWrap w:val="0"/>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实现一件事一次办</w:t>
            </w:r>
          </w:p>
        </w:tc>
        <w:tc>
          <w:tcPr>
            <w:tcW w:w="1695" w:type="dxa"/>
            <w:noWrap w:val="0"/>
            <w:vAlign w:val="center"/>
          </w:tcPr>
          <w:p>
            <w:pPr>
              <w:jc w:val="both"/>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100%</w:t>
            </w:r>
          </w:p>
        </w:tc>
        <w:tc>
          <w:tcPr>
            <w:tcW w:w="1230"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100%</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03" w:hRule="exact"/>
          <w:jc w:val="center"/>
        </w:trPr>
        <w:tc>
          <w:tcPr>
            <w:tcW w:w="513"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755"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878"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时效指标</w:t>
            </w:r>
          </w:p>
        </w:tc>
        <w:tc>
          <w:tcPr>
            <w:tcW w:w="1850" w:type="dxa"/>
            <w:gridSpan w:val="2"/>
            <w:noWrap w:val="0"/>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2022年度</w:t>
            </w:r>
          </w:p>
        </w:tc>
        <w:tc>
          <w:tcPr>
            <w:tcW w:w="1695" w:type="dxa"/>
            <w:noWrap w:val="0"/>
            <w:vAlign w:val="center"/>
          </w:tcPr>
          <w:p>
            <w:pPr>
              <w:jc w:val="both"/>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val="en-US" w:eastAsia="zh-CN"/>
              </w:rPr>
              <w:t>定性</w:t>
            </w:r>
          </w:p>
        </w:tc>
        <w:tc>
          <w:tcPr>
            <w:tcW w:w="1230"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val="en-US" w:eastAsia="zh-CN"/>
              </w:rPr>
              <w:t>定性</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91" w:hRule="exact"/>
          <w:jc w:val="center"/>
        </w:trPr>
        <w:tc>
          <w:tcPr>
            <w:tcW w:w="513"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755"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878"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成本指标</w:t>
            </w:r>
          </w:p>
        </w:tc>
        <w:tc>
          <w:tcPr>
            <w:tcW w:w="1850" w:type="dxa"/>
            <w:gridSpan w:val="2"/>
            <w:noWrap w:val="0"/>
            <w:vAlign w:val="center"/>
          </w:tcPr>
          <w:p>
            <w:pPr>
              <w:widowControl/>
              <w:jc w:val="both"/>
              <w:textAlignment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资金使用合规性</w:t>
            </w:r>
          </w:p>
        </w:tc>
        <w:tc>
          <w:tcPr>
            <w:tcW w:w="1695" w:type="dxa"/>
            <w:noWrap w:val="0"/>
            <w:vAlign w:val="center"/>
          </w:tcPr>
          <w:p>
            <w:pPr>
              <w:jc w:val="both"/>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val="en-US" w:eastAsia="zh-CN"/>
              </w:rPr>
              <w:t>合规</w:t>
            </w:r>
          </w:p>
        </w:tc>
        <w:tc>
          <w:tcPr>
            <w:tcW w:w="1230"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val="en-US" w:eastAsia="zh-CN"/>
              </w:rPr>
              <w:t>合规</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9</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24" w:hRule="exact"/>
          <w:jc w:val="center"/>
        </w:trPr>
        <w:tc>
          <w:tcPr>
            <w:tcW w:w="513"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绩效指标</w:t>
            </w:r>
          </w:p>
        </w:tc>
        <w:tc>
          <w:tcPr>
            <w:tcW w:w="755"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效益</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（30分）</w:t>
            </w:r>
          </w:p>
        </w:tc>
        <w:tc>
          <w:tcPr>
            <w:tcW w:w="878"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经济效益指标</w:t>
            </w:r>
          </w:p>
        </w:tc>
        <w:tc>
          <w:tcPr>
            <w:tcW w:w="1850" w:type="dxa"/>
            <w:gridSpan w:val="2"/>
            <w:noWrap w:val="0"/>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政府信息依法依规公开</w:t>
            </w:r>
          </w:p>
        </w:tc>
        <w:tc>
          <w:tcPr>
            <w:tcW w:w="1695" w:type="dxa"/>
            <w:noWrap w:val="0"/>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2"/>
                <w:sz w:val="21"/>
                <w:szCs w:val="21"/>
                <w:u w:val="none"/>
                <w:lang w:val="en-US" w:eastAsia="zh-CN" w:bidi="ar-SA"/>
              </w:rPr>
              <w:t>定性</w:t>
            </w:r>
          </w:p>
        </w:tc>
        <w:tc>
          <w:tcPr>
            <w:tcW w:w="1230"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bidi="ar-SA"/>
              </w:rPr>
              <w:t>达到95%以上</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24" w:hRule="exact"/>
          <w:jc w:val="center"/>
        </w:trPr>
        <w:tc>
          <w:tcPr>
            <w:tcW w:w="513"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755"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878"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社会效益指标</w:t>
            </w:r>
          </w:p>
        </w:tc>
        <w:tc>
          <w:tcPr>
            <w:tcW w:w="1850" w:type="dxa"/>
            <w:gridSpan w:val="2"/>
            <w:noWrap w:val="0"/>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共享互认资料、优化业务流程</w:t>
            </w:r>
          </w:p>
        </w:tc>
        <w:tc>
          <w:tcPr>
            <w:tcW w:w="1695" w:type="dxa"/>
            <w:noWrap w:val="0"/>
            <w:vAlign w:val="center"/>
          </w:tcPr>
          <w:p>
            <w:pPr>
              <w:widowControl/>
              <w:jc w:val="both"/>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i w:val="0"/>
                <w:iCs w:val="0"/>
                <w:color w:val="000000"/>
                <w:kern w:val="2"/>
                <w:sz w:val="21"/>
                <w:szCs w:val="21"/>
                <w:u w:val="none"/>
                <w:lang w:val="en-US" w:eastAsia="zh-CN" w:bidi="ar-SA"/>
              </w:rPr>
              <w:t>定性</w:t>
            </w:r>
          </w:p>
        </w:tc>
        <w:tc>
          <w:tcPr>
            <w:tcW w:w="1230"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群众满意</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24" w:hRule="exact"/>
          <w:jc w:val="center"/>
        </w:trPr>
        <w:tc>
          <w:tcPr>
            <w:tcW w:w="513"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755"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878" w:type="dxa"/>
            <w:vMerge w:val="continue"/>
            <w:noWrap w:val="0"/>
            <w:vAlign w:val="center"/>
          </w:tcPr>
          <w:p>
            <w:pPr>
              <w:widowControl/>
              <w:jc w:val="center"/>
              <w:rPr>
                <w:rFonts w:hint="default" w:ascii="Times New Roman" w:hAnsi="Times New Roman" w:cs="Times New Roman" w:eastAsiaTheme="minorEastAsia"/>
                <w:color w:val="000000"/>
                <w:kern w:val="0"/>
                <w:sz w:val="21"/>
                <w:szCs w:val="21"/>
              </w:rPr>
            </w:pPr>
          </w:p>
        </w:tc>
        <w:tc>
          <w:tcPr>
            <w:tcW w:w="1850" w:type="dxa"/>
            <w:gridSpan w:val="2"/>
            <w:noWrap w:val="0"/>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精简申请材料、集成高效审批</w:t>
            </w:r>
          </w:p>
        </w:tc>
        <w:tc>
          <w:tcPr>
            <w:tcW w:w="1695" w:type="dxa"/>
            <w:noWrap w:val="0"/>
            <w:vAlign w:val="center"/>
          </w:tcPr>
          <w:p>
            <w:pPr>
              <w:widowControl/>
              <w:jc w:val="both"/>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i w:val="0"/>
                <w:iCs w:val="0"/>
                <w:color w:val="000000"/>
                <w:kern w:val="2"/>
                <w:sz w:val="21"/>
                <w:szCs w:val="21"/>
                <w:u w:val="none"/>
                <w:lang w:val="en-US" w:eastAsia="zh-CN" w:bidi="ar-SA"/>
              </w:rPr>
              <w:t>定性</w:t>
            </w:r>
          </w:p>
        </w:tc>
        <w:tc>
          <w:tcPr>
            <w:tcW w:w="1230"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群众满意</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bidi="ar-SA"/>
              </w:rPr>
              <w:t>4</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24" w:hRule="exact"/>
          <w:jc w:val="center"/>
        </w:trPr>
        <w:tc>
          <w:tcPr>
            <w:tcW w:w="513"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755"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878" w:type="dxa"/>
            <w:vMerge w:val="continue"/>
            <w:noWrap w:val="0"/>
            <w:vAlign w:val="center"/>
          </w:tcPr>
          <w:p>
            <w:pPr>
              <w:widowControl/>
              <w:jc w:val="center"/>
              <w:rPr>
                <w:rFonts w:hint="default" w:ascii="Times New Roman" w:hAnsi="Times New Roman" w:cs="Times New Roman" w:eastAsiaTheme="minorEastAsia"/>
                <w:color w:val="000000"/>
                <w:kern w:val="0"/>
                <w:sz w:val="21"/>
                <w:szCs w:val="21"/>
              </w:rPr>
            </w:pPr>
          </w:p>
        </w:tc>
        <w:tc>
          <w:tcPr>
            <w:tcW w:w="1850" w:type="dxa"/>
            <w:gridSpan w:val="2"/>
            <w:noWrap w:val="0"/>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实现一件事一次办</w:t>
            </w:r>
          </w:p>
        </w:tc>
        <w:tc>
          <w:tcPr>
            <w:tcW w:w="1695" w:type="dxa"/>
            <w:noWrap w:val="0"/>
            <w:vAlign w:val="center"/>
          </w:tcPr>
          <w:p>
            <w:pPr>
              <w:widowControl/>
              <w:jc w:val="both"/>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i w:val="0"/>
                <w:iCs w:val="0"/>
                <w:color w:val="000000"/>
                <w:kern w:val="2"/>
                <w:sz w:val="21"/>
                <w:szCs w:val="21"/>
                <w:u w:val="none"/>
                <w:lang w:val="en-US" w:eastAsia="zh-CN" w:bidi="ar-SA"/>
              </w:rPr>
              <w:t>定性</w:t>
            </w:r>
          </w:p>
        </w:tc>
        <w:tc>
          <w:tcPr>
            <w:tcW w:w="1230"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有所提高</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634" w:hRule="exact"/>
          <w:jc w:val="center"/>
        </w:trPr>
        <w:tc>
          <w:tcPr>
            <w:tcW w:w="513"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755"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878"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生态效益指标</w:t>
            </w:r>
          </w:p>
        </w:tc>
        <w:tc>
          <w:tcPr>
            <w:tcW w:w="1850" w:type="dxa"/>
            <w:gridSpan w:val="2"/>
            <w:noWrap w:val="0"/>
            <w:vAlign w:val="center"/>
          </w:tcPr>
          <w:p>
            <w:pPr>
              <w:pStyle w:val="3"/>
              <w:ind w:left="0" w:leftChars="0" w:right="0" w:rightChars="0" w:firstLine="0" w:firstLineChars="0"/>
              <w:jc w:val="both"/>
              <w:rPr>
                <w:rFonts w:hint="default" w:ascii="Times New Roman" w:hAnsi="Times New Roman" w:cs="Times New Roman" w:eastAsiaTheme="minorEastAsia"/>
                <w:b/>
                <w:kern w:val="44"/>
                <w:sz w:val="21"/>
                <w:szCs w:val="21"/>
                <w:lang w:val="en-US" w:eastAsia="zh-CN" w:bidi="ar"/>
              </w:rPr>
            </w:pPr>
            <w:bookmarkStart w:id="125" w:name="_Toc13179"/>
            <w:r>
              <w:rPr>
                <w:rFonts w:hint="default" w:ascii="Times New Roman" w:hAnsi="Times New Roman" w:cs="Times New Roman" w:eastAsiaTheme="minorEastAsia"/>
                <w:b w:val="0"/>
                <w:color w:val="000000"/>
                <w:kern w:val="2"/>
                <w:sz w:val="21"/>
                <w:szCs w:val="21"/>
                <w:lang w:val="en-US" w:eastAsia="zh-CN" w:bidi="ar-SA"/>
              </w:rPr>
              <w:t>生态文明</w:t>
            </w:r>
            <w:bookmarkEnd w:id="125"/>
          </w:p>
        </w:tc>
        <w:tc>
          <w:tcPr>
            <w:tcW w:w="1695" w:type="dxa"/>
            <w:noWrap w:val="0"/>
            <w:vAlign w:val="center"/>
          </w:tcPr>
          <w:p>
            <w:pPr>
              <w:widowControl/>
              <w:jc w:val="both"/>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将卫生环境保护贯穿到辖区村（社区）、丰富文化生活，加强乡风文明建设，着力建设生态环保，节能高效的社会环境</w:t>
            </w:r>
          </w:p>
        </w:tc>
        <w:tc>
          <w:tcPr>
            <w:tcW w:w="1230"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有所提升</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780" w:hRule="exact"/>
          <w:jc w:val="center"/>
        </w:trPr>
        <w:tc>
          <w:tcPr>
            <w:tcW w:w="513"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755"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878"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可持续影响指标</w:t>
            </w:r>
          </w:p>
        </w:tc>
        <w:tc>
          <w:tcPr>
            <w:tcW w:w="1850" w:type="dxa"/>
            <w:gridSpan w:val="2"/>
            <w:noWrap w:val="0"/>
            <w:vAlign w:val="center"/>
          </w:tcPr>
          <w:p>
            <w:pPr>
              <w:widowControl/>
              <w:jc w:val="both"/>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文明环境</w:t>
            </w:r>
          </w:p>
        </w:tc>
        <w:tc>
          <w:tcPr>
            <w:tcW w:w="1695" w:type="dxa"/>
            <w:noWrap w:val="0"/>
            <w:vAlign w:val="center"/>
          </w:tcPr>
          <w:p>
            <w:pPr>
              <w:widowControl/>
              <w:jc w:val="both"/>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通过乡风文明建设逐步提高民众思想文化素养，创造持续的文明环境</w:t>
            </w:r>
          </w:p>
        </w:tc>
        <w:tc>
          <w:tcPr>
            <w:tcW w:w="1230"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民众思想文化素养</w:t>
            </w:r>
            <w:r>
              <w:rPr>
                <w:rFonts w:hint="default" w:ascii="Times New Roman" w:hAnsi="Times New Roman" w:cs="Times New Roman" w:eastAsiaTheme="minorEastAsia"/>
                <w:color w:val="000000"/>
                <w:sz w:val="21"/>
                <w:szCs w:val="21"/>
                <w:lang w:val="en-US" w:eastAsia="zh-CN"/>
              </w:rPr>
              <w:t>提高，文明环境持续加强</w:t>
            </w:r>
          </w:p>
        </w:tc>
        <w:tc>
          <w:tcPr>
            <w:tcW w:w="614" w:type="dxa"/>
            <w:noWrap w:val="0"/>
            <w:vAlign w:val="center"/>
          </w:tcPr>
          <w:p>
            <w:pPr>
              <w:widowControl/>
              <w:spacing w:line="280" w:lineRule="exact"/>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c>
          <w:tcPr>
            <w:tcW w:w="781" w:type="dxa"/>
            <w:noWrap w:val="0"/>
            <w:vAlign w:val="center"/>
          </w:tcPr>
          <w:p>
            <w:pPr>
              <w:widowControl/>
              <w:spacing w:line="280" w:lineRule="exact"/>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82" w:hRule="exact"/>
          <w:jc w:val="center"/>
        </w:trPr>
        <w:tc>
          <w:tcPr>
            <w:tcW w:w="513"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755"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满意度</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（10分）</w:t>
            </w:r>
          </w:p>
        </w:tc>
        <w:tc>
          <w:tcPr>
            <w:tcW w:w="878"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社会公众或服务对象满意度指标</w:t>
            </w:r>
          </w:p>
        </w:tc>
        <w:tc>
          <w:tcPr>
            <w:tcW w:w="1850" w:type="dxa"/>
            <w:gridSpan w:val="2"/>
            <w:noWrap w:val="0"/>
            <w:vAlign w:val="center"/>
          </w:tcPr>
          <w:p>
            <w:pPr>
              <w:widowControl/>
              <w:jc w:val="both"/>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干部职工满意度</w:t>
            </w:r>
          </w:p>
        </w:tc>
        <w:tc>
          <w:tcPr>
            <w:tcW w:w="1695" w:type="dxa"/>
            <w:noWrap w:val="0"/>
            <w:vAlign w:val="center"/>
          </w:tcPr>
          <w:p>
            <w:pPr>
              <w:widowControl/>
              <w:jc w:val="both"/>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员工满意度≥95%</w:t>
            </w:r>
          </w:p>
        </w:tc>
        <w:tc>
          <w:tcPr>
            <w:tcW w:w="1230"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98%</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90" w:hRule="exact"/>
          <w:jc w:val="center"/>
        </w:trPr>
        <w:tc>
          <w:tcPr>
            <w:tcW w:w="513"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755"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878"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1850" w:type="dxa"/>
            <w:gridSpan w:val="2"/>
            <w:noWrap w:val="0"/>
            <w:vAlign w:val="center"/>
          </w:tcPr>
          <w:p>
            <w:pPr>
              <w:widowControl/>
              <w:jc w:val="both"/>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社会公众</w:t>
            </w:r>
            <w:r>
              <w:rPr>
                <w:rFonts w:hint="default" w:ascii="Times New Roman" w:hAnsi="Times New Roman" w:cs="Times New Roman" w:eastAsiaTheme="minorEastAsia"/>
                <w:color w:val="000000"/>
                <w:sz w:val="21"/>
                <w:szCs w:val="21"/>
                <w:lang w:val="en-US" w:eastAsia="zh-CN"/>
              </w:rPr>
              <w:t>或</w:t>
            </w:r>
            <w:r>
              <w:rPr>
                <w:rFonts w:hint="default" w:ascii="Times New Roman" w:hAnsi="Times New Roman" w:cs="Times New Roman" w:eastAsiaTheme="minorEastAsia"/>
                <w:color w:val="000000"/>
                <w:sz w:val="21"/>
                <w:szCs w:val="21"/>
              </w:rPr>
              <w:t>服务对象满意度</w:t>
            </w:r>
          </w:p>
        </w:tc>
        <w:tc>
          <w:tcPr>
            <w:tcW w:w="1695" w:type="dxa"/>
            <w:noWrap w:val="0"/>
            <w:vAlign w:val="center"/>
          </w:tcPr>
          <w:p>
            <w:pPr>
              <w:widowControl/>
              <w:jc w:val="both"/>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社会公众或服务对象满意度≥95%</w:t>
            </w:r>
          </w:p>
        </w:tc>
        <w:tc>
          <w:tcPr>
            <w:tcW w:w="1230"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98%</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r>
    </w:tbl>
    <w:p/>
    <w:p>
      <w:pPr>
        <w:pStyle w:val="12"/>
        <w:rPr>
          <w:rFonts w:hint="default" w:ascii="Times New Roman Regular" w:hAnsi="Times New Roman Regular" w:eastAsia="仿宋" w:cs="Times New Roman Regular"/>
          <w:b w:val="0"/>
          <w:bCs w:val="0"/>
          <w:sz w:val="31"/>
          <w:szCs w:val="31"/>
          <w:lang w:val="en-US" w:eastAsia="zh-CN"/>
        </w:rPr>
      </w:pPr>
    </w:p>
    <w:p>
      <w:pPr>
        <w:pStyle w:val="12"/>
        <w:rPr>
          <w:rFonts w:hint="default" w:ascii="Times New Roman Regular" w:hAnsi="Times New Roman Regular" w:eastAsia="仿宋" w:cs="Times New Roman Regular"/>
          <w:b w:val="0"/>
          <w:bCs w:val="0"/>
          <w:sz w:val="31"/>
          <w:szCs w:val="31"/>
          <w:lang w:val="en-US" w:eastAsia="zh-CN"/>
        </w:rPr>
      </w:pPr>
    </w:p>
    <w:p>
      <w:pPr>
        <w:pStyle w:val="12"/>
        <w:rPr>
          <w:rFonts w:hint="default" w:ascii="Times New Roman Regular" w:hAnsi="Times New Roman Regular" w:eastAsia="仿宋" w:cs="Times New Roman Regular"/>
          <w:b w:val="0"/>
          <w:bCs w:val="0"/>
          <w:sz w:val="31"/>
          <w:szCs w:val="31"/>
          <w:lang w:val="en-US" w:eastAsia="zh-CN"/>
        </w:rPr>
      </w:pPr>
    </w:p>
    <w:p>
      <w:pPr>
        <w:pStyle w:val="12"/>
        <w:rPr>
          <w:rFonts w:hint="default" w:ascii="Times New Roman Regular" w:hAnsi="Times New Roman Regular" w:eastAsia="仿宋" w:cs="Times New Roman Regular"/>
          <w:b w:val="0"/>
          <w:bCs w:val="0"/>
          <w:sz w:val="31"/>
          <w:szCs w:val="31"/>
          <w:lang w:val="en-US" w:eastAsia="zh-CN"/>
        </w:rPr>
      </w:pPr>
    </w:p>
    <w:p>
      <w:pPr>
        <w:pStyle w:val="12"/>
        <w:rPr>
          <w:rFonts w:hint="default" w:ascii="Times New Roman Regular" w:hAnsi="Times New Roman Regular" w:eastAsia="仿宋" w:cs="Times New Roman Regular"/>
          <w:b w:val="0"/>
          <w:bCs w:val="0"/>
          <w:sz w:val="31"/>
          <w:szCs w:val="31"/>
          <w:lang w:val="en-US" w:eastAsia="zh-CN"/>
        </w:rPr>
      </w:pPr>
    </w:p>
    <w:p>
      <w:pPr>
        <w:pStyle w:val="12"/>
        <w:rPr>
          <w:rFonts w:hint="default" w:ascii="Times New Roman Regular" w:hAnsi="Times New Roman Regular" w:eastAsia="仿宋" w:cs="Times New Roman Regular"/>
          <w:b w:val="0"/>
          <w:bCs w:val="0"/>
          <w:sz w:val="31"/>
          <w:szCs w:val="31"/>
          <w:lang w:val="en-US" w:eastAsia="zh-CN"/>
        </w:rPr>
      </w:pPr>
    </w:p>
    <w:p>
      <w:pPr>
        <w:pStyle w:val="12"/>
        <w:rPr>
          <w:rFonts w:hint="default" w:ascii="Times New Roman Regular" w:hAnsi="Times New Roman Regular" w:eastAsia="仿宋" w:cs="Times New Roman Regular"/>
          <w:b w:val="0"/>
          <w:bCs w:val="0"/>
          <w:sz w:val="31"/>
          <w:szCs w:val="31"/>
          <w:lang w:val="en-US" w:eastAsia="zh-CN"/>
        </w:rPr>
      </w:pPr>
    </w:p>
    <w:p>
      <w:pPr>
        <w:pStyle w:val="11"/>
        <w:widowControl/>
        <w:jc w:val="left"/>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附件4：</w:t>
      </w:r>
    </w:p>
    <w:p>
      <w:pPr>
        <w:pStyle w:val="11"/>
        <w:widowControl/>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b w:val="0"/>
          <w:bCs w:val="0"/>
          <w:sz w:val="32"/>
          <w:szCs w:val="32"/>
          <w:lang w:val="en-US" w:eastAsia="zh-CN"/>
        </w:rPr>
        <w:t>邵阳市北塔区行政审批服务局2022年度</w:t>
      </w:r>
      <w:r>
        <w:rPr>
          <w:rFonts w:hint="default" w:ascii="Times New Roman" w:hAnsi="Times New Roman" w:eastAsia="方正小标宋_GBK" w:cs="Times New Roman"/>
          <w:sz w:val="32"/>
          <w:szCs w:val="32"/>
        </w:rPr>
        <w:t>部门整体支出</w:t>
      </w:r>
    </w:p>
    <w:p>
      <w:pPr>
        <w:pStyle w:val="11"/>
        <w:widowControl/>
        <w:jc w:val="center"/>
        <w:rPr>
          <w:rFonts w:hint="default" w:ascii="Times New Roman" w:hAnsi="Times New Roman" w:eastAsia="方正小标宋_GBK" w:cs="Times New Roman"/>
          <w:color w:val="000000"/>
          <w:kern w:val="2"/>
          <w:sz w:val="32"/>
          <w:szCs w:val="32"/>
        </w:rPr>
      </w:pPr>
      <w:r>
        <w:rPr>
          <w:rFonts w:hint="default" w:ascii="Times New Roman" w:hAnsi="Times New Roman" w:eastAsia="方正小标宋_GBK" w:cs="Times New Roman"/>
          <w:sz w:val="32"/>
          <w:szCs w:val="32"/>
          <w:lang w:val="en-US" w:eastAsia="zh-CN"/>
        </w:rPr>
        <w:t>项目</w:t>
      </w:r>
      <w:r>
        <w:rPr>
          <w:rFonts w:hint="default" w:ascii="Times New Roman" w:hAnsi="Times New Roman" w:eastAsia="方正小标宋_GBK" w:cs="Times New Roman"/>
          <w:sz w:val="32"/>
          <w:szCs w:val="32"/>
        </w:rPr>
        <w:t>绩效自评表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820"/>
        <w:gridCol w:w="768"/>
        <w:gridCol w:w="1064"/>
        <w:gridCol w:w="1127"/>
        <w:gridCol w:w="1127"/>
        <w:gridCol w:w="617"/>
        <w:gridCol w:w="1152"/>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项目支</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出名称</w:t>
            </w:r>
          </w:p>
        </w:tc>
        <w:tc>
          <w:tcPr>
            <w:tcW w:w="4478" w:type="pct"/>
            <w:gridSpan w:val="8"/>
            <w:noWrap w:val="0"/>
            <w:vAlign w:val="center"/>
          </w:tcPr>
          <w:p>
            <w:pPr>
              <w:keepNext w:val="0"/>
              <w:keepLines w:val="0"/>
              <w:pageBreakBefore w:val="0"/>
              <w:widowControl/>
              <w:tabs>
                <w:tab w:val="left" w:pos="443"/>
                <w:tab w:val="center" w:pos="4442"/>
              </w:tabs>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rPr>
            </w:pPr>
            <w:r>
              <w:rPr>
                <w:rFonts w:hint="default" w:ascii="Times New Roman" w:hAnsi="Times New Roman" w:cs="Times New Roman" w:eastAsiaTheme="minorEastAsia"/>
                <w:color w:val="000000"/>
                <w:kern w:val="0"/>
                <w:sz w:val="21"/>
                <w:szCs w:val="21"/>
                <w:lang w:val="en-US" w:eastAsia="zh-CN"/>
              </w:rPr>
              <w:t>政务外网经费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主管部门</w:t>
            </w:r>
          </w:p>
        </w:tc>
        <w:tc>
          <w:tcPr>
            <w:tcW w:w="2260"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邵阳市北塔区行政审批服务局</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实施单位</w:t>
            </w:r>
          </w:p>
        </w:tc>
        <w:tc>
          <w:tcPr>
            <w:tcW w:w="1655" w:type="pct"/>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项目资金（万元）</w:t>
            </w:r>
          </w:p>
        </w:tc>
        <w:tc>
          <w:tcPr>
            <w:tcW w:w="10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年初</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预算数</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全年</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预算数</w:t>
            </w:r>
          </w:p>
        </w:tc>
        <w:tc>
          <w:tcPr>
            <w:tcW w:w="56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全年</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执行数</w:t>
            </w:r>
          </w:p>
        </w:tc>
        <w:tc>
          <w:tcPr>
            <w:tcW w:w="398"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分值</w:t>
            </w:r>
          </w:p>
        </w:tc>
        <w:tc>
          <w:tcPr>
            <w:tcW w:w="569"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执行率</w:t>
            </w:r>
          </w:p>
        </w:tc>
        <w:tc>
          <w:tcPr>
            <w:tcW w:w="68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10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年度资金总额　</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aps w:val="0"/>
                <w:color w:val="auto"/>
                <w:spacing w:val="0"/>
                <w:kern w:val="2"/>
                <w:sz w:val="21"/>
                <w:szCs w:val="21"/>
                <w:highlight w:val="none"/>
                <w:shd w:val="clear" w:fill="FFFFFF"/>
                <w:lang w:val="en-US" w:eastAsia="zh-CN" w:bidi="ar-SA"/>
              </w:rPr>
              <w:t>100.5</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aps w:val="0"/>
                <w:color w:val="auto"/>
                <w:spacing w:val="0"/>
                <w:kern w:val="2"/>
                <w:sz w:val="21"/>
                <w:szCs w:val="21"/>
                <w:highlight w:val="none"/>
                <w:shd w:val="clear" w:fill="FFFFFF"/>
                <w:lang w:val="en-US" w:eastAsia="zh-CN" w:bidi="ar-SA"/>
              </w:rPr>
              <w:t>196.14</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aps w:val="0"/>
                <w:color w:val="auto"/>
                <w:spacing w:val="0"/>
                <w:kern w:val="2"/>
                <w:sz w:val="21"/>
                <w:szCs w:val="21"/>
                <w:highlight w:val="none"/>
                <w:shd w:val="clear" w:fill="FFFFFF"/>
                <w:lang w:val="en-US" w:eastAsia="zh-CN" w:bidi="ar-SA"/>
              </w:rPr>
              <w:t>196.14</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195.16%</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10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其中：当年财政拨款　</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aps w:val="0"/>
                <w:color w:val="auto"/>
                <w:spacing w:val="0"/>
                <w:kern w:val="2"/>
                <w:sz w:val="21"/>
                <w:szCs w:val="21"/>
                <w:highlight w:val="none"/>
                <w:shd w:val="clear" w:fill="FFFFFF"/>
                <w:lang w:val="en-US" w:eastAsia="zh-CN" w:bidi="ar-SA"/>
              </w:rPr>
              <w:t>100.5</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aps w:val="0"/>
                <w:color w:val="auto"/>
                <w:spacing w:val="0"/>
                <w:kern w:val="2"/>
                <w:sz w:val="21"/>
                <w:szCs w:val="21"/>
                <w:highlight w:val="none"/>
                <w:shd w:val="clear" w:fill="FFFFFF"/>
                <w:lang w:val="en-US" w:eastAsia="zh-CN" w:bidi="ar-SA"/>
              </w:rPr>
              <w:t>196.14</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aps w:val="0"/>
                <w:color w:val="auto"/>
                <w:spacing w:val="0"/>
                <w:kern w:val="2"/>
                <w:sz w:val="21"/>
                <w:szCs w:val="21"/>
                <w:highlight w:val="none"/>
                <w:shd w:val="clear" w:fill="FFFFFF"/>
                <w:lang w:val="en-US" w:eastAsia="zh-CN" w:bidi="ar-SA"/>
              </w:rPr>
              <w:t>196.14</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195.16%</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10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上年结转资金　</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10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其他资金</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年度总体目标</w:t>
            </w:r>
          </w:p>
        </w:tc>
        <w:tc>
          <w:tcPr>
            <w:tcW w:w="2260"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预期目标</w:t>
            </w:r>
          </w:p>
        </w:tc>
        <w:tc>
          <w:tcPr>
            <w:tcW w:w="2218"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2260"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eastAsiaTheme="minorEastAsia"/>
                <w:b/>
                <w:bCs/>
                <w:i w:val="0"/>
                <w:iCs w:val="0"/>
                <w:color w:val="000000"/>
                <w:kern w:val="2"/>
                <w:sz w:val="21"/>
                <w:szCs w:val="21"/>
                <w:u w:val="none"/>
                <w:lang w:val="en-US" w:eastAsia="zh-CN" w:bidi="ar-SA"/>
              </w:rPr>
            </w:pPr>
            <w:r>
              <w:rPr>
                <w:rFonts w:hint="default" w:ascii="Times New Roman" w:hAnsi="Times New Roman" w:cs="Times New Roman" w:eastAsiaTheme="minorEastAsia"/>
                <w:b w:val="0"/>
                <w:bCs w:val="0"/>
                <w:i w:val="0"/>
                <w:iCs w:val="0"/>
                <w:color w:val="000000"/>
                <w:kern w:val="0"/>
                <w:sz w:val="21"/>
                <w:szCs w:val="21"/>
                <w:u w:val="none"/>
                <w:lang w:val="en-US" w:eastAsia="zh-CN" w:bidi="ar"/>
              </w:rPr>
              <w:t>提升电子政务网络承载能力，保障电子政务统一网络平台稳定高效运行。</w:t>
            </w:r>
          </w:p>
        </w:tc>
        <w:tc>
          <w:tcPr>
            <w:tcW w:w="2218"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完成情况良好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绩</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效</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标</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一级指标</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二级指标</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三级指标</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指标值</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实际</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完成值</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分值</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得分</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偏差原因</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分析及</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3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Times New Roman" w:hAnsi="Times New Roman" w:cs="Times New Roman" w:eastAsiaTheme="minorEastAsia"/>
                <w:color w:val="000000"/>
                <w:kern w:val="0"/>
                <w:sz w:val="21"/>
                <w:szCs w:val="21"/>
                <w:lang w:eastAsia="zh-CN"/>
              </w:rPr>
            </w:pPr>
            <w:r>
              <w:rPr>
                <w:rFonts w:hint="default" w:ascii="Times New Roman" w:hAnsi="Times New Roman" w:cs="Times New Roman" w:eastAsiaTheme="minorEastAsia"/>
                <w:color w:val="000000"/>
                <w:kern w:val="0"/>
                <w:sz w:val="21"/>
                <w:szCs w:val="21"/>
              </w:rPr>
              <w:t>产出指标</w:t>
            </w:r>
            <w:r>
              <w:rPr>
                <w:rFonts w:hint="eastAsia" w:ascii="Times New Roman" w:hAnsi="Times New Roman" w:cs="Times New Roman"/>
                <w:color w:val="000000"/>
                <w:kern w:val="0"/>
                <w:sz w:val="21"/>
                <w:szCs w:val="21"/>
                <w:lang w:eastAsia="zh-CN"/>
              </w:rPr>
              <w:t>（</w:t>
            </w:r>
            <w:r>
              <w:rPr>
                <w:rFonts w:hint="default" w:ascii="Times New Roman" w:hAnsi="Times New Roman" w:cs="Times New Roman" w:eastAsiaTheme="minorEastAsia"/>
                <w:color w:val="000000"/>
                <w:kern w:val="0"/>
                <w:sz w:val="21"/>
                <w:szCs w:val="21"/>
              </w:rPr>
              <w:t>50分</w:t>
            </w:r>
            <w:r>
              <w:rPr>
                <w:rFonts w:hint="eastAsia" w:ascii="Times New Roman" w:hAnsi="Times New Roman" w:cs="Times New Roman"/>
                <w:color w:val="000000"/>
                <w:kern w:val="0"/>
                <w:sz w:val="21"/>
                <w:szCs w:val="21"/>
                <w:lang w:eastAsia="zh-CN"/>
              </w:rPr>
              <w:t>）</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数量指标</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电子政务网络覆盖率</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100%</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100%</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3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质量指标</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网络通畅率</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100%</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100%</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3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时效指标</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故障处理及时率</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100%</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98%</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8</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3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成本指标</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sz w:val="21"/>
                <w:szCs w:val="21"/>
                <w:lang w:val="en-US" w:eastAsia="zh-CN"/>
              </w:rPr>
              <w:t>指标不超出预算安排</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≤196.14万无</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≤196.14万无</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10</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3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效益指标（30分）</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益指标</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优化资源，提高财政资金使用效益</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逐步提高</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逐步提高</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2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3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益指标</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政府机关工作效率提升程度持续提高</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成效明显</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成效明显</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8</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3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益指标</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提高环境保护资金使用效益加强支持环境治理</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持续提高</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持续提高</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9</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绩</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效</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标</w:t>
            </w:r>
          </w:p>
        </w:tc>
        <w:tc>
          <w:tcPr>
            <w:tcW w:w="53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可持续影响指标</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sz w:val="21"/>
                <w:szCs w:val="21"/>
                <w:lang w:val="en-US" w:eastAsia="zh-CN"/>
              </w:rPr>
              <w:t>降能节耗，节约财政资金，提升服务质量</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持续提升</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持续提升</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9</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满意度</w:t>
            </w: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指标（10分）</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服务对象满意度指标</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rPr>
            </w:pPr>
            <w:r>
              <w:rPr>
                <w:rFonts w:hint="default" w:ascii="Times New Roman" w:hAnsi="Times New Roman" w:cs="Times New Roman" w:eastAsiaTheme="minorEastAsia"/>
                <w:color w:val="000000"/>
                <w:kern w:val="0"/>
                <w:sz w:val="21"/>
                <w:szCs w:val="21"/>
                <w:lang w:val="en-US" w:eastAsia="zh-CN"/>
              </w:rPr>
              <w:t>社会公众或服务对象满意度</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w:t>
            </w:r>
            <w:r>
              <w:rPr>
                <w:rFonts w:hint="default" w:ascii="Times New Roman" w:hAnsi="Times New Roman" w:cs="Times New Roman" w:eastAsiaTheme="minorEastAsia"/>
                <w:color w:val="000000"/>
                <w:kern w:val="0"/>
                <w:sz w:val="21"/>
                <w:szCs w:val="21"/>
                <w:lang w:val="en-US" w:eastAsia="zh-CN"/>
              </w:rPr>
              <w:t>95%</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90%</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8</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4" w:type="pct"/>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总分</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94</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bl>
    <w:p>
      <w:pPr>
        <w:pStyle w:val="12"/>
        <w:rPr>
          <w:rFonts w:hint="default" w:ascii="Times New Roman Regular" w:hAnsi="Times New Roman Regular" w:eastAsia="仿宋" w:cs="Times New Roman Regular"/>
          <w:b w:val="0"/>
          <w:bCs w:val="0"/>
          <w:sz w:val="31"/>
          <w:szCs w:val="31"/>
          <w:lang w:val="en-US" w:eastAsia="zh-CN"/>
        </w:rPr>
      </w:pPr>
    </w:p>
    <w:sectPr>
      <w:headerReference r:id="rId7" w:type="default"/>
      <w:footerReference r:id="rId8" w:type="default"/>
      <w:pgSz w:w="11906" w:h="16838"/>
      <w:pgMar w:top="1440" w:right="1803" w:bottom="1440" w:left="1803" w:header="567"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Times New Roman Regular">
    <w:altName w:val="DejaVu Sans"/>
    <w:panose1 w:val="02020603050405020304"/>
    <w:charset w:val="00"/>
    <w:family w:val="auto"/>
    <w:pitch w:val="default"/>
    <w:sig w:usb0="00000000" w:usb1="00000000" w:usb2="00000009" w:usb3="00000000" w:csb0="400001FF" w:csb1="FFFF0000"/>
  </w:font>
  <w:font w:name="方正小标宋_GBK">
    <w:panose1 w:val="02000000000000000000"/>
    <w:charset w:val="86"/>
    <w:family w:val="auto"/>
    <w:pitch w:val="default"/>
    <w:sig w:usb0="A00002BF" w:usb1="38CF7CFA" w:usb2="00082016" w:usb3="00000000" w:csb0="00040001" w:csb1="00000000"/>
  </w:font>
  <w:font w:name="仿宋">
    <w:altName w:val="Droid Sans Fallback"/>
    <w:panose1 w:val="02010609060101010101"/>
    <w:charset w:val="86"/>
    <w:family w:val="auto"/>
    <w:pitch w:val="default"/>
    <w:sig w:usb0="00000000" w:usb1="00000000" w:usb2="00000016" w:usb3="00000000" w:csb0="00040001" w:csb1="00000000"/>
  </w:font>
  <w:font w:name="方正粗黑宋简体">
    <w:altName w:val="Droid Sans Fallback"/>
    <w:panose1 w:val="02000000000000000000"/>
    <w:charset w:val="86"/>
    <w:family w:val="auto"/>
    <w:pitch w:val="default"/>
    <w:sig w:usb0="00000000" w:usb1="00000000" w:usb2="00000012" w:usb3="00000000" w:csb0="00040001" w:csb1="00000000"/>
  </w:font>
  <w:font w:name="方正大标宋_GBK">
    <w:altName w:val="Droid Sans Fallbac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Droid Sans Fallback"/>
    <w:panose1 w:val="02010609060101010101"/>
    <w:charset w:val="86"/>
    <w:family w:val="auto"/>
    <w:pitch w:val="default"/>
    <w:sig w:usb0="00000000" w:usb1="00000000" w:usb2="00000016" w:usb3="00000000" w:csb0="00040001" w:csb1="00000000"/>
  </w:font>
  <w:font w:name="微软雅黑">
    <w:altName w:val="Droid Sans Fallback"/>
    <w:panose1 w:val="020B0503020204020204"/>
    <w:charset w:val="86"/>
    <w:family w:val="auto"/>
    <w:pitch w:val="default"/>
    <w:sig w:usb0="00000000" w:usb1="00000000" w:usb2="00000016" w:usb3="00000000" w:csb0="0004001F" w:csb1="00000000"/>
  </w:font>
  <w:font w:name="方正小标宋简体">
    <w:altName w:val="方正小标宋_GBK"/>
    <w:panose1 w:val="03000509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6wA4ejECAABj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qaivlTECAABj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邵阳市北塔区行政审批服务局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邵阳市北塔区行政审批服务局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邵阳市北塔区行政审批服务局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A4BBE1"/>
    <w:multiLevelType w:val="singleLevel"/>
    <w:tmpl w:val="E7A4BBE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mM1NmQ5MmM2YjMyZmMwZTU5NWJjNzEzM2VlNGQifQ=="/>
  </w:docVars>
  <w:rsids>
    <w:rsidRoot w:val="00000000"/>
    <w:rsid w:val="003449EF"/>
    <w:rsid w:val="003D21B2"/>
    <w:rsid w:val="00A83AD0"/>
    <w:rsid w:val="00D42B17"/>
    <w:rsid w:val="00D64AE1"/>
    <w:rsid w:val="01031033"/>
    <w:rsid w:val="01070A50"/>
    <w:rsid w:val="01141165"/>
    <w:rsid w:val="015107AC"/>
    <w:rsid w:val="015D63FC"/>
    <w:rsid w:val="01722330"/>
    <w:rsid w:val="019138A1"/>
    <w:rsid w:val="01923353"/>
    <w:rsid w:val="0194120E"/>
    <w:rsid w:val="01941529"/>
    <w:rsid w:val="01B54127"/>
    <w:rsid w:val="01DD36AA"/>
    <w:rsid w:val="01DE3C65"/>
    <w:rsid w:val="01FD29C4"/>
    <w:rsid w:val="01FD7E4B"/>
    <w:rsid w:val="02092C94"/>
    <w:rsid w:val="021653B1"/>
    <w:rsid w:val="023A2E4D"/>
    <w:rsid w:val="024C0DD3"/>
    <w:rsid w:val="02533F0F"/>
    <w:rsid w:val="02A767F1"/>
    <w:rsid w:val="02B4470B"/>
    <w:rsid w:val="02BD79F4"/>
    <w:rsid w:val="02D3485F"/>
    <w:rsid w:val="030A17AF"/>
    <w:rsid w:val="034C2738"/>
    <w:rsid w:val="035B53EC"/>
    <w:rsid w:val="037A4435"/>
    <w:rsid w:val="037B7F18"/>
    <w:rsid w:val="039E5752"/>
    <w:rsid w:val="03A04F32"/>
    <w:rsid w:val="03CD3298"/>
    <w:rsid w:val="0486237A"/>
    <w:rsid w:val="049329AF"/>
    <w:rsid w:val="049F51EA"/>
    <w:rsid w:val="04A44EF6"/>
    <w:rsid w:val="04B27E1D"/>
    <w:rsid w:val="04CB4231"/>
    <w:rsid w:val="04D46306"/>
    <w:rsid w:val="04EF3743"/>
    <w:rsid w:val="04F33A06"/>
    <w:rsid w:val="05310411"/>
    <w:rsid w:val="05A16753"/>
    <w:rsid w:val="05E30782"/>
    <w:rsid w:val="05FD4158"/>
    <w:rsid w:val="06021276"/>
    <w:rsid w:val="060317A8"/>
    <w:rsid w:val="061D0ABC"/>
    <w:rsid w:val="06540256"/>
    <w:rsid w:val="0664493D"/>
    <w:rsid w:val="06BE710D"/>
    <w:rsid w:val="06DC2725"/>
    <w:rsid w:val="06ED486D"/>
    <w:rsid w:val="06F2601B"/>
    <w:rsid w:val="07283BBC"/>
    <w:rsid w:val="072B6F49"/>
    <w:rsid w:val="07342561"/>
    <w:rsid w:val="073E6F3C"/>
    <w:rsid w:val="07667BB2"/>
    <w:rsid w:val="078828AD"/>
    <w:rsid w:val="07BE1E2B"/>
    <w:rsid w:val="082223BA"/>
    <w:rsid w:val="087A7807"/>
    <w:rsid w:val="08B6388D"/>
    <w:rsid w:val="08E41D65"/>
    <w:rsid w:val="09AF2373"/>
    <w:rsid w:val="09F71624"/>
    <w:rsid w:val="0A41622F"/>
    <w:rsid w:val="0A4C309B"/>
    <w:rsid w:val="0A7964DD"/>
    <w:rsid w:val="0AB32F67"/>
    <w:rsid w:val="0AC2018B"/>
    <w:rsid w:val="0AD86622"/>
    <w:rsid w:val="0AFA5870"/>
    <w:rsid w:val="0B440899"/>
    <w:rsid w:val="0B554854"/>
    <w:rsid w:val="0B7D3DAB"/>
    <w:rsid w:val="0B8F4572"/>
    <w:rsid w:val="0BC419DA"/>
    <w:rsid w:val="0C7E7DDA"/>
    <w:rsid w:val="0C8373CF"/>
    <w:rsid w:val="0CB51A76"/>
    <w:rsid w:val="0D614217"/>
    <w:rsid w:val="0DA91778"/>
    <w:rsid w:val="0DB53CD0"/>
    <w:rsid w:val="0DF57489"/>
    <w:rsid w:val="0E625C06"/>
    <w:rsid w:val="0E871098"/>
    <w:rsid w:val="0EAE1417"/>
    <w:rsid w:val="0F3E4E43"/>
    <w:rsid w:val="0F503CB0"/>
    <w:rsid w:val="0FA13B78"/>
    <w:rsid w:val="0FAF0E26"/>
    <w:rsid w:val="0FD038C7"/>
    <w:rsid w:val="0FDD4B1F"/>
    <w:rsid w:val="0FE8038D"/>
    <w:rsid w:val="10262C63"/>
    <w:rsid w:val="103435D2"/>
    <w:rsid w:val="105709C9"/>
    <w:rsid w:val="10B77D5F"/>
    <w:rsid w:val="10BA0895"/>
    <w:rsid w:val="10C84C25"/>
    <w:rsid w:val="10D64689"/>
    <w:rsid w:val="11075191"/>
    <w:rsid w:val="11145517"/>
    <w:rsid w:val="111D5D5A"/>
    <w:rsid w:val="111E1B8C"/>
    <w:rsid w:val="1162031D"/>
    <w:rsid w:val="11A036CE"/>
    <w:rsid w:val="123A47A4"/>
    <w:rsid w:val="125F76F2"/>
    <w:rsid w:val="12962DFA"/>
    <w:rsid w:val="129D179C"/>
    <w:rsid w:val="12FB1166"/>
    <w:rsid w:val="12FE566B"/>
    <w:rsid w:val="134F2A5F"/>
    <w:rsid w:val="13616C00"/>
    <w:rsid w:val="13A30C34"/>
    <w:rsid w:val="13AD711E"/>
    <w:rsid w:val="13E21B19"/>
    <w:rsid w:val="144831DD"/>
    <w:rsid w:val="14494352"/>
    <w:rsid w:val="14520243"/>
    <w:rsid w:val="14A867BA"/>
    <w:rsid w:val="14C83B63"/>
    <w:rsid w:val="14E56EB1"/>
    <w:rsid w:val="151A3A77"/>
    <w:rsid w:val="156644E7"/>
    <w:rsid w:val="15682A41"/>
    <w:rsid w:val="157601E9"/>
    <w:rsid w:val="158D5230"/>
    <w:rsid w:val="15915022"/>
    <w:rsid w:val="159927CF"/>
    <w:rsid w:val="15D95C1C"/>
    <w:rsid w:val="15DF178B"/>
    <w:rsid w:val="161A6DC6"/>
    <w:rsid w:val="162D4C24"/>
    <w:rsid w:val="16445B83"/>
    <w:rsid w:val="165A5414"/>
    <w:rsid w:val="167D1103"/>
    <w:rsid w:val="16A3500D"/>
    <w:rsid w:val="16C17241"/>
    <w:rsid w:val="16FB6BF7"/>
    <w:rsid w:val="170F4451"/>
    <w:rsid w:val="173B6FF4"/>
    <w:rsid w:val="174001E4"/>
    <w:rsid w:val="176B182A"/>
    <w:rsid w:val="17740758"/>
    <w:rsid w:val="1796247C"/>
    <w:rsid w:val="179A45B6"/>
    <w:rsid w:val="17A75370"/>
    <w:rsid w:val="17B7378B"/>
    <w:rsid w:val="17BA172D"/>
    <w:rsid w:val="17DF2A99"/>
    <w:rsid w:val="17F17FFA"/>
    <w:rsid w:val="181F0F4A"/>
    <w:rsid w:val="18334F9A"/>
    <w:rsid w:val="183C062F"/>
    <w:rsid w:val="185C1EE0"/>
    <w:rsid w:val="185E6EB6"/>
    <w:rsid w:val="18AE6DE7"/>
    <w:rsid w:val="18CC15ED"/>
    <w:rsid w:val="18E84F59"/>
    <w:rsid w:val="190C4F45"/>
    <w:rsid w:val="1969191D"/>
    <w:rsid w:val="196B4518"/>
    <w:rsid w:val="198A392A"/>
    <w:rsid w:val="19A20B4F"/>
    <w:rsid w:val="19B72B7E"/>
    <w:rsid w:val="19C5236C"/>
    <w:rsid w:val="1A00180A"/>
    <w:rsid w:val="1A845156"/>
    <w:rsid w:val="1AB1581F"/>
    <w:rsid w:val="1AC0098C"/>
    <w:rsid w:val="1AFD2812"/>
    <w:rsid w:val="1B0758FD"/>
    <w:rsid w:val="1B204EAB"/>
    <w:rsid w:val="1B423001"/>
    <w:rsid w:val="1B813443"/>
    <w:rsid w:val="1C1B3898"/>
    <w:rsid w:val="1C60574F"/>
    <w:rsid w:val="1C754516"/>
    <w:rsid w:val="1C96585A"/>
    <w:rsid w:val="1CAA0778"/>
    <w:rsid w:val="1CC64099"/>
    <w:rsid w:val="1CE9788F"/>
    <w:rsid w:val="1D496DC2"/>
    <w:rsid w:val="1DAC0C4B"/>
    <w:rsid w:val="1E073968"/>
    <w:rsid w:val="1E2E729A"/>
    <w:rsid w:val="1E591960"/>
    <w:rsid w:val="1E5D6DE0"/>
    <w:rsid w:val="1E5E4D57"/>
    <w:rsid w:val="1E69544E"/>
    <w:rsid w:val="1EC30786"/>
    <w:rsid w:val="1ED16490"/>
    <w:rsid w:val="1EF77EF6"/>
    <w:rsid w:val="1EFF4D1E"/>
    <w:rsid w:val="1F026649"/>
    <w:rsid w:val="1F421C3C"/>
    <w:rsid w:val="1F4D78E4"/>
    <w:rsid w:val="1F503DF8"/>
    <w:rsid w:val="1F5E41C7"/>
    <w:rsid w:val="1FA228EE"/>
    <w:rsid w:val="2034767B"/>
    <w:rsid w:val="20710D0B"/>
    <w:rsid w:val="20F72930"/>
    <w:rsid w:val="21352A19"/>
    <w:rsid w:val="21985D98"/>
    <w:rsid w:val="21A26717"/>
    <w:rsid w:val="21C32917"/>
    <w:rsid w:val="21FF14CD"/>
    <w:rsid w:val="22031056"/>
    <w:rsid w:val="223E5BEA"/>
    <w:rsid w:val="22433200"/>
    <w:rsid w:val="224A458F"/>
    <w:rsid w:val="2267625F"/>
    <w:rsid w:val="22A85759"/>
    <w:rsid w:val="22BF31CF"/>
    <w:rsid w:val="22E845A7"/>
    <w:rsid w:val="22F10B70"/>
    <w:rsid w:val="23027D5E"/>
    <w:rsid w:val="2303007B"/>
    <w:rsid w:val="239758BD"/>
    <w:rsid w:val="23AF6E65"/>
    <w:rsid w:val="23E50309"/>
    <w:rsid w:val="24197AF2"/>
    <w:rsid w:val="24233E34"/>
    <w:rsid w:val="243A0633"/>
    <w:rsid w:val="2496290D"/>
    <w:rsid w:val="24B12ABC"/>
    <w:rsid w:val="24B228BF"/>
    <w:rsid w:val="25441520"/>
    <w:rsid w:val="254D7F7A"/>
    <w:rsid w:val="25D41548"/>
    <w:rsid w:val="25D66AB7"/>
    <w:rsid w:val="25E371D4"/>
    <w:rsid w:val="26095B77"/>
    <w:rsid w:val="26154EB4"/>
    <w:rsid w:val="264D28A0"/>
    <w:rsid w:val="26521602"/>
    <w:rsid w:val="26A338B2"/>
    <w:rsid w:val="271C503E"/>
    <w:rsid w:val="27201D62"/>
    <w:rsid w:val="27565784"/>
    <w:rsid w:val="27612030"/>
    <w:rsid w:val="27624C01"/>
    <w:rsid w:val="276F7F3A"/>
    <w:rsid w:val="27A110F5"/>
    <w:rsid w:val="27AC7A9A"/>
    <w:rsid w:val="27D55D47"/>
    <w:rsid w:val="27E15995"/>
    <w:rsid w:val="27F07987"/>
    <w:rsid w:val="27FD4DB1"/>
    <w:rsid w:val="281D55C8"/>
    <w:rsid w:val="28CF4308"/>
    <w:rsid w:val="28DD7B11"/>
    <w:rsid w:val="29354D1A"/>
    <w:rsid w:val="293D2493"/>
    <w:rsid w:val="296C5733"/>
    <w:rsid w:val="29872C97"/>
    <w:rsid w:val="29AA1DB7"/>
    <w:rsid w:val="29B641A3"/>
    <w:rsid w:val="29FA2D3E"/>
    <w:rsid w:val="29FD282F"/>
    <w:rsid w:val="2A0F07CB"/>
    <w:rsid w:val="2A222A33"/>
    <w:rsid w:val="2A42251A"/>
    <w:rsid w:val="2A672779"/>
    <w:rsid w:val="2ACF5971"/>
    <w:rsid w:val="2AF46052"/>
    <w:rsid w:val="2B886128"/>
    <w:rsid w:val="2BB60EE7"/>
    <w:rsid w:val="2BC538CE"/>
    <w:rsid w:val="2BC64379"/>
    <w:rsid w:val="2BD903BF"/>
    <w:rsid w:val="2BF0285A"/>
    <w:rsid w:val="2C025EDA"/>
    <w:rsid w:val="2C153E60"/>
    <w:rsid w:val="2C2B7E03"/>
    <w:rsid w:val="2C817A09"/>
    <w:rsid w:val="2C877DC8"/>
    <w:rsid w:val="2CD8457F"/>
    <w:rsid w:val="2D293ED8"/>
    <w:rsid w:val="2D4B16D2"/>
    <w:rsid w:val="2E9F3EB4"/>
    <w:rsid w:val="2EB3170E"/>
    <w:rsid w:val="2F0D5D93"/>
    <w:rsid w:val="2F406891"/>
    <w:rsid w:val="2FD91648"/>
    <w:rsid w:val="2FE21531"/>
    <w:rsid w:val="2FE91CEC"/>
    <w:rsid w:val="30634296"/>
    <w:rsid w:val="306E0B42"/>
    <w:rsid w:val="307B199E"/>
    <w:rsid w:val="30A36FF1"/>
    <w:rsid w:val="30B8300C"/>
    <w:rsid w:val="30B90823"/>
    <w:rsid w:val="30BC4A8F"/>
    <w:rsid w:val="30C23098"/>
    <w:rsid w:val="30EB45DA"/>
    <w:rsid w:val="30FF1132"/>
    <w:rsid w:val="30FF63EF"/>
    <w:rsid w:val="310D4304"/>
    <w:rsid w:val="312525F7"/>
    <w:rsid w:val="314D2F38"/>
    <w:rsid w:val="317E24A7"/>
    <w:rsid w:val="318A2BFA"/>
    <w:rsid w:val="31AF08B2"/>
    <w:rsid w:val="31CC4FC0"/>
    <w:rsid w:val="31F462C5"/>
    <w:rsid w:val="31F7433A"/>
    <w:rsid w:val="323B0398"/>
    <w:rsid w:val="3253409F"/>
    <w:rsid w:val="325E6415"/>
    <w:rsid w:val="32803FFD"/>
    <w:rsid w:val="328A4FE6"/>
    <w:rsid w:val="32953ED5"/>
    <w:rsid w:val="32C75788"/>
    <w:rsid w:val="32D814A1"/>
    <w:rsid w:val="33193D6E"/>
    <w:rsid w:val="3321758E"/>
    <w:rsid w:val="33916868"/>
    <w:rsid w:val="33CB74FA"/>
    <w:rsid w:val="342C7F98"/>
    <w:rsid w:val="344D7F0F"/>
    <w:rsid w:val="345E3ECA"/>
    <w:rsid w:val="346F60D7"/>
    <w:rsid w:val="34894BBA"/>
    <w:rsid w:val="34A02734"/>
    <w:rsid w:val="34B044FD"/>
    <w:rsid w:val="34F34F5A"/>
    <w:rsid w:val="34F82570"/>
    <w:rsid w:val="352300D8"/>
    <w:rsid w:val="3546372A"/>
    <w:rsid w:val="355E0625"/>
    <w:rsid w:val="35B71AE4"/>
    <w:rsid w:val="35BE2E72"/>
    <w:rsid w:val="35D8677A"/>
    <w:rsid w:val="360B0496"/>
    <w:rsid w:val="36211653"/>
    <w:rsid w:val="36780E50"/>
    <w:rsid w:val="367C80B4"/>
    <w:rsid w:val="36BF4B72"/>
    <w:rsid w:val="36C62378"/>
    <w:rsid w:val="36DF2CC4"/>
    <w:rsid w:val="36E91C82"/>
    <w:rsid w:val="36F92F47"/>
    <w:rsid w:val="376A752C"/>
    <w:rsid w:val="38031EDD"/>
    <w:rsid w:val="38033923"/>
    <w:rsid w:val="38051BB9"/>
    <w:rsid w:val="38080D1C"/>
    <w:rsid w:val="3819279E"/>
    <w:rsid w:val="38366EFB"/>
    <w:rsid w:val="383E029A"/>
    <w:rsid w:val="384B29B7"/>
    <w:rsid w:val="388A7983"/>
    <w:rsid w:val="38BC1BDC"/>
    <w:rsid w:val="38E87BBB"/>
    <w:rsid w:val="390239BE"/>
    <w:rsid w:val="390E32F6"/>
    <w:rsid w:val="3914549F"/>
    <w:rsid w:val="392D1322"/>
    <w:rsid w:val="39AB434B"/>
    <w:rsid w:val="39B4157B"/>
    <w:rsid w:val="39BD44BE"/>
    <w:rsid w:val="39E41149"/>
    <w:rsid w:val="39EB26A4"/>
    <w:rsid w:val="39FC6ECE"/>
    <w:rsid w:val="3A3F654C"/>
    <w:rsid w:val="3A5A25A6"/>
    <w:rsid w:val="3A726921"/>
    <w:rsid w:val="3AD575DA"/>
    <w:rsid w:val="3AEE41FA"/>
    <w:rsid w:val="3B464036"/>
    <w:rsid w:val="3B7010B2"/>
    <w:rsid w:val="3B7A783B"/>
    <w:rsid w:val="3BAF0C04"/>
    <w:rsid w:val="3C030EA1"/>
    <w:rsid w:val="3C073192"/>
    <w:rsid w:val="3C0B3260"/>
    <w:rsid w:val="3C26744A"/>
    <w:rsid w:val="3C2C3893"/>
    <w:rsid w:val="3C430575"/>
    <w:rsid w:val="3C4349FB"/>
    <w:rsid w:val="3C5B6705"/>
    <w:rsid w:val="3CB472A8"/>
    <w:rsid w:val="3CBA8553"/>
    <w:rsid w:val="3CE44D6B"/>
    <w:rsid w:val="3D0D1C09"/>
    <w:rsid w:val="3D101FEB"/>
    <w:rsid w:val="3D1B75AF"/>
    <w:rsid w:val="3D251A29"/>
    <w:rsid w:val="3D957711"/>
    <w:rsid w:val="3DE96EFA"/>
    <w:rsid w:val="3E1C107E"/>
    <w:rsid w:val="3EB9054F"/>
    <w:rsid w:val="3EC86B10"/>
    <w:rsid w:val="3ED41E38"/>
    <w:rsid w:val="3EEECE1A"/>
    <w:rsid w:val="3F9904AC"/>
    <w:rsid w:val="3FF35426"/>
    <w:rsid w:val="401C181E"/>
    <w:rsid w:val="40560AE5"/>
    <w:rsid w:val="409406DA"/>
    <w:rsid w:val="409E1999"/>
    <w:rsid w:val="40CD48B8"/>
    <w:rsid w:val="40E340D5"/>
    <w:rsid w:val="40F005A0"/>
    <w:rsid w:val="41063629"/>
    <w:rsid w:val="414C1C7A"/>
    <w:rsid w:val="41582048"/>
    <w:rsid w:val="41653AC2"/>
    <w:rsid w:val="41A25F3E"/>
    <w:rsid w:val="41AC70DE"/>
    <w:rsid w:val="41B0748D"/>
    <w:rsid w:val="41F2582A"/>
    <w:rsid w:val="42EF1C2D"/>
    <w:rsid w:val="432B3B11"/>
    <w:rsid w:val="43503F67"/>
    <w:rsid w:val="43807133"/>
    <w:rsid w:val="438644B5"/>
    <w:rsid w:val="44544A76"/>
    <w:rsid w:val="448E1010"/>
    <w:rsid w:val="44E4666D"/>
    <w:rsid w:val="451B3957"/>
    <w:rsid w:val="45877724"/>
    <w:rsid w:val="45AC4E6E"/>
    <w:rsid w:val="45B20519"/>
    <w:rsid w:val="45DA4222"/>
    <w:rsid w:val="45F90867"/>
    <w:rsid w:val="460C7193"/>
    <w:rsid w:val="4642189D"/>
    <w:rsid w:val="46805F22"/>
    <w:rsid w:val="4683047E"/>
    <w:rsid w:val="47541888"/>
    <w:rsid w:val="47777325"/>
    <w:rsid w:val="479A2668"/>
    <w:rsid w:val="47AA2B40"/>
    <w:rsid w:val="47AC326C"/>
    <w:rsid w:val="47C415B1"/>
    <w:rsid w:val="48DF33D4"/>
    <w:rsid w:val="492F31C0"/>
    <w:rsid w:val="49301E81"/>
    <w:rsid w:val="494557C4"/>
    <w:rsid w:val="495E07F1"/>
    <w:rsid w:val="49966F85"/>
    <w:rsid w:val="49C8593B"/>
    <w:rsid w:val="49EC604B"/>
    <w:rsid w:val="4A110D60"/>
    <w:rsid w:val="4A7D10F6"/>
    <w:rsid w:val="4A8E3303"/>
    <w:rsid w:val="4AAC42E7"/>
    <w:rsid w:val="4AD221CC"/>
    <w:rsid w:val="4AD64F49"/>
    <w:rsid w:val="4B771FE9"/>
    <w:rsid w:val="4B9934BC"/>
    <w:rsid w:val="4BA234C7"/>
    <w:rsid w:val="4BE62CCB"/>
    <w:rsid w:val="4BEF12BE"/>
    <w:rsid w:val="4C34368B"/>
    <w:rsid w:val="4CB701C3"/>
    <w:rsid w:val="4CBE72DA"/>
    <w:rsid w:val="4CF542D3"/>
    <w:rsid w:val="4D021D86"/>
    <w:rsid w:val="4D066599"/>
    <w:rsid w:val="4D9218E1"/>
    <w:rsid w:val="4DC64B62"/>
    <w:rsid w:val="4DC95567"/>
    <w:rsid w:val="4DD42A2F"/>
    <w:rsid w:val="4E2078E8"/>
    <w:rsid w:val="4E3C6D60"/>
    <w:rsid w:val="4E4C6AC5"/>
    <w:rsid w:val="4E5E7C38"/>
    <w:rsid w:val="4E685B94"/>
    <w:rsid w:val="4E8005CA"/>
    <w:rsid w:val="4F226D6F"/>
    <w:rsid w:val="4F3E697A"/>
    <w:rsid w:val="4F683EEF"/>
    <w:rsid w:val="4F6E725F"/>
    <w:rsid w:val="4FC43C9F"/>
    <w:rsid w:val="4FD176D0"/>
    <w:rsid w:val="4FE51205"/>
    <w:rsid w:val="4FF43314"/>
    <w:rsid w:val="5026374E"/>
    <w:rsid w:val="505910FD"/>
    <w:rsid w:val="505D1E8E"/>
    <w:rsid w:val="507E55A3"/>
    <w:rsid w:val="50877CF3"/>
    <w:rsid w:val="508D5E0B"/>
    <w:rsid w:val="509B1CB1"/>
    <w:rsid w:val="50B37D27"/>
    <w:rsid w:val="50BE1397"/>
    <w:rsid w:val="50C40DD7"/>
    <w:rsid w:val="50EA2AF2"/>
    <w:rsid w:val="518A2886"/>
    <w:rsid w:val="51EE6435"/>
    <w:rsid w:val="5273781C"/>
    <w:rsid w:val="528D62B1"/>
    <w:rsid w:val="52F925D0"/>
    <w:rsid w:val="532E399E"/>
    <w:rsid w:val="53364538"/>
    <w:rsid w:val="53782DBB"/>
    <w:rsid w:val="53AE40CE"/>
    <w:rsid w:val="53D92B63"/>
    <w:rsid w:val="540006A2"/>
    <w:rsid w:val="54024923"/>
    <w:rsid w:val="54091C4C"/>
    <w:rsid w:val="5474356A"/>
    <w:rsid w:val="54C54DE0"/>
    <w:rsid w:val="54F503EE"/>
    <w:rsid w:val="550B7056"/>
    <w:rsid w:val="55364B38"/>
    <w:rsid w:val="555D52FB"/>
    <w:rsid w:val="559534D4"/>
    <w:rsid w:val="55A84374"/>
    <w:rsid w:val="55AB1785"/>
    <w:rsid w:val="55E04545"/>
    <w:rsid w:val="55EA5046"/>
    <w:rsid w:val="561D19DF"/>
    <w:rsid w:val="56200FBF"/>
    <w:rsid w:val="562821FE"/>
    <w:rsid w:val="568832FC"/>
    <w:rsid w:val="5697709C"/>
    <w:rsid w:val="56A44031"/>
    <w:rsid w:val="56A85AB0"/>
    <w:rsid w:val="56B714EC"/>
    <w:rsid w:val="56DC53F6"/>
    <w:rsid w:val="56FC2A7A"/>
    <w:rsid w:val="57047689"/>
    <w:rsid w:val="572333E8"/>
    <w:rsid w:val="57533BD6"/>
    <w:rsid w:val="57713D91"/>
    <w:rsid w:val="578942E4"/>
    <w:rsid w:val="579E28D1"/>
    <w:rsid w:val="57AC6B77"/>
    <w:rsid w:val="57F77651"/>
    <w:rsid w:val="583E7E63"/>
    <w:rsid w:val="584056FE"/>
    <w:rsid w:val="584766AC"/>
    <w:rsid w:val="58887411"/>
    <w:rsid w:val="58CD4FF7"/>
    <w:rsid w:val="58F632BA"/>
    <w:rsid w:val="594B0611"/>
    <w:rsid w:val="59653481"/>
    <w:rsid w:val="59C44A38"/>
    <w:rsid w:val="59D16D68"/>
    <w:rsid w:val="59FA694D"/>
    <w:rsid w:val="5A56101C"/>
    <w:rsid w:val="5A8C6946"/>
    <w:rsid w:val="5AEB5C08"/>
    <w:rsid w:val="5AFB5A70"/>
    <w:rsid w:val="5B043B8C"/>
    <w:rsid w:val="5B172EA1"/>
    <w:rsid w:val="5B700A53"/>
    <w:rsid w:val="5B914A01"/>
    <w:rsid w:val="5B9F1014"/>
    <w:rsid w:val="5BF27270"/>
    <w:rsid w:val="5C0E0752"/>
    <w:rsid w:val="5C0F4C20"/>
    <w:rsid w:val="5C383A38"/>
    <w:rsid w:val="5CC02802"/>
    <w:rsid w:val="5CF07506"/>
    <w:rsid w:val="5D0E613A"/>
    <w:rsid w:val="5D4635C9"/>
    <w:rsid w:val="5D535CE6"/>
    <w:rsid w:val="5D791FAA"/>
    <w:rsid w:val="5DAE574E"/>
    <w:rsid w:val="5DCB3ACF"/>
    <w:rsid w:val="5DEA2501"/>
    <w:rsid w:val="5E331DA0"/>
    <w:rsid w:val="5E4D76A5"/>
    <w:rsid w:val="5E5166CA"/>
    <w:rsid w:val="5E780E5B"/>
    <w:rsid w:val="5EB50A07"/>
    <w:rsid w:val="5EC2182D"/>
    <w:rsid w:val="5EE412EC"/>
    <w:rsid w:val="5EE94600"/>
    <w:rsid w:val="5F2416E8"/>
    <w:rsid w:val="5F36141C"/>
    <w:rsid w:val="5F447FDD"/>
    <w:rsid w:val="5F60062F"/>
    <w:rsid w:val="5F70492E"/>
    <w:rsid w:val="5F721217"/>
    <w:rsid w:val="5F8B1768"/>
    <w:rsid w:val="5F985888"/>
    <w:rsid w:val="5FC34395"/>
    <w:rsid w:val="5FF94923"/>
    <w:rsid w:val="602337DF"/>
    <w:rsid w:val="60827C2A"/>
    <w:rsid w:val="60CA4515"/>
    <w:rsid w:val="61110B23"/>
    <w:rsid w:val="61164429"/>
    <w:rsid w:val="614C769B"/>
    <w:rsid w:val="616D0E9D"/>
    <w:rsid w:val="6181227D"/>
    <w:rsid w:val="61D95824"/>
    <w:rsid w:val="61DF4F25"/>
    <w:rsid w:val="622639C9"/>
    <w:rsid w:val="623615CA"/>
    <w:rsid w:val="6239194F"/>
    <w:rsid w:val="623B528F"/>
    <w:rsid w:val="624E2A9B"/>
    <w:rsid w:val="62791D4B"/>
    <w:rsid w:val="62824F6D"/>
    <w:rsid w:val="62AF7F3F"/>
    <w:rsid w:val="62B337E3"/>
    <w:rsid w:val="62CF7BBD"/>
    <w:rsid w:val="630272DB"/>
    <w:rsid w:val="634702E2"/>
    <w:rsid w:val="63617B43"/>
    <w:rsid w:val="63857C95"/>
    <w:rsid w:val="63AB5B7C"/>
    <w:rsid w:val="641E63C8"/>
    <w:rsid w:val="64634A61"/>
    <w:rsid w:val="649102B0"/>
    <w:rsid w:val="64AD2180"/>
    <w:rsid w:val="64AF5EF8"/>
    <w:rsid w:val="64BA66CA"/>
    <w:rsid w:val="64C34049"/>
    <w:rsid w:val="65513A47"/>
    <w:rsid w:val="658E038D"/>
    <w:rsid w:val="659C3ABC"/>
    <w:rsid w:val="659F2386"/>
    <w:rsid w:val="661F2C0A"/>
    <w:rsid w:val="661F4759"/>
    <w:rsid w:val="66402BC6"/>
    <w:rsid w:val="66835660"/>
    <w:rsid w:val="66AF21DF"/>
    <w:rsid w:val="66D86EEC"/>
    <w:rsid w:val="67034F8B"/>
    <w:rsid w:val="67691A21"/>
    <w:rsid w:val="677D0530"/>
    <w:rsid w:val="6795184E"/>
    <w:rsid w:val="679C6C08"/>
    <w:rsid w:val="679F2254"/>
    <w:rsid w:val="67CA42A6"/>
    <w:rsid w:val="67D320AA"/>
    <w:rsid w:val="68150176"/>
    <w:rsid w:val="683913C9"/>
    <w:rsid w:val="683A27FC"/>
    <w:rsid w:val="68B27D65"/>
    <w:rsid w:val="69C2588F"/>
    <w:rsid w:val="69DF38CB"/>
    <w:rsid w:val="69FC6B39"/>
    <w:rsid w:val="6A190855"/>
    <w:rsid w:val="6A1D029D"/>
    <w:rsid w:val="6A2309CD"/>
    <w:rsid w:val="6A3D7B02"/>
    <w:rsid w:val="6A582B8E"/>
    <w:rsid w:val="6A615EE7"/>
    <w:rsid w:val="6A701C86"/>
    <w:rsid w:val="6AA933EA"/>
    <w:rsid w:val="6AE37919"/>
    <w:rsid w:val="6AFF6C91"/>
    <w:rsid w:val="6B5748D8"/>
    <w:rsid w:val="6B881251"/>
    <w:rsid w:val="6B916DF5"/>
    <w:rsid w:val="6B96571C"/>
    <w:rsid w:val="6BE707CC"/>
    <w:rsid w:val="6C103720"/>
    <w:rsid w:val="6C1C5489"/>
    <w:rsid w:val="6C2F7E97"/>
    <w:rsid w:val="6C3F5DB4"/>
    <w:rsid w:val="6C41676C"/>
    <w:rsid w:val="6CC0205D"/>
    <w:rsid w:val="6CC91D04"/>
    <w:rsid w:val="6CEC143C"/>
    <w:rsid w:val="6D09032B"/>
    <w:rsid w:val="6D0931DE"/>
    <w:rsid w:val="6D404752"/>
    <w:rsid w:val="6D6668C3"/>
    <w:rsid w:val="6D7B106D"/>
    <w:rsid w:val="6D9051A0"/>
    <w:rsid w:val="6D9914F3"/>
    <w:rsid w:val="6DB279DA"/>
    <w:rsid w:val="6E393953"/>
    <w:rsid w:val="6E644211"/>
    <w:rsid w:val="6E7B0A0C"/>
    <w:rsid w:val="6EA21699"/>
    <w:rsid w:val="6EEF24A9"/>
    <w:rsid w:val="6F027AF7"/>
    <w:rsid w:val="6F26325B"/>
    <w:rsid w:val="6F6F69B0"/>
    <w:rsid w:val="6F8F06D9"/>
    <w:rsid w:val="6F9C351D"/>
    <w:rsid w:val="6F9E2305"/>
    <w:rsid w:val="6FAA0C45"/>
    <w:rsid w:val="6FCC337B"/>
    <w:rsid w:val="6FE729EA"/>
    <w:rsid w:val="6FEF189F"/>
    <w:rsid w:val="700B6747"/>
    <w:rsid w:val="706C2EEF"/>
    <w:rsid w:val="70801449"/>
    <w:rsid w:val="70933881"/>
    <w:rsid w:val="709F4389"/>
    <w:rsid w:val="70AE65AA"/>
    <w:rsid w:val="70B5428E"/>
    <w:rsid w:val="70D93F49"/>
    <w:rsid w:val="70E128AC"/>
    <w:rsid w:val="70E1634E"/>
    <w:rsid w:val="70FF2AA0"/>
    <w:rsid w:val="71107D1F"/>
    <w:rsid w:val="71316D8D"/>
    <w:rsid w:val="715F4802"/>
    <w:rsid w:val="71654D19"/>
    <w:rsid w:val="71904F75"/>
    <w:rsid w:val="71A768D5"/>
    <w:rsid w:val="71E66C33"/>
    <w:rsid w:val="72205CFE"/>
    <w:rsid w:val="72336342"/>
    <w:rsid w:val="72676064"/>
    <w:rsid w:val="72842772"/>
    <w:rsid w:val="72844C7D"/>
    <w:rsid w:val="72A36BE8"/>
    <w:rsid w:val="72D54ABB"/>
    <w:rsid w:val="72E421B6"/>
    <w:rsid w:val="72FA6ED8"/>
    <w:rsid w:val="72FF3958"/>
    <w:rsid w:val="73193F46"/>
    <w:rsid w:val="731D4975"/>
    <w:rsid w:val="734903DF"/>
    <w:rsid w:val="73BE7F06"/>
    <w:rsid w:val="73CD3228"/>
    <w:rsid w:val="73E3796C"/>
    <w:rsid w:val="73EF4563"/>
    <w:rsid w:val="74134DFB"/>
    <w:rsid w:val="7419513C"/>
    <w:rsid w:val="742D3D9C"/>
    <w:rsid w:val="74387CB8"/>
    <w:rsid w:val="745B25CA"/>
    <w:rsid w:val="74A06616"/>
    <w:rsid w:val="74AE1D28"/>
    <w:rsid w:val="74B310ED"/>
    <w:rsid w:val="74C55995"/>
    <w:rsid w:val="74FD49B7"/>
    <w:rsid w:val="7586788F"/>
    <w:rsid w:val="75C86411"/>
    <w:rsid w:val="76237386"/>
    <w:rsid w:val="762B7F17"/>
    <w:rsid w:val="76317141"/>
    <w:rsid w:val="765B1A3C"/>
    <w:rsid w:val="76DB2A57"/>
    <w:rsid w:val="771147F0"/>
    <w:rsid w:val="778D36DC"/>
    <w:rsid w:val="7808174F"/>
    <w:rsid w:val="783B1B25"/>
    <w:rsid w:val="784328C1"/>
    <w:rsid w:val="78DA1D7B"/>
    <w:rsid w:val="78F13662"/>
    <w:rsid w:val="79297BCF"/>
    <w:rsid w:val="793E7C5B"/>
    <w:rsid w:val="7955517B"/>
    <w:rsid w:val="79560DFC"/>
    <w:rsid w:val="79570BE0"/>
    <w:rsid w:val="79674B9C"/>
    <w:rsid w:val="798B6ADC"/>
    <w:rsid w:val="79A25BD4"/>
    <w:rsid w:val="79AC1FDF"/>
    <w:rsid w:val="79BA4CCB"/>
    <w:rsid w:val="79BC1425"/>
    <w:rsid w:val="7A1C75A3"/>
    <w:rsid w:val="7A394769"/>
    <w:rsid w:val="7A6A4943"/>
    <w:rsid w:val="7AE71AF0"/>
    <w:rsid w:val="7B3D3D5A"/>
    <w:rsid w:val="7B413F7E"/>
    <w:rsid w:val="7B885D10"/>
    <w:rsid w:val="7BE74CFC"/>
    <w:rsid w:val="7BEE6B88"/>
    <w:rsid w:val="7BF7570B"/>
    <w:rsid w:val="7C2E345F"/>
    <w:rsid w:val="7C5424A5"/>
    <w:rsid w:val="7C5A2796"/>
    <w:rsid w:val="7C605268"/>
    <w:rsid w:val="7C6A0C2B"/>
    <w:rsid w:val="7CF46746"/>
    <w:rsid w:val="7D2A660C"/>
    <w:rsid w:val="7D87251C"/>
    <w:rsid w:val="7DB86548"/>
    <w:rsid w:val="7E5D00E7"/>
    <w:rsid w:val="7E9F7825"/>
    <w:rsid w:val="7F376DBE"/>
    <w:rsid w:val="7F3E639F"/>
    <w:rsid w:val="7F7162F6"/>
    <w:rsid w:val="7F9A7019"/>
    <w:rsid w:val="7FB81CAD"/>
    <w:rsid w:val="7FC85D75"/>
    <w:rsid w:val="7FD5583B"/>
    <w:rsid w:val="7FDE196C"/>
    <w:rsid w:val="7FE138D8"/>
    <w:rsid w:val="7FE31449"/>
    <w:rsid w:val="7FE405C7"/>
    <w:rsid w:val="7FEA2C5C"/>
    <w:rsid w:val="7FF52F01"/>
    <w:rsid w:val="BD6DBFFE"/>
    <w:rsid w:val="FFF9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4"/>
    <w:qFormat/>
    <w:uiPriority w:val="0"/>
    <w:pPr>
      <w:keepNext/>
      <w:keepLines/>
      <w:spacing w:beforeLines="0" w:beforeAutospacing="0" w:afterLines="0" w:afterAutospacing="0" w:line="360" w:lineRule="auto"/>
      <w:ind w:firstLine="482" w:firstLineChars="200"/>
      <w:outlineLvl w:val="0"/>
    </w:pPr>
    <w:rPr>
      <w:rFonts w:ascii="Times New Roman" w:hAnsi="Times New Roman" w:eastAsia="黑体"/>
      <w:b/>
      <w:kern w:val="44"/>
      <w:sz w:val="32"/>
      <w:szCs w:val="2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First Indent"/>
    <w:basedOn w:val="5"/>
    <w:qFormat/>
    <w:uiPriority w:val="0"/>
    <w:pPr>
      <w:adjustRightInd w:val="0"/>
      <w:snapToGrid w:val="0"/>
      <w:spacing w:beforeLines="50" w:after="0" w:line="360" w:lineRule="auto"/>
      <w:ind w:firstLine="200" w:firstLineChars="200"/>
    </w:pPr>
    <w:rPr>
      <w:rFonts w:ascii="Times New Roman" w:hAnsi="Times New Roman"/>
      <w:sz w:val="24"/>
      <w:szCs w:val="24"/>
    </w:rPr>
  </w:style>
  <w:style w:type="paragraph" w:styleId="5">
    <w:name w:val="Body Text"/>
    <w:basedOn w:val="1"/>
    <w:unhideWhenUsed/>
    <w:qFormat/>
    <w:uiPriority w:val="99"/>
    <w:pPr>
      <w:spacing w:after="120"/>
    </w:pPr>
  </w:style>
  <w:style w:type="paragraph" w:styleId="6">
    <w:name w:val="annotation text"/>
    <w:basedOn w:val="1"/>
    <w:qFormat/>
    <w:uiPriority w:val="0"/>
    <w:pPr>
      <w:jc w:val="left"/>
    </w:pPr>
  </w:style>
  <w:style w:type="paragraph" w:styleId="7">
    <w:name w:val="Body Text Indent 2"/>
    <w:basedOn w:val="1"/>
    <w:next w:val="8"/>
    <w:unhideWhenUsed/>
    <w:qFormat/>
    <w:uiPriority w:val="99"/>
    <w:pPr>
      <w:spacing w:after="120" w:line="480" w:lineRule="auto"/>
      <w:ind w:left="420" w:leftChars="200"/>
    </w:pPr>
  </w:style>
  <w:style w:type="paragraph" w:customStyle="1" w:styleId="8">
    <w:name w:val="p0"/>
    <w:next w:val="9"/>
    <w:qFormat/>
    <w:uiPriority w:val="0"/>
    <w:pPr>
      <w:spacing w:line="365" w:lineRule="atLeast"/>
      <w:ind w:left="1"/>
    </w:pPr>
    <w:rPr>
      <w:rFonts w:ascii="Times New Roman" w:hAnsi="Times New Roman" w:eastAsia="宋体" w:cs="Times New Roman"/>
      <w:sz w:val="24"/>
      <w:lang w:val="en-US" w:eastAsia="zh-CN" w:bidi="ar-SA"/>
    </w:rPr>
  </w:style>
  <w:style w:type="paragraph" w:styleId="9">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toc 1"/>
    <w:basedOn w:val="1"/>
    <w:next w:val="1"/>
    <w:qFormat/>
    <w:uiPriority w:val="0"/>
  </w:style>
  <w:style w:type="paragraph" w:styleId="12">
    <w:name w:val="footnote text"/>
    <w:basedOn w:val="1"/>
    <w:unhideWhenUsed/>
    <w:qFormat/>
    <w:uiPriority w:val="99"/>
    <w:pPr>
      <w:widowControl w:val="0"/>
      <w:snapToGrid w:val="0"/>
    </w:pPr>
    <w:rPr>
      <w:rFonts w:ascii="Calibri" w:hAnsi="Calibri" w:cs="Times New Roman"/>
      <w:kern w:val="2"/>
      <w:sz w:val="18"/>
      <w:szCs w:val="18"/>
    </w:rPr>
  </w:style>
  <w:style w:type="paragraph" w:styleId="13">
    <w:name w:val="toc 2"/>
    <w:basedOn w:val="1"/>
    <w:next w:val="1"/>
    <w:qFormat/>
    <w:uiPriority w:val="0"/>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styleId="21">
    <w:name w:val="List Paragraph"/>
    <w:basedOn w:val="1"/>
    <w:qFormat/>
    <w:uiPriority w:val="34"/>
    <w:pPr>
      <w:ind w:firstLine="420" w:firstLineChars="200"/>
    </w:pPr>
  </w:style>
  <w:style w:type="paragraph" w:customStyle="1" w:styleId="22">
    <w:name w:val="正文1"/>
    <w:basedOn w:val="1"/>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12464</Words>
  <Characters>13549</Characters>
  <Lines>0</Lines>
  <Paragraphs>0</Paragraphs>
  <TotalTime>2</TotalTime>
  <ScaleCrop>false</ScaleCrop>
  <LinksUpToDate>false</LinksUpToDate>
  <CharactersWithSpaces>14642</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2023-10-12T08:39:00Z</dcterms:created>
  <dc:creator>银鹏会计事务所</dc:creator>
  <cp:lastModifiedBy>syjy521</cp:lastModifiedBy>
  <dcterms:modified xsi:type="dcterms:W3CDTF">2024-12-05T16:15:32Z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80A71712FC794007888B4D159263904A_13</vt:lpwstr>
  </property>
</Properties>
</file>