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b/>
          <w:bCs/>
          <w:i w:val="0"/>
          <w:iCs w:val="0"/>
          <w:caps w:val="0"/>
          <w:color w:val="000000"/>
          <w:spacing w:val="0"/>
          <w:sz w:val="44"/>
          <w:szCs w:val="44"/>
          <w:shd w:val="clear" w:fill="FFFFFF"/>
          <w:lang w:val="en-US" w:eastAsia="zh-CN"/>
        </w:rPr>
        <w:t>中共邵阳市北塔区委办公室2023年</w:t>
      </w:r>
      <w:r>
        <w:rPr>
          <w:rFonts w:hint="eastAsia" w:ascii="方正小标宋_GBK" w:hAnsi="方正小标宋_GBK" w:eastAsia="方正小标宋_GBK" w:cs="方正小标宋_GBK"/>
          <w:i w:val="0"/>
          <w:iCs w:val="0"/>
          <w:caps w:val="0"/>
          <w:color w:val="000000"/>
          <w:spacing w:val="0"/>
          <w:sz w:val="44"/>
          <w:szCs w:val="44"/>
          <w:shd w:val="clear" w:fill="FFFFFF"/>
        </w:rPr>
        <w:t>部门整体支出绩效自评报告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shd w:val="clear" w:fill="FFFFFF"/>
        </w:rPr>
        <w:t>一、部门、单位基本情况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3" w:firstLineChars="200"/>
        <w:textAlignment w:val="auto"/>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（一）机构设置情况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本单位分别为：秘书组（加挂法规组牌子）、综合调研信息组（加挂政策研究组牌子）、区委总值班室（加挂行政后勤组牌子）、政工组、区委督查室、机要保密组、财政工作办公室（加挂区绩效办、区小康办牌子）、外事港澳台组、深化改革工作办公室、党史档案组。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3" w:firstLineChars="200"/>
        <w:textAlignment w:val="auto"/>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（二）人员编制情况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本单位实有人数20人，其中行政人员20人,离退休人员16人。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3" w:firstLineChars="200"/>
        <w:textAlignment w:val="auto"/>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（三）主要职能职责</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1、负责区委会议的准备和组织协调工作，负责区委领导同志公务活动，办理区委领导同志交办的事项。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2、围绕区委工作部署，对涉及全区经济建设、社会发展、党的自身建设等全局性的重大问题进行调查研究，为区委决策提出建议、预案和依据。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3、负责区委文件和区委领导同志有关文稿的起草、校核、印发工作，负责文书处理工作。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4、负责党内法规和规范性文件的审核、备案、清理，协调区委法律顾问服务相关工作。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5、研究、审核区委各部门、区直（辖）各单位党委(党组)、各镇、街道向区委的请示、报告，提出处理意见报区委领导同志审批。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6、负责以区委名义向市委请示报告工作的归口、把关工作，负责统筹、指导、督促全区党组织重大事项报告工作。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7、及时、准确、全面地向区委及上级报送信息，反映有关动态。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8、负责中央、省委、市委、区委重大决策、重要工作部署和领导同志重要批示、批件贯彻落实情况的督促检查工作，组织办理人大代表有关建议、政协委员有关提案。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9、负责区委及区委各部门年度督查检查考核计划的归口审核和全区性年度督查检查考核计划的统一报批、监督实施。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10、负责区绩效评估委员会办公室的日常工作，组织、协调、指导全区绩效评估工作。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11、负责全区外事、港澳台工作的发展规划;重要外宾、重要港澳台同胞的因公来访接待;负责全区涉外涉港澳台活动的组织管理、联络协调，协同有关部门处理涉外涉港澳台事件;审核全区因公出国、赴港澳台等有关工作。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12、负责全区党史研究、档案事业的发展规划、组织协调、监督指导，负责全区党史研究政策法规的落实，负责全区档案法规的宣传教育以及查处档案违法行为。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13、负责管理全区接待工作;负责全区的重要公务接待活动和区主要领导外出公务活动的联络服务。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14、负责区委值班工作，及时向区委领导同志报告重要情况，协助处理区直（辖）各单位和乡、街道向区委反映的重要问题。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15、负责全区党政系统保密、机要密码通信和密码管理;负责全区党委系统信息化建设、应用、服务和管理;负责全区党务内网、专用通信网和党委视频会议的规划、建设和管理，负责全区电子文件管理工作，协同做好党政机关电子公文系统推进工作、区直单位信息化建设前置审查工作。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16、统筹协调区政府机关大院行政后勤管理和安全保卫工作。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17、归口管理区档案馆。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18、负责区委全面深化改革委员会办公室、区委财经委员会办公室日常工作。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19、办理区委和区委领导同志交办的其他工作事项。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3" w:firstLineChars="200"/>
        <w:textAlignment w:val="auto"/>
        <w:rPr>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（四）绩效目标设定情况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一是加强政治建设，聚焦政治建设这个根本属性；二是落实中央八项规定及其实施细则精神不是；三是督促检查工作，按照市委督查室要求，严格制定督查检查考核事项年度计划并及时报市委办备案；四是紧紧围绕区委的中心工作和领导需求，加强信息工作；四是党办队伍建设。</w:t>
      </w:r>
    </w:p>
    <w:p>
      <w:pPr>
        <w:keepNext w:val="0"/>
        <w:keepLines w:val="0"/>
        <w:pageBreakBefore w:val="0"/>
        <w:numPr>
          <w:ilvl w:val="0"/>
          <w:numId w:val="0"/>
        </w:numPr>
        <w:kinsoku/>
        <w:wordWrap/>
        <w:overflowPunct/>
        <w:topLinePunct w:val="0"/>
        <w:autoSpaceDE/>
        <w:autoSpaceDN/>
        <w:bidi w:val="0"/>
        <w:adjustRightInd/>
        <w:snapToGrid w:val="0"/>
        <w:spacing w:line="240" w:lineRule="atLeas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textAlignment w:val="auto"/>
        <w:rPr>
          <w:rFonts w:hint="eastAsia" w:ascii="仿宋" w:hAnsi="仿宋" w:eastAsia="仿宋" w:cs="仿宋"/>
          <w:b/>
          <w:bCs/>
          <w:i w:val="0"/>
          <w:iCs w:val="0"/>
          <w:caps w:val="0"/>
          <w:color w:val="000000"/>
          <w:spacing w:val="0"/>
          <w:sz w:val="32"/>
          <w:szCs w:val="32"/>
          <w:shd w:val="clear" w:fill="FFFFFF"/>
        </w:rPr>
      </w:pPr>
      <w:r>
        <w:rPr>
          <w:rFonts w:hint="default" w:ascii="仿宋" w:hAnsi="仿宋" w:eastAsia="仿宋" w:cs="仿宋"/>
          <w:b/>
          <w:bCs/>
          <w:i w:val="0"/>
          <w:iCs w:val="0"/>
          <w:caps w:val="0"/>
          <w:color w:val="000000"/>
          <w:spacing w:val="0"/>
          <w:sz w:val="32"/>
          <w:szCs w:val="32"/>
          <w:shd w:val="clear" w:fill="FFFFFF"/>
        </w:rPr>
        <w:t>（一）</w:t>
      </w:r>
      <w:r>
        <w:rPr>
          <w:rFonts w:hint="eastAsia" w:ascii="仿宋" w:hAnsi="仿宋" w:eastAsia="仿宋" w:cs="仿宋"/>
          <w:b/>
          <w:bCs/>
          <w:i w:val="0"/>
          <w:iCs w:val="0"/>
          <w:caps w:val="0"/>
          <w:color w:val="000000"/>
          <w:spacing w:val="0"/>
          <w:sz w:val="32"/>
          <w:szCs w:val="32"/>
          <w:shd w:val="clear" w:fill="FFFFFF"/>
        </w:rPr>
        <w:t>预算执行、使用、管理总体情况。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1、全年收入情况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2023年收入实际完成</w:t>
      </w:r>
      <w:r>
        <w:rPr>
          <w:rFonts w:hint="eastAsia" w:ascii="仿宋" w:hAnsi="仿宋" w:eastAsia="仿宋" w:cs="仿宋"/>
          <w:i w:val="0"/>
          <w:iCs w:val="0"/>
          <w:caps w:val="0"/>
          <w:color w:val="000000"/>
          <w:spacing w:val="0"/>
          <w:sz w:val="32"/>
          <w:szCs w:val="32"/>
          <w:shd w:val="clear" w:fill="FFFFFF"/>
          <w:lang w:val="en-US" w:eastAsia="zh-CN"/>
        </w:rPr>
        <w:t>594.67</w:t>
      </w:r>
      <w:r>
        <w:rPr>
          <w:rFonts w:hint="eastAsia" w:ascii="仿宋" w:hAnsi="仿宋" w:eastAsia="仿宋" w:cs="仿宋"/>
          <w:i w:val="0"/>
          <w:iCs w:val="0"/>
          <w:caps w:val="0"/>
          <w:color w:val="000000"/>
          <w:spacing w:val="0"/>
          <w:sz w:val="32"/>
          <w:szCs w:val="32"/>
          <w:shd w:val="clear" w:fill="FFFFFF"/>
        </w:rPr>
        <w:t>万元，比上年</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9.52</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增长</w:t>
      </w:r>
      <w:r>
        <w:rPr>
          <w:rFonts w:hint="eastAsia" w:ascii="仿宋" w:hAnsi="仿宋" w:eastAsia="仿宋" w:cs="仿宋"/>
          <w:i w:val="0"/>
          <w:iCs w:val="0"/>
          <w:caps w:val="0"/>
          <w:color w:val="000000"/>
          <w:spacing w:val="0"/>
          <w:sz w:val="32"/>
          <w:szCs w:val="32"/>
          <w:shd w:val="clear" w:fill="FFFFFF"/>
          <w:lang w:val="en-US" w:eastAsia="zh-CN"/>
        </w:rPr>
        <w:t>1.63</w:t>
      </w:r>
      <w:r>
        <w:rPr>
          <w:rFonts w:hint="eastAsia" w:ascii="仿宋" w:hAnsi="仿宋" w:eastAsia="仿宋" w:cs="仿宋"/>
          <w:i w:val="0"/>
          <w:iCs w:val="0"/>
          <w:caps w:val="0"/>
          <w:color w:val="000000"/>
          <w:spacing w:val="0"/>
          <w:sz w:val="32"/>
          <w:szCs w:val="32"/>
          <w:shd w:val="clear" w:fill="FFFFFF"/>
        </w:rPr>
        <w:t>%。主要原因是：</w:t>
      </w:r>
      <w:r>
        <w:rPr>
          <w:rFonts w:hint="eastAsia" w:ascii="仿宋" w:hAnsi="仿宋" w:eastAsia="仿宋" w:cs="仿宋"/>
          <w:i w:val="0"/>
          <w:iCs w:val="0"/>
          <w:caps w:val="0"/>
          <w:color w:val="000000"/>
          <w:spacing w:val="0"/>
          <w:sz w:val="32"/>
          <w:szCs w:val="32"/>
          <w:shd w:val="clear" w:fill="FFFFFF"/>
          <w:lang w:eastAsia="zh-CN"/>
        </w:rPr>
        <w:t>本年度预算增加</w:t>
      </w:r>
      <w:r>
        <w:rPr>
          <w:rFonts w:hint="eastAsia" w:ascii="仿宋" w:hAnsi="仿宋" w:eastAsia="仿宋" w:cs="仿宋"/>
          <w:i w:val="0"/>
          <w:iCs w:val="0"/>
          <w:caps w:val="0"/>
          <w:color w:val="000000"/>
          <w:spacing w:val="0"/>
          <w:sz w:val="32"/>
          <w:szCs w:val="32"/>
          <w:shd w:val="clear" w:fill="FFFFFF"/>
        </w:rPr>
        <w:t>。其中：一般公共预算财政拨款收入完成</w:t>
      </w:r>
      <w:r>
        <w:rPr>
          <w:rFonts w:hint="eastAsia" w:ascii="仿宋" w:hAnsi="仿宋" w:eastAsia="仿宋" w:cs="仿宋"/>
          <w:i w:val="0"/>
          <w:iCs w:val="0"/>
          <w:caps w:val="0"/>
          <w:color w:val="000000"/>
          <w:spacing w:val="0"/>
          <w:sz w:val="32"/>
          <w:szCs w:val="32"/>
          <w:shd w:val="clear" w:fill="FFFFFF"/>
          <w:lang w:val="en-US" w:eastAsia="zh-CN"/>
        </w:rPr>
        <w:t>594.67</w:t>
      </w:r>
      <w:r>
        <w:rPr>
          <w:rFonts w:hint="eastAsia" w:ascii="仿宋" w:hAnsi="仿宋" w:eastAsia="仿宋" w:cs="仿宋"/>
          <w:i w:val="0"/>
          <w:iCs w:val="0"/>
          <w:caps w:val="0"/>
          <w:color w:val="000000"/>
          <w:spacing w:val="0"/>
          <w:sz w:val="32"/>
          <w:szCs w:val="32"/>
          <w:shd w:val="clear" w:fill="FFFFFF"/>
        </w:rPr>
        <w:t>万元，比上年</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9.52</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增长</w:t>
      </w:r>
      <w:r>
        <w:rPr>
          <w:rFonts w:hint="eastAsia" w:ascii="仿宋" w:hAnsi="仿宋" w:eastAsia="仿宋" w:cs="仿宋"/>
          <w:i w:val="0"/>
          <w:iCs w:val="0"/>
          <w:caps w:val="0"/>
          <w:color w:val="000000"/>
          <w:spacing w:val="0"/>
          <w:sz w:val="32"/>
          <w:szCs w:val="32"/>
          <w:shd w:val="clear" w:fill="FFFFFF"/>
          <w:lang w:val="en-US" w:eastAsia="zh-CN"/>
        </w:rPr>
        <w:t>1.63</w:t>
      </w:r>
      <w:r>
        <w:rPr>
          <w:rFonts w:hint="eastAsia" w:ascii="仿宋" w:hAnsi="仿宋" w:eastAsia="仿宋" w:cs="仿宋"/>
          <w:i w:val="0"/>
          <w:iCs w:val="0"/>
          <w:caps w:val="0"/>
          <w:color w:val="000000"/>
          <w:spacing w:val="0"/>
          <w:sz w:val="32"/>
          <w:szCs w:val="32"/>
          <w:shd w:val="clear" w:fill="FFFFFF"/>
        </w:rPr>
        <w:t>%；政府性基金财政拨款收入完成0万元；上级补助收入完成0万元；事业收入完成0万元；经营收入完成0万元；附属单位上缴收入完成</w:t>
      </w:r>
      <w:r>
        <w:rPr>
          <w:rFonts w:hint="eastAsia" w:ascii="仿宋" w:hAnsi="仿宋" w:eastAsia="仿宋" w:cs="仿宋"/>
          <w:i w:val="0"/>
          <w:iCs w:val="0"/>
          <w:caps w:val="0"/>
          <w:color w:val="000000"/>
          <w:spacing w:val="0"/>
          <w:sz w:val="32"/>
          <w:szCs w:val="32"/>
          <w:shd w:val="clear" w:fill="FFFFFF"/>
          <w:lang w:val="en-US" w:eastAsia="zh-CN"/>
        </w:rPr>
        <w:t>0万元</w:t>
      </w:r>
      <w:r>
        <w:rPr>
          <w:rFonts w:hint="eastAsia" w:ascii="仿宋" w:hAnsi="仿宋" w:eastAsia="仿宋" w:cs="仿宋"/>
          <w:i w:val="0"/>
          <w:iCs w:val="0"/>
          <w:caps w:val="0"/>
          <w:color w:val="000000"/>
          <w:spacing w:val="0"/>
          <w:sz w:val="32"/>
          <w:szCs w:val="32"/>
          <w:shd w:val="clear" w:fill="FFFFFF"/>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2、全年支出情况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2023年，我局实际支出</w:t>
      </w:r>
      <w:r>
        <w:rPr>
          <w:rFonts w:hint="eastAsia" w:ascii="仿宋" w:hAnsi="仿宋" w:eastAsia="仿宋" w:cs="仿宋"/>
          <w:i w:val="0"/>
          <w:iCs w:val="0"/>
          <w:caps w:val="0"/>
          <w:color w:val="000000"/>
          <w:spacing w:val="0"/>
          <w:sz w:val="32"/>
          <w:szCs w:val="32"/>
          <w:shd w:val="clear" w:fill="FFFFFF"/>
          <w:lang w:val="en-US" w:eastAsia="zh-CN"/>
        </w:rPr>
        <w:t>594.67</w:t>
      </w:r>
      <w:r>
        <w:rPr>
          <w:rFonts w:hint="eastAsia" w:ascii="仿宋" w:hAnsi="仿宋" w:eastAsia="仿宋" w:cs="仿宋"/>
          <w:i w:val="0"/>
          <w:iCs w:val="0"/>
          <w:caps w:val="0"/>
          <w:color w:val="000000"/>
          <w:spacing w:val="0"/>
          <w:sz w:val="32"/>
          <w:szCs w:val="32"/>
          <w:shd w:val="clear" w:fill="FFFFFF"/>
        </w:rPr>
        <w:t>万元，比上年</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9.52</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增长</w:t>
      </w:r>
      <w:r>
        <w:rPr>
          <w:rFonts w:hint="eastAsia" w:ascii="仿宋" w:hAnsi="仿宋" w:eastAsia="仿宋" w:cs="仿宋"/>
          <w:i w:val="0"/>
          <w:iCs w:val="0"/>
          <w:caps w:val="0"/>
          <w:color w:val="000000"/>
          <w:spacing w:val="0"/>
          <w:sz w:val="32"/>
          <w:szCs w:val="32"/>
          <w:shd w:val="clear" w:fill="FFFFFF"/>
          <w:lang w:val="en-US" w:eastAsia="zh-CN"/>
        </w:rPr>
        <w:t>1.63</w:t>
      </w:r>
      <w:r>
        <w:rPr>
          <w:rFonts w:hint="eastAsia" w:ascii="仿宋" w:hAnsi="仿宋" w:eastAsia="仿宋" w:cs="仿宋"/>
          <w:i w:val="0"/>
          <w:iCs w:val="0"/>
          <w:caps w:val="0"/>
          <w:color w:val="000000"/>
          <w:spacing w:val="0"/>
          <w:sz w:val="32"/>
          <w:szCs w:val="32"/>
          <w:shd w:val="clear" w:fill="FFFFFF"/>
        </w:rPr>
        <w:t>%。主要原因是：</w:t>
      </w:r>
      <w:r>
        <w:rPr>
          <w:rFonts w:hint="eastAsia" w:ascii="仿宋" w:hAnsi="仿宋" w:eastAsia="仿宋" w:cs="仿宋"/>
          <w:i w:val="0"/>
          <w:iCs w:val="0"/>
          <w:caps w:val="0"/>
          <w:color w:val="000000"/>
          <w:spacing w:val="0"/>
          <w:sz w:val="32"/>
          <w:szCs w:val="32"/>
          <w:shd w:val="clear" w:fill="FFFFFF"/>
          <w:lang w:eastAsia="zh-CN"/>
        </w:rPr>
        <w:t>本年预算收入增加</w:t>
      </w:r>
      <w:r>
        <w:rPr>
          <w:rFonts w:hint="eastAsia" w:ascii="仿宋" w:hAnsi="仿宋" w:eastAsia="仿宋" w:cs="仿宋"/>
          <w:i w:val="0"/>
          <w:iCs w:val="0"/>
          <w:caps w:val="0"/>
          <w:color w:val="000000"/>
          <w:spacing w:val="0"/>
          <w:sz w:val="32"/>
          <w:szCs w:val="32"/>
          <w:shd w:val="clear" w:fill="FFFFFF"/>
        </w:rPr>
        <w:t>。其中：基本支出完成</w:t>
      </w:r>
      <w:r>
        <w:rPr>
          <w:rFonts w:hint="eastAsia" w:ascii="仿宋" w:hAnsi="仿宋" w:eastAsia="仿宋" w:cs="仿宋"/>
          <w:i w:val="0"/>
          <w:iCs w:val="0"/>
          <w:caps w:val="0"/>
          <w:color w:val="000000"/>
          <w:spacing w:val="0"/>
          <w:sz w:val="32"/>
          <w:szCs w:val="32"/>
          <w:shd w:val="clear" w:fill="FFFFFF"/>
          <w:lang w:val="en-US" w:eastAsia="zh-CN"/>
        </w:rPr>
        <w:t>594.67</w:t>
      </w:r>
      <w:r>
        <w:rPr>
          <w:rFonts w:hint="eastAsia" w:ascii="仿宋" w:hAnsi="仿宋" w:eastAsia="仿宋" w:cs="仿宋"/>
          <w:i w:val="0"/>
          <w:iCs w:val="0"/>
          <w:caps w:val="0"/>
          <w:color w:val="000000"/>
          <w:spacing w:val="0"/>
          <w:sz w:val="32"/>
          <w:szCs w:val="32"/>
          <w:shd w:val="clear" w:fill="FFFFFF"/>
        </w:rPr>
        <w:t>万元，比上年</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157.89</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增长</w:t>
      </w:r>
      <w:r>
        <w:rPr>
          <w:rFonts w:hint="eastAsia" w:ascii="仿宋" w:hAnsi="仿宋" w:eastAsia="仿宋" w:cs="仿宋"/>
          <w:i w:val="0"/>
          <w:iCs w:val="0"/>
          <w:caps w:val="0"/>
          <w:color w:val="000000"/>
          <w:spacing w:val="0"/>
          <w:sz w:val="32"/>
          <w:szCs w:val="32"/>
          <w:shd w:val="clear" w:fill="FFFFFF"/>
          <w:lang w:val="en-US" w:eastAsia="zh-CN"/>
        </w:rPr>
        <w:t>36.15</w:t>
      </w:r>
      <w:r>
        <w:rPr>
          <w:rFonts w:hint="eastAsia" w:ascii="仿宋" w:hAnsi="仿宋" w:eastAsia="仿宋" w:cs="仿宋"/>
          <w:i w:val="0"/>
          <w:iCs w:val="0"/>
          <w:caps w:val="0"/>
          <w:color w:val="000000"/>
          <w:spacing w:val="0"/>
          <w:sz w:val="32"/>
          <w:szCs w:val="32"/>
          <w:shd w:val="clear" w:fill="FFFFFF"/>
        </w:rPr>
        <w:t>%，变化的主要原因：</w:t>
      </w:r>
      <w:r>
        <w:rPr>
          <w:rFonts w:hint="eastAsia" w:ascii="仿宋" w:hAnsi="仿宋" w:eastAsia="仿宋" w:cs="仿宋"/>
          <w:i w:val="0"/>
          <w:iCs w:val="0"/>
          <w:caps w:val="0"/>
          <w:color w:val="000000"/>
          <w:spacing w:val="0"/>
          <w:sz w:val="32"/>
          <w:szCs w:val="32"/>
          <w:shd w:val="clear" w:fill="FFFFFF"/>
          <w:lang w:eastAsia="zh-CN"/>
        </w:rPr>
        <w:t>工作经费增加</w:t>
      </w:r>
      <w:r>
        <w:rPr>
          <w:rFonts w:hint="eastAsia" w:ascii="仿宋" w:hAnsi="仿宋" w:eastAsia="仿宋" w:cs="仿宋"/>
          <w:i w:val="0"/>
          <w:iCs w:val="0"/>
          <w:caps w:val="0"/>
          <w:color w:val="000000"/>
          <w:spacing w:val="0"/>
          <w:sz w:val="32"/>
          <w:szCs w:val="32"/>
          <w:shd w:val="clear" w:fill="FFFFFF"/>
        </w:rPr>
        <w:t>。项目支出</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万元，比上年</w:t>
      </w:r>
      <w:r>
        <w:rPr>
          <w:rFonts w:hint="eastAsia" w:ascii="仿宋" w:hAnsi="仿宋" w:eastAsia="仿宋" w:cs="仿宋"/>
          <w:i w:val="0"/>
          <w:iCs w:val="0"/>
          <w:caps w:val="0"/>
          <w:color w:val="000000"/>
          <w:spacing w:val="0"/>
          <w:sz w:val="32"/>
          <w:szCs w:val="32"/>
          <w:shd w:val="clear" w:fill="FFFFFF"/>
          <w:lang w:eastAsia="zh-CN"/>
        </w:rPr>
        <w:t>减少</w:t>
      </w:r>
      <w:r>
        <w:rPr>
          <w:rFonts w:hint="eastAsia" w:ascii="仿宋" w:hAnsi="仿宋" w:eastAsia="仿宋" w:cs="仿宋"/>
          <w:i w:val="0"/>
          <w:iCs w:val="0"/>
          <w:caps w:val="0"/>
          <w:color w:val="000000"/>
          <w:spacing w:val="0"/>
          <w:sz w:val="32"/>
          <w:szCs w:val="32"/>
          <w:shd w:val="clear" w:fill="FFFFFF"/>
          <w:lang w:val="en-US" w:eastAsia="zh-CN"/>
        </w:rPr>
        <w:t>148.58</w:t>
      </w:r>
      <w:r>
        <w:rPr>
          <w:rFonts w:hint="eastAsia" w:ascii="仿宋" w:hAnsi="仿宋" w:eastAsia="仿宋" w:cs="仿宋"/>
          <w:i w:val="0"/>
          <w:iCs w:val="0"/>
          <w:caps w:val="0"/>
          <w:color w:val="000000"/>
          <w:spacing w:val="0"/>
          <w:sz w:val="32"/>
          <w:szCs w:val="32"/>
          <w:shd w:val="clear" w:fill="FFFFFF"/>
        </w:rPr>
        <w:t>万元，变化的主要原因：</w:t>
      </w:r>
      <w:r>
        <w:rPr>
          <w:rFonts w:hint="eastAsia" w:ascii="仿宋" w:hAnsi="仿宋" w:eastAsia="仿宋" w:cs="仿宋"/>
          <w:i w:val="0"/>
          <w:iCs w:val="0"/>
          <w:caps w:val="0"/>
          <w:color w:val="000000"/>
          <w:spacing w:val="0"/>
          <w:sz w:val="32"/>
          <w:szCs w:val="32"/>
          <w:shd w:val="clear" w:fill="FFFFFF"/>
          <w:lang w:eastAsia="zh-CN"/>
        </w:rPr>
        <w:t>本年度无项目</w:t>
      </w:r>
      <w:r>
        <w:rPr>
          <w:rFonts w:hint="eastAsia" w:ascii="仿宋" w:hAnsi="仿宋" w:eastAsia="仿宋" w:cs="仿宋"/>
          <w:i w:val="0"/>
          <w:iCs w:val="0"/>
          <w:caps w:val="0"/>
          <w:color w:val="000000"/>
          <w:spacing w:val="0"/>
          <w:sz w:val="32"/>
          <w:szCs w:val="32"/>
          <w:shd w:val="clear" w:fill="FFFFFF"/>
        </w:rPr>
        <w:t>。人员经费完成</w:t>
      </w:r>
      <w:r>
        <w:rPr>
          <w:rFonts w:hint="eastAsia" w:ascii="仿宋" w:hAnsi="仿宋" w:eastAsia="仿宋" w:cs="仿宋"/>
          <w:i w:val="0"/>
          <w:iCs w:val="0"/>
          <w:caps w:val="0"/>
          <w:color w:val="000000"/>
          <w:spacing w:val="0"/>
          <w:sz w:val="32"/>
          <w:szCs w:val="32"/>
          <w:shd w:val="clear" w:fill="FFFFFF"/>
          <w:lang w:val="en-US" w:eastAsia="zh-CN"/>
        </w:rPr>
        <w:t>387.97</w:t>
      </w:r>
      <w:r>
        <w:rPr>
          <w:rFonts w:hint="eastAsia" w:ascii="仿宋" w:hAnsi="仿宋" w:eastAsia="仿宋" w:cs="仿宋"/>
          <w:i w:val="0"/>
          <w:iCs w:val="0"/>
          <w:caps w:val="0"/>
          <w:color w:val="000000"/>
          <w:spacing w:val="0"/>
          <w:sz w:val="32"/>
          <w:szCs w:val="32"/>
          <w:shd w:val="clear" w:fill="FFFFFF"/>
        </w:rPr>
        <w:t>万元，比上年</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68.84</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增长</w:t>
      </w:r>
      <w:r>
        <w:rPr>
          <w:rFonts w:hint="eastAsia" w:ascii="仿宋" w:hAnsi="仿宋" w:eastAsia="仿宋" w:cs="仿宋"/>
          <w:i w:val="0"/>
          <w:iCs w:val="0"/>
          <w:caps w:val="0"/>
          <w:color w:val="000000"/>
          <w:spacing w:val="0"/>
          <w:sz w:val="32"/>
          <w:szCs w:val="32"/>
          <w:shd w:val="clear" w:fill="FFFFFF"/>
          <w:lang w:val="en-US" w:eastAsia="zh-CN"/>
        </w:rPr>
        <w:t>21.57</w:t>
      </w:r>
      <w:r>
        <w:rPr>
          <w:rFonts w:hint="eastAsia" w:ascii="仿宋" w:hAnsi="仿宋" w:eastAsia="仿宋" w:cs="仿宋"/>
          <w:i w:val="0"/>
          <w:iCs w:val="0"/>
          <w:caps w:val="0"/>
          <w:color w:val="000000"/>
          <w:spacing w:val="0"/>
          <w:sz w:val="32"/>
          <w:szCs w:val="32"/>
          <w:shd w:val="clear" w:fill="FFFFFF"/>
        </w:rPr>
        <w:t>%，变化的主要原因：</w:t>
      </w:r>
      <w:r>
        <w:rPr>
          <w:rFonts w:hint="eastAsia" w:ascii="仿宋" w:hAnsi="仿宋" w:eastAsia="仿宋" w:cs="仿宋"/>
          <w:i w:val="0"/>
          <w:iCs w:val="0"/>
          <w:caps w:val="0"/>
          <w:color w:val="000000"/>
          <w:spacing w:val="0"/>
          <w:sz w:val="32"/>
          <w:szCs w:val="32"/>
          <w:shd w:val="clear" w:fill="FFFFFF"/>
          <w:lang w:eastAsia="zh-CN"/>
        </w:rPr>
        <w:t>人员工资提标</w:t>
      </w:r>
      <w:r>
        <w:rPr>
          <w:rFonts w:hint="eastAsia" w:ascii="仿宋" w:hAnsi="仿宋" w:eastAsia="仿宋" w:cs="仿宋"/>
          <w:i w:val="0"/>
          <w:iCs w:val="0"/>
          <w:caps w:val="0"/>
          <w:color w:val="000000"/>
          <w:spacing w:val="0"/>
          <w:sz w:val="32"/>
          <w:szCs w:val="32"/>
          <w:shd w:val="clear" w:fill="FFFFFF"/>
        </w:rPr>
        <w:t>；公用经费完成</w:t>
      </w:r>
      <w:r>
        <w:rPr>
          <w:rFonts w:hint="eastAsia" w:ascii="仿宋" w:hAnsi="仿宋" w:eastAsia="仿宋" w:cs="仿宋"/>
          <w:i w:val="0"/>
          <w:iCs w:val="0"/>
          <w:caps w:val="0"/>
          <w:color w:val="000000"/>
          <w:spacing w:val="0"/>
          <w:sz w:val="32"/>
          <w:szCs w:val="32"/>
          <w:shd w:val="clear" w:fill="FFFFFF"/>
          <w:lang w:val="en-US" w:eastAsia="zh-CN"/>
        </w:rPr>
        <w:t>206.7</w:t>
      </w:r>
      <w:r>
        <w:rPr>
          <w:rFonts w:hint="eastAsia" w:ascii="仿宋" w:hAnsi="仿宋" w:eastAsia="仿宋" w:cs="仿宋"/>
          <w:i w:val="0"/>
          <w:iCs w:val="0"/>
          <w:caps w:val="0"/>
          <w:color w:val="000000"/>
          <w:spacing w:val="0"/>
          <w:sz w:val="32"/>
          <w:szCs w:val="32"/>
          <w:shd w:val="clear" w:fill="FFFFFF"/>
        </w:rPr>
        <w:t>万元，比上年</w:t>
      </w:r>
      <w:r>
        <w:rPr>
          <w:rFonts w:hint="eastAsia" w:ascii="仿宋" w:hAnsi="仿宋" w:eastAsia="仿宋" w:cs="仿宋"/>
          <w:i w:val="0"/>
          <w:iCs w:val="0"/>
          <w:caps w:val="0"/>
          <w:color w:val="000000"/>
          <w:spacing w:val="0"/>
          <w:sz w:val="32"/>
          <w:szCs w:val="32"/>
          <w:shd w:val="clear" w:fill="FFFFFF"/>
          <w:lang w:eastAsia="zh-CN"/>
        </w:rPr>
        <w:t>增加</w:t>
      </w:r>
      <w:r>
        <w:rPr>
          <w:rFonts w:hint="eastAsia" w:ascii="仿宋" w:hAnsi="仿宋" w:eastAsia="仿宋" w:cs="仿宋"/>
          <w:i w:val="0"/>
          <w:iCs w:val="0"/>
          <w:caps w:val="0"/>
          <w:color w:val="000000"/>
          <w:spacing w:val="0"/>
          <w:sz w:val="32"/>
          <w:szCs w:val="32"/>
          <w:shd w:val="clear" w:fill="FFFFFF"/>
          <w:lang w:val="en-US" w:eastAsia="zh-CN"/>
        </w:rPr>
        <w:t>89.05</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增长</w:t>
      </w:r>
      <w:r>
        <w:rPr>
          <w:rFonts w:hint="eastAsia" w:ascii="仿宋" w:hAnsi="仿宋" w:eastAsia="仿宋" w:cs="仿宋"/>
          <w:i w:val="0"/>
          <w:iCs w:val="0"/>
          <w:caps w:val="0"/>
          <w:color w:val="000000"/>
          <w:spacing w:val="0"/>
          <w:sz w:val="32"/>
          <w:szCs w:val="32"/>
          <w:shd w:val="clear" w:fill="FFFFFF"/>
          <w:lang w:val="en-US" w:eastAsia="zh-CN"/>
        </w:rPr>
        <w:t>75.7</w:t>
      </w:r>
      <w:r>
        <w:rPr>
          <w:rFonts w:hint="eastAsia" w:ascii="仿宋" w:hAnsi="仿宋" w:eastAsia="仿宋" w:cs="仿宋"/>
          <w:i w:val="0"/>
          <w:iCs w:val="0"/>
          <w:caps w:val="0"/>
          <w:color w:val="000000"/>
          <w:spacing w:val="0"/>
          <w:sz w:val="32"/>
          <w:szCs w:val="32"/>
          <w:shd w:val="clear" w:fill="FFFFFF"/>
        </w:rPr>
        <w:t>%，变化的主要原因：</w:t>
      </w:r>
      <w:r>
        <w:rPr>
          <w:rFonts w:hint="eastAsia" w:ascii="仿宋" w:hAnsi="仿宋" w:eastAsia="仿宋" w:cs="仿宋"/>
          <w:i w:val="0"/>
          <w:iCs w:val="0"/>
          <w:caps w:val="0"/>
          <w:color w:val="000000"/>
          <w:spacing w:val="0"/>
          <w:sz w:val="32"/>
          <w:szCs w:val="32"/>
          <w:shd w:val="clear" w:fill="FFFFFF"/>
          <w:lang w:eastAsia="zh-CN"/>
        </w:rPr>
        <w:t>工作经费增加</w:t>
      </w:r>
      <w:r>
        <w:rPr>
          <w:rFonts w:hint="eastAsia" w:ascii="仿宋" w:hAnsi="仿宋" w:eastAsia="仿宋" w:cs="仿宋"/>
          <w:i w:val="0"/>
          <w:iCs w:val="0"/>
          <w:caps w:val="0"/>
          <w:color w:val="000000"/>
          <w:spacing w:val="0"/>
          <w:sz w:val="32"/>
          <w:szCs w:val="32"/>
          <w:shd w:val="clear" w:fill="FFFFFF"/>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（二）部门预算执行情况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1.基本支出情况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2023年年初一般公共预算拨款预算支出数为</w:t>
      </w:r>
      <w:r>
        <w:rPr>
          <w:rFonts w:hint="eastAsia" w:ascii="仿宋" w:hAnsi="仿宋" w:eastAsia="仿宋" w:cs="仿宋"/>
          <w:i w:val="0"/>
          <w:iCs w:val="0"/>
          <w:caps w:val="0"/>
          <w:color w:val="000000"/>
          <w:spacing w:val="0"/>
          <w:sz w:val="32"/>
          <w:szCs w:val="32"/>
          <w:shd w:val="clear" w:fill="FFFFFF"/>
          <w:lang w:val="en-US" w:eastAsia="zh-CN"/>
        </w:rPr>
        <w:t>594.67</w:t>
      </w:r>
      <w:r>
        <w:rPr>
          <w:rFonts w:hint="eastAsia" w:ascii="仿宋" w:hAnsi="仿宋" w:eastAsia="仿宋" w:cs="仿宋"/>
          <w:i w:val="0"/>
          <w:iCs w:val="0"/>
          <w:caps w:val="0"/>
          <w:color w:val="000000"/>
          <w:spacing w:val="0"/>
          <w:sz w:val="32"/>
          <w:szCs w:val="32"/>
          <w:shd w:val="clear" w:fill="FFFFFF"/>
        </w:rPr>
        <w:t>万元,其中</w:t>
      </w:r>
      <w:r>
        <w:rPr>
          <w:rFonts w:hint="eastAsia" w:ascii="仿宋" w:hAnsi="仿宋" w:eastAsia="仿宋" w:cs="仿宋"/>
          <w:i w:val="0"/>
          <w:iCs w:val="0"/>
          <w:caps w:val="0"/>
          <w:color w:val="000000"/>
          <w:spacing w:val="0"/>
          <w:sz w:val="32"/>
          <w:szCs w:val="32"/>
          <w:shd w:val="clear" w:fill="FFFFFF"/>
          <w:lang w:eastAsia="zh-CN"/>
        </w:rPr>
        <w:t>其中支出</w:t>
      </w:r>
      <w:r>
        <w:rPr>
          <w:rFonts w:hint="eastAsia" w:ascii="仿宋" w:hAnsi="仿宋" w:eastAsia="仿宋" w:cs="仿宋"/>
          <w:i w:val="0"/>
          <w:iCs w:val="0"/>
          <w:caps w:val="0"/>
          <w:color w:val="000000"/>
          <w:spacing w:val="0"/>
          <w:sz w:val="32"/>
          <w:szCs w:val="32"/>
          <w:shd w:val="clear" w:fill="FFFFFF"/>
          <w:lang w:val="en-US" w:eastAsia="zh-CN"/>
        </w:rPr>
        <w:t>594.67</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它主要是为保障单位机构正常运转、完成日常工作任务而发生的各项支出，包括用于基本工资、津贴补贴等人员经费以及办公费、印刷费、水电费、办公设备</w:t>
      </w:r>
      <w:r>
        <w:rPr>
          <w:rFonts w:hint="eastAsia" w:ascii="仿宋" w:hAnsi="仿宋" w:eastAsia="仿宋" w:cs="仿宋"/>
          <w:i w:val="0"/>
          <w:iCs w:val="0"/>
          <w:caps w:val="0"/>
          <w:color w:val="000000"/>
          <w:spacing w:val="0"/>
          <w:sz w:val="32"/>
          <w:szCs w:val="32"/>
          <w:shd w:val="clear" w:fill="FFFFFF"/>
        </w:rPr>
        <w:t>购置等日常公用经费。</w:t>
      </w:r>
      <w:r>
        <w:rPr>
          <w:rFonts w:hint="eastAsia" w:ascii="仿宋" w:hAnsi="仿宋" w:eastAsia="仿宋" w:cs="仿宋"/>
          <w:i w:val="0"/>
          <w:iCs w:val="0"/>
          <w:caps w:val="0"/>
          <w:color w:val="000000"/>
          <w:spacing w:val="0"/>
          <w:sz w:val="32"/>
          <w:szCs w:val="32"/>
          <w:shd w:val="clear" w:fill="FFFFFF"/>
          <w:lang w:eastAsia="zh-CN"/>
        </w:rPr>
        <w:t>项目支出</w:t>
      </w:r>
      <w:r>
        <w:rPr>
          <w:rFonts w:hint="eastAsia" w:ascii="仿宋" w:hAnsi="仿宋" w:eastAsia="仿宋" w:cs="仿宋"/>
          <w:i w:val="0"/>
          <w:iCs w:val="0"/>
          <w:caps w:val="0"/>
          <w:color w:val="000000"/>
          <w:spacing w:val="0"/>
          <w:sz w:val="32"/>
          <w:szCs w:val="32"/>
          <w:shd w:val="clear" w:fill="FFFFFF"/>
          <w:lang w:val="en-US" w:eastAsia="zh-CN"/>
        </w:rPr>
        <w:t>0万元</w:t>
      </w:r>
      <w:r>
        <w:rPr>
          <w:rFonts w:hint="eastAsia" w:ascii="仿宋" w:hAnsi="仿宋" w:eastAsia="仿宋" w:cs="仿宋"/>
          <w:i w:val="0"/>
          <w:iCs w:val="0"/>
          <w:caps w:val="0"/>
          <w:color w:val="000000"/>
          <w:spacing w:val="0"/>
          <w:sz w:val="32"/>
          <w:szCs w:val="32"/>
          <w:shd w:val="clear" w:fill="FFFFFF"/>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lang w:val="en-US" w:eastAsia="zh-CN"/>
        </w:rPr>
        <w:t>2、</w:t>
      </w:r>
      <w:r>
        <w:rPr>
          <w:rFonts w:hint="eastAsia" w:ascii="仿宋" w:hAnsi="仿宋" w:eastAsia="仿宋" w:cs="仿宋"/>
          <w:b/>
          <w:bCs/>
          <w:i w:val="0"/>
          <w:iCs w:val="0"/>
          <w:caps w:val="0"/>
          <w:color w:val="000000"/>
          <w:spacing w:val="0"/>
          <w:sz w:val="32"/>
          <w:szCs w:val="32"/>
          <w:shd w:val="clear" w:fill="FFFFFF"/>
        </w:rPr>
        <w:t>项目支出情况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2023年，我局无</w:t>
      </w:r>
      <w:r>
        <w:rPr>
          <w:rFonts w:hint="eastAsia" w:ascii="仿宋" w:hAnsi="仿宋" w:eastAsia="仿宋" w:cs="仿宋"/>
          <w:i w:val="0"/>
          <w:iCs w:val="0"/>
          <w:caps w:val="0"/>
          <w:color w:val="000000"/>
          <w:spacing w:val="0"/>
          <w:sz w:val="32"/>
          <w:szCs w:val="32"/>
          <w:shd w:val="clear" w:fill="FFFFFF"/>
          <w:lang w:eastAsia="zh-CN"/>
        </w:rPr>
        <w:t>项目</w:t>
      </w:r>
      <w:r>
        <w:rPr>
          <w:rFonts w:hint="eastAsia" w:ascii="仿宋" w:hAnsi="仿宋" w:eastAsia="仿宋" w:cs="仿宋"/>
          <w:i w:val="0"/>
          <w:iCs w:val="0"/>
          <w:caps w:val="0"/>
          <w:color w:val="000000"/>
          <w:spacing w:val="0"/>
          <w:sz w:val="32"/>
          <w:szCs w:val="32"/>
          <w:shd w:val="clear" w:fill="FFFFFF"/>
        </w:rPr>
        <w:t>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三、政府性基金预算支出情况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20" w:firstLineChars="1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2023年，我局无政府性基金预算支出。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四、国有资本经营预算支出情况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2023年，我局无国有资本经营预算支出。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五、社会保险基金预算支出情况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2023年，我局无社会保险基金预算支出。</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部门整体支出绩效情况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（一）综合评价结论。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2023年，我</w:t>
      </w:r>
      <w:r>
        <w:rPr>
          <w:rFonts w:hint="eastAsia" w:ascii="仿宋" w:hAnsi="仿宋" w:eastAsia="仿宋" w:cs="仿宋"/>
          <w:i w:val="0"/>
          <w:iCs w:val="0"/>
          <w:caps w:val="0"/>
          <w:color w:val="000000"/>
          <w:spacing w:val="0"/>
          <w:sz w:val="32"/>
          <w:szCs w:val="32"/>
          <w:shd w:val="clear" w:fill="FFFFFF"/>
          <w:lang w:eastAsia="zh-CN"/>
        </w:rPr>
        <w:t>办</w:t>
      </w:r>
      <w:r>
        <w:rPr>
          <w:rFonts w:hint="eastAsia" w:ascii="仿宋" w:hAnsi="仿宋" w:eastAsia="仿宋" w:cs="仿宋"/>
          <w:i w:val="0"/>
          <w:iCs w:val="0"/>
          <w:caps w:val="0"/>
          <w:color w:val="000000"/>
          <w:spacing w:val="0"/>
          <w:sz w:val="32"/>
          <w:szCs w:val="32"/>
          <w:shd w:val="clear" w:fill="FFFFFF"/>
        </w:rPr>
        <w:t>认真做好年度财政资金的绩效评价工作，在资金使用和管理方面，进一步强化资金统筹，优化资金结构，明确开支范围，细化资金用途，确保部门职责任务顺利完成。我局对绩效评价情况进行了综合评定，认为我局其他项目支出资金的管理使用规范、资金使用效益明显，成效显著，得出2023年度财政其他项目支出专项资金价自评分数为9</w:t>
      </w: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rPr>
        <w:t>分，绩效评价等次为“优秀”。</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（二）评价指标分析（或综合评价情况）。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3" w:firstLineChars="20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1.对履职效能主要指标的完成情况进行具体分析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eastAsia="zh-CN"/>
        </w:rPr>
        <w:t>我办</w:t>
      </w:r>
      <w:r>
        <w:rPr>
          <w:rFonts w:hint="eastAsia" w:ascii="仿宋" w:hAnsi="仿宋" w:eastAsia="仿宋" w:cs="仿宋"/>
          <w:i w:val="0"/>
          <w:iCs w:val="0"/>
          <w:caps w:val="0"/>
          <w:color w:val="000000"/>
          <w:spacing w:val="0"/>
          <w:sz w:val="32"/>
          <w:szCs w:val="32"/>
          <w:shd w:val="clear" w:fill="FFFFFF"/>
        </w:rPr>
        <w:t>绩效目标实施按财政批复的预算绩效目标实施方案进行，本着“少花钱、多办事、办好事”的原则，支出资金没有超过批复预算和年终财政追加指标总概算。</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b/>
          <w:bCs/>
          <w:i w:val="0"/>
          <w:iCs w:val="0"/>
          <w:caps w:val="0"/>
          <w:color w:val="000000"/>
          <w:spacing w:val="0"/>
          <w:sz w:val="32"/>
          <w:szCs w:val="32"/>
          <w:shd w:val="clear" w:fill="FFFFFF"/>
        </w:rPr>
        <w:t>　2.对管理效率主要指标的完成情况进行具体分析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本绩效目标开始时间为2023年1月1日，完成时间2023年12月31日。我</w:t>
      </w:r>
      <w:r>
        <w:rPr>
          <w:rFonts w:hint="eastAsia" w:ascii="仿宋" w:hAnsi="仿宋" w:eastAsia="仿宋" w:cs="仿宋"/>
          <w:i w:val="0"/>
          <w:iCs w:val="0"/>
          <w:caps w:val="0"/>
          <w:color w:val="000000"/>
          <w:spacing w:val="0"/>
          <w:sz w:val="32"/>
          <w:szCs w:val="32"/>
          <w:shd w:val="clear" w:fill="FFFFFF"/>
          <w:lang w:eastAsia="zh-CN"/>
        </w:rPr>
        <w:t>办</w:t>
      </w:r>
      <w:r>
        <w:rPr>
          <w:rFonts w:hint="eastAsia" w:ascii="仿宋" w:hAnsi="仿宋" w:eastAsia="仿宋" w:cs="仿宋"/>
          <w:i w:val="0"/>
          <w:iCs w:val="0"/>
          <w:caps w:val="0"/>
          <w:color w:val="000000"/>
          <w:spacing w:val="0"/>
          <w:sz w:val="32"/>
          <w:szCs w:val="32"/>
          <w:shd w:val="clear" w:fill="FFFFFF"/>
        </w:rPr>
        <w:t>积极及时组织实施各项行政管理事务，当年按质、按量完成了各项目标任务和绩效目标支出资金。专项资金按照规范程序提请申请、分配、管理和使用，建立了专项资金内部监督制约制衡机制，坚持专款专用，强化专项资金使用项目使用专项资金，加强专项资金使用过程的控制和追踪问效，进一步推进专项资金申请和使用中的监管。</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3" w:firstLineChars="200"/>
        <w:textAlignment w:val="auto"/>
        <w:rPr>
          <w:rFonts w:hint="eastAsia" w:ascii="仿宋" w:hAnsi="仿宋" w:eastAsia="仿宋" w:cs="仿宋"/>
          <w:b/>
          <w:bCs/>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3.对履职效益主要指标的完成情况进行具体分析</w:t>
      </w:r>
    </w:p>
    <w:p>
      <w:pPr>
        <w:keepNext w:val="0"/>
        <w:keepLines w:val="0"/>
        <w:pageBreakBefore w:val="0"/>
        <w:widowControl w:val="0"/>
        <w:numPr>
          <w:numId w:val="0"/>
        </w:numPr>
        <w:kinsoku/>
        <w:wordWrap/>
        <w:overflowPunct w:val="0"/>
        <w:topLinePunct/>
        <w:autoSpaceDE/>
        <w:autoSpaceDN/>
        <w:bidi w:val="0"/>
        <w:adjustRightInd/>
        <w:snapToGrid/>
        <w:spacing w:line="560" w:lineRule="exact"/>
        <w:ind w:left="210" w:leftChars="0" w:firstLine="643" w:firstLineChars="200"/>
        <w:jc w:val="both"/>
        <w:textAlignment w:val="auto"/>
        <w:rPr>
          <w:rFonts w:hint="eastAsia" w:ascii="仿宋" w:hAnsi="仿宋" w:eastAsia="仿宋" w:cs="仿宋"/>
          <w:bCs/>
          <w:snapToGrid w:val="0"/>
          <w:color w:val="auto"/>
          <w:kern w:val="0"/>
          <w:sz w:val="32"/>
          <w:szCs w:val="32"/>
          <w:lang w:val="en-US" w:eastAsia="zh-CN"/>
        </w:rPr>
      </w:pPr>
      <w:r>
        <w:rPr>
          <w:rFonts w:hint="eastAsia" w:ascii="仿宋" w:hAnsi="仿宋" w:eastAsia="仿宋" w:cs="仿宋"/>
          <w:b/>
          <w:bCs w:val="0"/>
          <w:snapToGrid w:val="0"/>
          <w:color w:val="auto"/>
          <w:kern w:val="0"/>
          <w:sz w:val="32"/>
          <w:szCs w:val="32"/>
          <w:lang w:eastAsia="zh-CN"/>
        </w:rPr>
        <w:t>一是加强政治建设。</w:t>
      </w:r>
      <w:r>
        <w:rPr>
          <w:rFonts w:hint="eastAsia" w:ascii="仿宋" w:hAnsi="仿宋" w:eastAsia="仿宋" w:cs="仿宋"/>
          <w:bCs/>
          <w:snapToGrid w:val="0"/>
          <w:color w:val="auto"/>
          <w:kern w:val="0"/>
          <w:sz w:val="32"/>
          <w:szCs w:val="32"/>
          <w:lang w:val="en-US" w:eastAsia="zh-CN"/>
        </w:rPr>
        <w:t>聚焦政治建设这个根本属性，健全完善区委办公室“第一议题”制度，第一时间组织传达学习习近平总书记系列重要讲话重要指示批示精神，第一时间传达学习中央、省委、市委、区委重大决策部署和重要讲话、会议精神，不断培育党员干部涵养政治定力、恪守政治规矩，经常对标对表，及时校准偏差。一年来，组织开展区委办理论学习中心组学习</w:t>
      </w:r>
      <w:r>
        <w:rPr>
          <w:rFonts w:hint="eastAsia" w:ascii="仿宋" w:hAnsi="仿宋" w:eastAsia="仿宋" w:cs="仿宋"/>
          <w:b w:val="0"/>
          <w:bCs/>
          <w:snapToGrid w:val="0"/>
          <w:color w:val="auto"/>
          <w:kern w:val="0"/>
          <w:sz w:val="32"/>
          <w:szCs w:val="32"/>
          <w:lang w:val="en-US" w:eastAsia="zh-CN"/>
        </w:rPr>
        <w:t>12次，专题研讨5次。扎实开展主题教育，通过理论学习中心组“带头学”，党员干部学习强国“比拼学”，搭建全区办公室系统读书沙龙“共同学”，让党办干部自觉把“两个确立”“两个维护”落实到实际行动中，体现在一言一行上；以“班子”＋普通干部的模式，全年到联点村、联点楼栋、公交车站开展志愿服务46次；结合“走找想促”活动，抓实“三重”调研，完成各类调研报告12篇，提出工作建议46条，为区委高质量决策提供服务。主动服务市委市政府、区委区政府中心工作任务，牵头抓好省委巡视反馈问题市县同改。围绕落细落实习近平总书记重要讲话重要指示批示精神以及党中央重大决策部署和省委、市委部署安排，建立闭环监督机制，实行清单式管理，适时开展“回头看”，及</w:t>
      </w:r>
      <w:r>
        <w:rPr>
          <w:rFonts w:hint="eastAsia" w:ascii="仿宋" w:hAnsi="仿宋" w:eastAsia="仿宋" w:cs="仿宋"/>
          <w:bCs/>
          <w:snapToGrid w:val="0"/>
          <w:color w:val="auto"/>
          <w:kern w:val="0"/>
          <w:sz w:val="32"/>
          <w:szCs w:val="32"/>
          <w:lang w:val="en-US" w:eastAsia="zh-CN"/>
        </w:rPr>
        <w:t>时出台贯彻落实中央、省委、市委重大决策部署和重要讲话、会议精神的任务实施文件20余份。</w:t>
      </w:r>
      <w:r>
        <w:rPr>
          <w:rFonts w:hint="eastAsia" w:ascii="仿宋" w:hAnsi="仿宋" w:eastAsia="仿宋" w:cs="仿宋"/>
          <w:bCs/>
          <w:color w:val="auto"/>
          <w:kern w:val="0"/>
          <w:sz w:val="32"/>
          <w:szCs w:val="32"/>
          <w:lang w:val="en-US" w:eastAsia="zh-CN" w:bidi="ar-SA"/>
        </w:rPr>
        <w:t>2023年度未出现“七个有之”</w:t>
      </w:r>
      <w:r>
        <w:rPr>
          <w:rFonts w:hint="eastAsia" w:ascii="仿宋" w:hAnsi="仿宋" w:eastAsia="仿宋" w:cs="仿宋"/>
          <w:bCs/>
          <w:snapToGrid w:val="0"/>
          <w:color w:val="auto"/>
          <w:kern w:val="0"/>
          <w:sz w:val="32"/>
          <w:szCs w:val="32"/>
          <w:lang w:val="en-US" w:eastAsia="zh-CN"/>
        </w:rPr>
        <w:t>。</w:t>
      </w: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3" w:firstLineChars="200"/>
        <w:jc w:val="both"/>
        <w:textAlignment w:val="auto"/>
        <w:rPr>
          <w:rFonts w:hint="eastAsia" w:ascii="仿宋" w:hAnsi="仿宋" w:eastAsia="仿宋" w:cs="仿宋"/>
          <w:b w:val="0"/>
          <w:bCs/>
          <w:strike w:val="0"/>
          <w:dstrike w:val="0"/>
          <w:snapToGrid w:val="0"/>
          <w:color w:val="auto"/>
          <w:kern w:val="0"/>
          <w:sz w:val="32"/>
          <w:szCs w:val="32"/>
          <w:lang w:val="en-US" w:eastAsia="zh-CN"/>
        </w:rPr>
      </w:pPr>
      <w:r>
        <w:rPr>
          <w:rFonts w:hint="eastAsia" w:ascii="仿宋" w:hAnsi="仿宋" w:eastAsia="仿宋" w:cs="仿宋"/>
          <w:b/>
          <w:bCs w:val="0"/>
          <w:snapToGrid w:val="0"/>
          <w:color w:val="auto"/>
          <w:kern w:val="0"/>
          <w:sz w:val="32"/>
          <w:szCs w:val="32"/>
          <w:lang w:val="en-US" w:eastAsia="zh-CN"/>
        </w:rPr>
        <w:t>二是加强信息工作。</w:t>
      </w:r>
      <w:r>
        <w:rPr>
          <w:rFonts w:hint="eastAsia" w:ascii="仿宋" w:hAnsi="仿宋" w:eastAsia="仿宋" w:cs="仿宋"/>
          <w:bCs/>
          <w:color w:val="auto"/>
          <w:sz w:val="32"/>
          <w:szCs w:val="32"/>
        </w:rPr>
        <w:t>紧紧围绕</w:t>
      </w:r>
      <w:r>
        <w:rPr>
          <w:rFonts w:hint="eastAsia" w:ascii="仿宋" w:hAnsi="仿宋" w:eastAsia="仿宋" w:cs="仿宋"/>
          <w:bCs/>
          <w:color w:val="auto"/>
          <w:sz w:val="32"/>
          <w:szCs w:val="32"/>
          <w:lang w:eastAsia="zh-CN"/>
        </w:rPr>
        <w:t>区</w:t>
      </w:r>
      <w:r>
        <w:rPr>
          <w:rFonts w:hint="eastAsia" w:ascii="仿宋" w:hAnsi="仿宋" w:eastAsia="仿宋" w:cs="仿宋"/>
          <w:bCs/>
          <w:color w:val="auto"/>
          <w:sz w:val="32"/>
          <w:szCs w:val="32"/>
        </w:rPr>
        <w:t>委的中心工作和领导需求</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牢牢抓住全</w:t>
      </w:r>
      <w:r>
        <w:rPr>
          <w:rFonts w:hint="eastAsia" w:ascii="仿宋" w:hAnsi="仿宋" w:eastAsia="仿宋" w:cs="仿宋"/>
          <w:bCs/>
          <w:color w:val="auto"/>
          <w:sz w:val="32"/>
          <w:szCs w:val="32"/>
          <w:lang w:eastAsia="zh-CN"/>
        </w:rPr>
        <w:t>区</w:t>
      </w:r>
      <w:r>
        <w:rPr>
          <w:rFonts w:hint="eastAsia" w:ascii="仿宋" w:hAnsi="仿宋" w:eastAsia="仿宋" w:cs="仿宋"/>
          <w:bCs/>
          <w:color w:val="auto"/>
          <w:sz w:val="32"/>
          <w:szCs w:val="32"/>
        </w:rPr>
        <w:t>经济社会发展中的热点、难点问题</w:t>
      </w:r>
      <w:r>
        <w:rPr>
          <w:rFonts w:hint="eastAsia" w:ascii="仿宋" w:hAnsi="仿宋" w:eastAsia="仿宋" w:cs="仿宋"/>
          <w:bCs/>
          <w:color w:val="auto"/>
          <w:sz w:val="32"/>
          <w:szCs w:val="32"/>
          <w:lang w:eastAsia="zh-CN"/>
        </w:rPr>
        <w:t>，按照市委办信息科工作要求，按时</w:t>
      </w:r>
      <w:r>
        <w:rPr>
          <w:rFonts w:hint="eastAsia" w:ascii="仿宋" w:hAnsi="仿宋" w:eastAsia="仿宋" w:cs="仿宋"/>
          <w:bCs/>
          <w:color w:val="auto"/>
          <w:sz w:val="32"/>
          <w:szCs w:val="32"/>
        </w:rPr>
        <w:t>采编、报送高质量的信息</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全年共编发上报信息</w:t>
      </w:r>
      <w:r>
        <w:rPr>
          <w:rFonts w:hint="eastAsia" w:ascii="仿宋" w:hAnsi="仿宋" w:eastAsia="仿宋" w:cs="仿宋"/>
          <w:bCs/>
          <w:color w:val="auto"/>
          <w:sz w:val="32"/>
          <w:szCs w:val="32"/>
          <w:lang w:val="en-US" w:eastAsia="zh-CN"/>
        </w:rPr>
        <w:t>80余</w:t>
      </w:r>
      <w:r>
        <w:rPr>
          <w:rFonts w:hint="eastAsia" w:ascii="仿宋" w:hAnsi="仿宋" w:eastAsia="仿宋" w:cs="仿宋"/>
          <w:bCs/>
          <w:color w:val="auto"/>
          <w:sz w:val="32"/>
          <w:szCs w:val="32"/>
        </w:rPr>
        <w:t>条</w:t>
      </w:r>
      <w:r>
        <w:rPr>
          <w:rFonts w:hint="eastAsia" w:ascii="仿宋" w:hAnsi="仿宋" w:eastAsia="仿宋" w:cs="仿宋"/>
          <w:bCs/>
          <w:color w:val="auto"/>
          <w:sz w:val="32"/>
          <w:szCs w:val="32"/>
          <w:lang w:eastAsia="zh-CN"/>
        </w:rPr>
        <w:t>，上报信息选题</w:t>
      </w:r>
      <w:r>
        <w:rPr>
          <w:rFonts w:hint="eastAsia" w:ascii="仿宋" w:hAnsi="仿宋" w:eastAsia="仿宋" w:cs="仿宋"/>
          <w:bCs/>
          <w:color w:val="auto"/>
          <w:sz w:val="32"/>
          <w:szCs w:val="32"/>
          <w:lang w:val="en-US" w:eastAsia="zh-CN"/>
        </w:rPr>
        <w:t>90余个，</w:t>
      </w:r>
      <w:r>
        <w:rPr>
          <w:rFonts w:hint="eastAsia" w:ascii="仿宋" w:hAnsi="仿宋" w:eastAsia="仿宋" w:cs="仿宋"/>
          <w:bCs/>
          <w:sz w:val="32"/>
          <w:szCs w:val="32"/>
          <w:lang w:eastAsia="zh-CN"/>
        </w:rPr>
        <w:t>《“工业+旅游”双向赋能推动企业发展》、“强街镇、优居村”基层治理“十无”工作法在《要情汇报》刊发</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严格执行紧急信息</w:t>
      </w:r>
      <w:r>
        <w:rPr>
          <w:rFonts w:hint="eastAsia" w:ascii="仿宋" w:hAnsi="仿宋" w:eastAsia="仿宋" w:cs="仿宋"/>
          <w:bCs/>
          <w:color w:val="auto"/>
          <w:sz w:val="32"/>
          <w:szCs w:val="32"/>
          <w:lang w:val="en-US" w:eastAsia="zh-CN"/>
        </w:rPr>
        <w:t>值班制度，做到24小时均有专人值班值守。进一步畅通信息报送渠道，要求各镇（街道）、区属部门明确信息工作联络人，建立信息报送工作沟通网络。加强学习培训，</w:t>
      </w:r>
      <w:r>
        <w:rPr>
          <w:rFonts w:hint="eastAsia" w:ascii="仿宋" w:hAnsi="仿宋" w:eastAsia="仿宋" w:cs="仿宋"/>
          <w:bCs/>
          <w:color w:val="auto"/>
          <w:sz w:val="32"/>
          <w:szCs w:val="32"/>
          <w:lang w:eastAsia="zh-CN"/>
        </w:rPr>
        <w:t>以</w:t>
      </w:r>
      <w:r>
        <w:rPr>
          <w:rFonts w:hint="eastAsia" w:ascii="仿宋" w:hAnsi="仿宋" w:eastAsia="仿宋" w:cs="仿宋"/>
          <w:b w:val="0"/>
          <w:bCs/>
          <w:strike w:val="0"/>
          <w:dstrike w:val="0"/>
          <w:snapToGrid w:val="0"/>
          <w:color w:val="auto"/>
          <w:kern w:val="0"/>
          <w:sz w:val="32"/>
          <w:szCs w:val="32"/>
          <w:lang w:val="en-US" w:eastAsia="zh-CN"/>
        </w:rPr>
        <w:t>全区办公室系统开展“政治练兵、岗位砺才、工作争先”活动为契机，安排人员到区委办、市委办跟班学习，提高信息业务能力。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val="0"/>
        <w:topLinePunct/>
        <w:autoSpaceDE/>
        <w:autoSpaceDN/>
        <w:bidi w:val="0"/>
        <w:adjustRightInd/>
        <w:snapToGrid/>
        <w:spacing w:before="0" w:beforeAutospacing="0" w:after="0" w:afterAutospacing="0" w:line="560" w:lineRule="exact"/>
        <w:ind w:left="0" w:right="0" w:firstLine="630"/>
        <w:jc w:val="both"/>
        <w:textAlignment w:val="auto"/>
        <w:rPr>
          <w:rFonts w:hint="eastAsia" w:ascii="仿宋" w:hAnsi="仿宋" w:eastAsia="仿宋" w:cs="仿宋"/>
          <w:bCs/>
          <w:i w:val="0"/>
          <w:iCs w:val="0"/>
          <w:caps w:val="0"/>
          <w:color w:val="auto"/>
          <w:spacing w:val="0"/>
          <w:sz w:val="32"/>
          <w:szCs w:val="32"/>
          <w:shd w:val="clear" w:color="auto" w:fill="FFFFFF"/>
          <w:lang w:val="en-US" w:eastAsia="zh-CN"/>
        </w:rPr>
      </w:pPr>
      <w:r>
        <w:rPr>
          <w:rFonts w:hint="eastAsia" w:ascii="仿宋" w:hAnsi="仿宋" w:eastAsia="仿宋" w:cs="仿宋"/>
          <w:b/>
          <w:bCs w:val="0"/>
          <w:color w:val="auto"/>
          <w:sz w:val="32"/>
          <w:szCs w:val="32"/>
          <w:lang w:val="en-US" w:eastAsia="zh-CN"/>
        </w:rPr>
        <w:t>三是加强法规工作。</w:t>
      </w:r>
      <w:r>
        <w:rPr>
          <w:rFonts w:hint="eastAsia" w:ascii="仿宋" w:hAnsi="仿宋" w:eastAsia="仿宋" w:cs="仿宋"/>
          <w:bCs/>
          <w:i w:val="0"/>
          <w:iCs w:val="0"/>
          <w:caps w:val="0"/>
          <w:color w:val="auto"/>
          <w:spacing w:val="0"/>
          <w:sz w:val="32"/>
          <w:szCs w:val="32"/>
          <w:shd w:val="clear" w:color="auto" w:fill="FFFFFF"/>
          <w:lang w:val="en-US" w:eastAsia="zh-CN"/>
        </w:rPr>
        <w:t>严格执行前置审核制度，对拟提请区委常委会会议审议的重要党内规范性文件草拟稿进行严格前置审核，从严审核文件的必要性、规范性和程序性，把好政治政策关、法律法规关、形式格式关、语言文字关，涉及职能部门权限范围内的事项要确认是否经过协商并达成一致意见、是否符合有关权限和程序，确保审核文件合法合规、规范严谨。按要求向市委办报送备案文件2个；对全区5个镇（街道）开展下备一级工作。</w:t>
      </w:r>
    </w:p>
    <w:p>
      <w:pPr>
        <w:pStyle w:val="2"/>
        <w:rPr>
          <w:rFonts w:hint="eastAsia"/>
          <w:lang w:val="en-US" w:eastAsia="zh-CN"/>
        </w:rPr>
      </w:pP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存在的问题及原因分析</w:t>
      </w:r>
    </w:p>
    <w:p>
      <w:pPr>
        <w:keepNext w:val="0"/>
        <w:keepLines w:val="0"/>
        <w:pageBreakBefore w:val="0"/>
        <w:kinsoku/>
        <w:wordWrap/>
        <w:overflowPunct/>
        <w:topLinePunct w:val="0"/>
        <w:autoSpaceDE/>
        <w:bidi w:val="0"/>
        <w:adjustRightInd/>
        <w:snapToGrid/>
        <w:spacing w:line="510" w:lineRule="exact"/>
        <w:ind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color w:val="auto"/>
          <w:sz w:val="32"/>
          <w:szCs w:val="32"/>
        </w:rPr>
        <w:t>绩效</w:t>
      </w:r>
      <w:r>
        <w:rPr>
          <w:rFonts w:hint="eastAsia" w:ascii="仿宋" w:hAnsi="仿宋" w:eastAsia="仿宋" w:cs="仿宋"/>
          <w:color w:val="auto"/>
          <w:sz w:val="32"/>
          <w:szCs w:val="32"/>
          <w:lang w:eastAsia="zh-CN"/>
        </w:rPr>
        <w:t>管理</w:t>
      </w:r>
      <w:r>
        <w:rPr>
          <w:rFonts w:hint="eastAsia" w:ascii="仿宋" w:hAnsi="仿宋" w:eastAsia="仿宋" w:cs="仿宋"/>
          <w:color w:val="auto"/>
          <w:sz w:val="32"/>
          <w:szCs w:val="32"/>
        </w:rPr>
        <w:t>工作中存在的主要问题：一是各相关股（室）对绩效评价工作的重要性认识有待进一步提高；二是项目支出绩效评价指标体系不完善，给考核评价及评分工作带来一定的困难。</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是人员结构及队伍素质尚需优化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能力和信息化水平亟待提升</w:t>
      </w:r>
      <w:r>
        <w:rPr>
          <w:rFonts w:hint="eastAsia" w:ascii="仿宋" w:hAnsi="仿宋" w:eastAsia="仿宋" w:cs="仿宋"/>
          <w:color w:val="auto"/>
          <w:sz w:val="32"/>
          <w:szCs w:val="32"/>
          <w:lang w:eastAsia="zh-CN"/>
        </w:rPr>
        <w:t>。</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下一步改进措施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一是完善体制机制，切实强化制度保障。结合部门实际，制定了财务管理相关制度，为进一步规范专项资金管理提供了有力依据。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二是规范资金管理，做到专款专用。根据财务管理相关规定，结合部门业务工作，严格审批每一笔专项资金支出，坚决杜绝滞留、截留、挤占、挪用虚列支出等现象发生。</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三是明确目标，细化责任。根据资金用途和项目的目标任务，将具体任务落实到相关股室，责任到人。</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其他需要说明的情况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lang w:eastAsia="zh-CN"/>
        </w:rPr>
        <w:t>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附件：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 中共邵阳市北塔区委办公室                                    </w:t>
      </w:r>
    </w:p>
    <w:tbl>
      <w:tblPr>
        <w:tblStyle w:val="1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1220"/>
        <w:gridCol w:w="813"/>
        <w:gridCol w:w="893"/>
        <w:gridCol w:w="1340"/>
        <w:gridCol w:w="913"/>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财政供养人员情况</w:t>
            </w:r>
          </w:p>
        </w:tc>
        <w:tc>
          <w:tcPr>
            <w:tcW w:w="2033"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编制数</w:t>
            </w:r>
          </w:p>
        </w:tc>
        <w:tc>
          <w:tcPr>
            <w:tcW w:w="2233"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2023年实际在职人数</w:t>
            </w:r>
          </w:p>
        </w:tc>
        <w:tc>
          <w:tcPr>
            <w:tcW w:w="1827"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345" w:type="dxa"/>
            <w:vMerge w:val="continue"/>
            <w:vAlign w:val="center"/>
          </w:tcPr>
          <w:p>
            <w:pPr>
              <w:jc w:val="center"/>
              <w:rPr>
                <w:rFonts w:hint="eastAsia" w:ascii="仿宋" w:hAnsi="仿宋" w:eastAsia="仿宋" w:cs="仿宋"/>
                <w:b w:val="0"/>
                <w:bCs w:val="0"/>
                <w:kern w:val="0"/>
                <w:sz w:val="20"/>
                <w:szCs w:val="20"/>
              </w:rPr>
            </w:pPr>
          </w:p>
        </w:tc>
        <w:tc>
          <w:tcPr>
            <w:tcW w:w="20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rPr>
            </w:pPr>
            <w:r>
              <w:rPr>
                <w:rFonts w:hint="eastAsia" w:ascii="宋体" w:hAnsi="宋体" w:eastAsia="宋体" w:cs="宋体"/>
                <w:b w:val="0"/>
                <w:bCs w:val="0"/>
                <w:i w:val="0"/>
                <w:iCs w:val="0"/>
                <w:color w:val="auto"/>
                <w:kern w:val="0"/>
                <w:sz w:val="22"/>
                <w:szCs w:val="22"/>
                <w:u w:val="none"/>
                <w:lang w:val="en-US" w:eastAsia="zh-CN" w:bidi="ar"/>
              </w:rPr>
              <w:t>20</w:t>
            </w:r>
          </w:p>
        </w:tc>
        <w:tc>
          <w:tcPr>
            <w:tcW w:w="22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rPr>
            </w:pPr>
            <w:r>
              <w:rPr>
                <w:rFonts w:hint="eastAsia" w:ascii="宋体" w:hAnsi="宋体" w:eastAsia="宋体" w:cs="宋体"/>
                <w:b w:val="0"/>
                <w:bCs w:val="0"/>
                <w:i w:val="0"/>
                <w:iCs w:val="0"/>
                <w:color w:val="auto"/>
                <w:kern w:val="0"/>
                <w:sz w:val="22"/>
                <w:szCs w:val="22"/>
                <w:u w:val="none"/>
                <w:lang w:val="en-US" w:eastAsia="zh-CN" w:bidi="ar"/>
              </w:rPr>
              <w:t>20</w:t>
            </w:r>
          </w:p>
        </w:tc>
        <w:tc>
          <w:tcPr>
            <w:tcW w:w="1827"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经费控制情况(万元)</w:t>
            </w:r>
          </w:p>
        </w:tc>
        <w:tc>
          <w:tcPr>
            <w:tcW w:w="2033"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2022年决算数</w:t>
            </w:r>
          </w:p>
        </w:tc>
        <w:tc>
          <w:tcPr>
            <w:tcW w:w="2233"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2023年预算数</w:t>
            </w:r>
          </w:p>
        </w:tc>
        <w:tc>
          <w:tcPr>
            <w:tcW w:w="1827"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三公经费</w:t>
            </w:r>
          </w:p>
        </w:tc>
        <w:tc>
          <w:tcPr>
            <w:tcW w:w="20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rPr>
            </w:pPr>
            <w:r>
              <w:rPr>
                <w:rFonts w:hint="eastAsia" w:ascii="宋体" w:hAnsi="宋体" w:eastAsia="宋体" w:cs="宋体"/>
                <w:b w:val="0"/>
                <w:bCs w:val="0"/>
                <w:i w:val="0"/>
                <w:iCs w:val="0"/>
                <w:color w:val="auto"/>
                <w:kern w:val="0"/>
                <w:sz w:val="22"/>
                <w:szCs w:val="22"/>
                <w:u w:val="none"/>
                <w:lang w:val="en-US" w:eastAsia="zh-CN" w:bidi="ar"/>
              </w:rPr>
              <w:t>5.41</w:t>
            </w:r>
          </w:p>
        </w:tc>
        <w:tc>
          <w:tcPr>
            <w:tcW w:w="2233"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0</w:t>
            </w:r>
          </w:p>
        </w:tc>
        <w:tc>
          <w:tcPr>
            <w:tcW w:w="1827"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rPr>
            </w:pPr>
            <w:r>
              <w:rPr>
                <w:rFonts w:hint="eastAsia" w:ascii="宋体" w:hAnsi="宋体" w:eastAsia="宋体" w:cs="宋体"/>
                <w:b w:val="0"/>
                <w:bCs w:val="0"/>
                <w:i w:val="0"/>
                <w:iCs w:val="0"/>
                <w:color w:val="auto"/>
                <w:kern w:val="0"/>
                <w:sz w:val="22"/>
                <w:szCs w:val="22"/>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1、公务用车购置和维护经费</w:t>
            </w:r>
          </w:p>
        </w:tc>
        <w:tc>
          <w:tcPr>
            <w:tcW w:w="20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5.41</w:t>
            </w:r>
          </w:p>
        </w:tc>
        <w:tc>
          <w:tcPr>
            <w:tcW w:w="2233"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0</w:t>
            </w:r>
          </w:p>
        </w:tc>
        <w:tc>
          <w:tcPr>
            <w:tcW w:w="1827"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其中：公车购置</w:t>
            </w:r>
          </w:p>
        </w:tc>
        <w:tc>
          <w:tcPr>
            <w:tcW w:w="2033" w:type="dxa"/>
            <w:gridSpan w:val="2"/>
            <w:vAlign w:val="center"/>
          </w:tcPr>
          <w:p>
            <w:pPr>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2233" w:type="dxa"/>
            <w:gridSpan w:val="2"/>
            <w:vAlign w:val="center"/>
          </w:tcPr>
          <w:p>
            <w:pPr>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1827" w:type="dxa"/>
            <w:gridSpan w:val="2"/>
            <w:vAlign w:val="center"/>
          </w:tcPr>
          <w:p>
            <w:pPr>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公车运行维护</w:t>
            </w:r>
          </w:p>
        </w:tc>
        <w:tc>
          <w:tcPr>
            <w:tcW w:w="2033"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2233"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0</w:t>
            </w:r>
          </w:p>
        </w:tc>
        <w:tc>
          <w:tcPr>
            <w:tcW w:w="1827"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2、出国经费</w:t>
            </w:r>
          </w:p>
        </w:tc>
        <w:tc>
          <w:tcPr>
            <w:tcW w:w="2033" w:type="dxa"/>
            <w:gridSpan w:val="2"/>
            <w:vAlign w:val="center"/>
          </w:tcPr>
          <w:p>
            <w:pPr>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2233" w:type="dxa"/>
            <w:gridSpan w:val="2"/>
            <w:vAlign w:val="center"/>
          </w:tcPr>
          <w:p>
            <w:pPr>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1827" w:type="dxa"/>
            <w:gridSpan w:val="2"/>
            <w:vAlign w:val="center"/>
          </w:tcPr>
          <w:p>
            <w:pPr>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3、公务接待</w:t>
            </w:r>
          </w:p>
        </w:tc>
        <w:tc>
          <w:tcPr>
            <w:tcW w:w="2033" w:type="dxa"/>
            <w:gridSpan w:val="2"/>
            <w:vAlign w:val="center"/>
          </w:tcPr>
          <w:p>
            <w:pPr>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5.41</w:t>
            </w:r>
          </w:p>
        </w:tc>
        <w:tc>
          <w:tcPr>
            <w:tcW w:w="2233" w:type="dxa"/>
            <w:gridSpan w:val="2"/>
            <w:vAlign w:val="center"/>
          </w:tcPr>
          <w:p>
            <w:pPr>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1827" w:type="dxa"/>
            <w:gridSpan w:val="2"/>
            <w:vAlign w:val="center"/>
          </w:tcPr>
          <w:p>
            <w:pPr>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项目支出：</w:t>
            </w:r>
          </w:p>
        </w:tc>
        <w:tc>
          <w:tcPr>
            <w:tcW w:w="20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148.58</w:t>
            </w:r>
          </w:p>
        </w:tc>
        <w:tc>
          <w:tcPr>
            <w:tcW w:w="2233"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0</w:t>
            </w:r>
          </w:p>
        </w:tc>
        <w:tc>
          <w:tcPr>
            <w:tcW w:w="1827"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1、业务工作经费</w:t>
            </w:r>
          </w:p>
        </w:tc>
        <w:tc>
          <w:tcPr>
            <w:tcW w:w="20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148.58</w:t>
            </w:r>
          </w:p>
        </w:tc>
        <w:tc>
          <w:tcPr>
            <w:tcW w:w="22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rPr>
            </w:pPr>
            <w:r>
              <w:rPr>
                <w:rFonts w:hint="eastAsia" w:ascii="宋体" w:hAnsi="宋体" w:eastAsia="宋体" w:cs="宋体"/>
                <w:b w:val="0"/>
                <w:bCs w:val="0"/>
                <w:i w:val="0"/>
                <w:iCs w:val="0"/>
                <w:color w:val="auto"/>
                <w:kern w:val="0"/>
                <w:sz w:val="22"/>
                <w:szCs w:val="22"/>
                <w:u w:val="none"/>
                <w:lang w:val="en-US" w:eastAsia="zh-CN" w:bidi="ar"/>
              </w:rPr>
              <w:t>0</w:t>
            </w:r>
          </w:p>
        </w:tc>
        <w:tc>
          <w:tcPr>
            <w:tcW w:w="1827"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2、运行维护经费</w:t>
            </w:r>
          </w:p>
        </w:tc>
        <w:tc>
          <w:tcPr>
            <w:tcW w:w="2033" w:type="dxa"/>
            <w:gridSpan w:val="2"/>
            <w:vAlign w:val="center"/>
          </w:tcPr>
          <w:p>
            <w:pPr>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2233" w:type="dxa"/>
            <w:gridSpan w:val="2"/>
            <w:vAlign w:val="center"/>
          </w:tcPr>
          <w:p>
            <w:pPr>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1827" w:type="dxa"/>
            <w:gridSpan w:val="2"/>
            <w:vAlign w:val="center"/>
          </w:tcPr>
          <w:p>
            <w:pPr>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3、本级专项资金（一个专项一行）</w:t>
            </w:r>
          </w:p>
        </w:tc>
        <w:tc>
          <w:tcPr>
            <w:tcW w:w="2033"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0</w:t>
            </w:r>
          </w:p>
        </w:tc>
        <w:tc>
          <w:tcPr>
            <w:tcW w:w="2233"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0</w:t>
            </w:r>
          </w:p>
        </w:tc>
        <w:tc>
          <w:tcPr>
            <w:tcW w:w="1827"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0"/>
                <w:szCs w:val="20"/>
              </w:rPr>
            </w:pPr>
            <w:r>
              <w:rPr>
                <w:rFonts w:hint="eastAsia" w:ascii="宋体" w:hAnsi="宋体" w:eastAsia="宋体" w:cs="宋体"/>
                <w:b w:val="0"/>
                <w:bCs w:val="0"/>
                <w:i w:val="0"/>
                <w:iCs w:val="0"/>
                <w:color w:val="auto"/>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jc w:val="center"/>
              <w:rPr>
                <w:rFonts w:hint="eastAsia" w:ascii="仿宋" w:hAnsi="仿宋" w:eastAsia="仿宋" w:cs="仿宋"/>
                <w:b w:val="0"/>
                <w:bCs w:val="0"/>
                <w:kern w:val="0"/>
                <w:sz w:val="20"/>
                <w:szCs w:val="20"/>
              </w:rPr>
            </w:pPr>
          </w:p>
        </w:tc>
        <w:tc>
          <w:tcPr>
            <w:tcW w:w="2033" w:type="dxa"/>
            <w:gridSpan w:val="2"/>
            <w:vAlign w:val="center"/>
          </w:tcPr>
          <w:p>
            <w:pPr>
              <w:jc w:val="center"/>
              <w:rPr>
                <w:rFonts w:hint="eastAsia" w:ascii="仿宋" w:hAnsi="仿宋" w:eastAsia="仿宋" w:cs="仿宋"/>
                <w:b w:val="0"/>
                <w:bCs w:val="0"/>
                <w:color w:val="auto"/>
                <w:kern w:val="0"/>
                <w:sz w:val="20"/>
                <w:szCs w:val="20"/>
              </w:rPr>
            </w:pPr>
          </w:p>
        </w:tc>
        <w:tc>
          <w:tcPr>
            <w:tcW w:w="2233" w:type="dxa"/>
            <w:gridSpan w:val="2"/>
            <w:vAlign w:val="center"/>
          </w:tcPr>
          <w:p>
            <w:pPr>
              <w:jc w:val="center"/>
              <w:rPr>
                <w:rFonts w:hint="eastAsia" w:ascii="仿宋" w:hAnsi="仿宋" w:eastAsia="仿宋" w:cs="仿宋"/>
                <w:b w:val="0"/>
                <w:bCs w:val="0"/>
                <w:color w:val="auto"/>
                <w:kern w:val="0"/>
                <w:sz w:val="20"/>
                <w:szCs w:val="20"/>
              </w:rPr>
            </w:pPr>
          </w:p>
        </w:tc>
        <w:tc>
          <w:tcPr>
            <w:tcW w:w="1827" w:type="dxa"/>
            <w:gridSpan w:val="2"/>
            <w:vAlign w:val="center"/>
          </w:tcPr>
          <w:p>
            <w:pPr>
              <w:jc w:val="center"/>
              <w:rPr>
                <w:rFonts w:hint="eastAsia" w:ascii="仿宋" w:hAnsi="仿宋" w:eastAsia="仿宋" w:cs="仿宋"/>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公用经费：</w:t>
            </w:r>
          </w:p>
        </w:tc>
        <w:tc>
          <w:tcPr>
            <w:tcW w:w="20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117.65</w:t>
            </w:r>
          </w:p>
        </w:tc>
        <w:tc>
          <w:tcPr>
            <w:tcW w:w="22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111.88</w:t>
            </w:r>
          </w:p>
        </w:tc>
        <w:tc>
          <w:tcPr>
            <w:tcW w:w="1827"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206.7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default" w:ascii="仿宋" w:hAnsi="仿宋" w:eastAsia="仿宋" w:cs="仿宋"/>
                <w:b w:val="0"/>
                <w:bCs w:val="0"/>
                <w:kern w:val="0"/>
                <w:sz w:val="20"/>
                <w:szCs w:val="20"/>
                <w:lang w:val="en-US" w:eastAsia="zh-CN"/>
              </w:rPr>
            </w:pPr>
            <w:r>
              <w:rPr>
                <w:rFonts w:hint="eastAsia" w:ascii="宋体" w:hAnsi="宋体" w:eastAsia="宋体" w:cs="宋体"/>
                <w:b w:val="0"/>
                <w:bCs w:val="0"/>
                <w:i w:val="0"/>
                <w:iCs w:val="0"/>
                <w:color w:val="000000"/>
                <w:kern w:val="0"/>
                <w:sz w:val="22"/>
                <w:szCs w:val="22"/>
                <w:u w:val="none"/>
                <w:lang w:val="en-US" w:eastAsia="zh-CN" w:bidi="ar"/>
              </w:rPr>
              <w:t>其中：办公经费</w:t>
            </w:r>
          </w:p>
        </w:tc>
        <w:tc>
          <w:tcPr>
            <w:tcW w:w="20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19.9</w:t>
            </w:r>
          </w:p>
        </w:tc>
        <w:tc>
          <w:tcPr>
            <w:tcW w:w="22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3.5</w:t>
            </w:r>
          </w:p>
        </w:tc>
        <w:tc>
          <w:tcPr>
            <w:tcW w:w="1827"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水费、电费、差旅费</w:t>
            </w:r>
          </w:p>
        </w:tc>
        <w:tc>
          <w:tcPr>
            <w:tcW w:w="20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0.3</w:t>
            </w:r>
          </w:p>
        </w:tc>
        <w:tc>
          <w:tcPr>
            <w:tcW w:w="2233" w:type="dxa"/>
            <w:gridSpan w:val="2"/>
            <w:vAlign w:val="center"/>
          </w:tcPr>
          <w:p>
            <w:pPr>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2</w:t>
            </w:r>
          </w:p>
        </w:tc>
        <w:tc>
          <w:tcPr>
            <w:tcW w:w="1827"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会议费、培训费</w:t>
            </w:r>
          </w:p>
        </w:tc>
        <w:tc>
          <w:tcPr>
            <w:tcW w:w="20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10.74</w:t>
            </w:r>
          </w:p>
        </w:tc>
        <w:tc>
          <w:tcPr>
            <w:tcW w:w="2233" w:type="dxa"/>
            <w:gridSpan w:val="2"/>
            <w:vAlign w:val="center"/>
          </w:tcPr>
          <w:p>
            <w:pPr>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2</w:t>
            </w:r>
          </w:p>
        </w:tc>
        <w:tc>
          <w:tcPr>
            <w:tcW w:w="1827"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政府采购金额</w:t>
            </w:r>
          </w:p>
        </w:tc>
        <w:tc>
          <w:tcPr>
            <w:tcW w:w="20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120.8</w:t>
            </w:r>
          </w:p>
        </w:tc>
        <w:tc>
          <w:tcPr>
            <w:tcW w:w="2233"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111.8</w:t>
            </w:r>
          </w:p>
        </w:tc>
        <w:tc>
          <w:tcPr>
            <w:tcW w:w="1827" w:type="dxa"/>
            <w:gridSpan w:val="2"/>
            <w:vAlign w:val="center"/>
          </w:tcPr>
          <w:p>
            <w:pPr>
              <w:keepNext w:val="0"/>
              <w:keepLines w:val="0"/>
              <w:widowControl/>
              <w:suppressLineNumbers w:val="0"/>
              <w:jc w:val="center"/>
              <w:textAlignment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182.62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 xml:space="preserve">部门基本支出预算调整 </w:t>
            </w:r>
          </w:p>
        </w:tc>
        <w:tc>
          <w:tcPr>
            <w:tcW w:w="2033" w:type="dxa"/>
            <w:gridSpan w:val="2"/>
            <w:vAlign w:val="center"/>
          </w:tcPr>
          <w:p>
            <w:pPr>
              <w:jc w:val="center"/>
              <w:rPr>
                <w:rFonts w:hint="eastAsia" w:ascii="仿宋" w:hAnsi="仿宋" w:eastAsia="仿宋" w:cs="仿宋"/>
                <w:b w:val="0"/>
                <w:bCs w:val="0"/>
                <w:color w:val="auto"/>
                <w:kern w:val="0"/>
                <w:sz w:val="20"/>
                <w:szCs w:val="20"/>
              </w:rPr>
            </w:pPr>
          </w:p>
        </w:tc>
        <w:tc>
          <w:tcPr>
            <w:tcW w:w="2233" w:type="dxa"/>
            <w:gridSpan w:val="2"/>
            <w:vAlign w:val="center"/>
          </w:tcPr>
          <w:p>
            <w:pPr>
              <w:jc w:val="center"/>
              <w:rPr>
                <w:rFonts w:hint="eastAsia" w:ascii="仿宋" w:hAnsi="仿宋" w:eastAsia="仿宋" w:cs="仿宋"/>
                <w:b w:val="0"/>
                <w:bCs w:val="0"/>
                <w:color w:val="auto"/>
                <w:kern w:val="0"/>
                <w:sz w:val="20"/>
                <w:szCs w:val="20"/>
              </w:rPr>
            </w:pPr>
          </w:p>
        </w:tc>
        <w:tc>
          <w:tcPr>
            <w:tcW w:w="1827" w:type="dxa"/>
            <w:gridSpan w:val="2"/>
            <w:vAlign w:val="center"/>
          </w:tcPr>
          <w:p>
            <w:pPr>
              <w:jc w:val="center"/>
              <w:rPr>
                <w:rFonts w:hint="eastAsia" w:ascii="仿宋" w:hAnsi="仿宋" w:eastAsia="仿宋" w:cs="仿宋"/>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345" w:type="dxa"/>
            <w:vMerge w:val="restart"/>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 xml:space="preserve">楼堂馆所控制情况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（2023年完工项目）</w:t>
            </w:r>
          </w:p>
        </w:tc>
        <w:tc>
          <w:tcPr>
            <w:tcW w:w="1220"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 xml:space="preserve">批复规模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w:t>
            </w:r>
          </w:p>
        </w:tc>
        <w:tc>
          <w:tcPr>
            <w:tcW w:w="813" w:type="dxa"/>
            <w:vAlign w:val="center"/>
          </w:tcPr>
          <w:p>
            <w:pPr>
              <w:keepNext w:val="0"/>
              <w:keepLines w:val="0"/>
              <w:widowControl/>
              <w:suppressLineNumbers w:val="0"/>
              <w:jc w:val="center"/>
              <w:textAlignment w:val="center"/>
              <w:rPr>
                <w:b w:val="0"/>
                <w:bCs w:val="0"/>
              </w:rPr>
            </w:pP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实际规模</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w:t>
            </w:r>
          </w:p>
        </w:tc>
        <w:tc>
          <w:tcPr>
            <w:tcW w:w="893"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规模控制率</w:t>
            </w:r>
          </w:p>
        </w:tc>
        <w:tc>
          <w:tcPr>
            <w:tcW w:w="1340" w:type="dxa"/>
            <w:vAlign w:val="center"/>
          </w:tcPr>
          <w:p>
            <w:pPr>
              <w:keepNext w:val="0"/>
              <w:keepLines w:val="0"/>
              <w:widowControl/>
              <w:suppressLineNumbers w:val="0"/>
              <w:jc w:val="center"/>
              <w:textAlignment w:val="center"/>
              <w:rPr>
                <w:b w:val="0"/>
                <w:bCs w:val="0"/>
              </w:rPr>
            </w:pPr>
            <w:r>
              <w:rPr>
                <w:rFonts w:hint="eastAsia" w:ascii="宋体" w:hAnsi="宋体" w:eastAsia="宋体" w:cs="宋体"/>
                <w:b w:val="0"/>
                <w:bCs w:val="0"/>
                <w:i w:val="0"/>
                <w:iCs w:val="0"/>
                <w:color w:val="000000"/>
                <w:kern w:val="0"/>
                <w:sz w:val="22"/>
                <w:szCs w:val="22"/>
                <w:u w:val="none"/>
                <w:lang w:val="en-US" w:eastAsia="zh-CN" w:bidi="ar"/>
              </w:rPr>
              <w:t>预算投资</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（万元）</w:t>
            </w:r>
          </w:p>
        </w:tc>
        <w:tc>
          <w:tcPr>
            <w:tcW w:w="913"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实际投资</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（万元）</w:t>
            </w:r>
          </w:p>
        </w:tc>
        <w:tc>
          <w:tcPr>
            <w:tcW w:w="914" w:type="dxa"/>
            <w:vAlign w:val="center"/>
          </w:tcPr>
          <w:p>
            <w:pPr>
              <w:keepNext w:val="0"/>
              <w:keepLines w:val="0"/>
              <w:widowControl/>
              <w:suppressLineNumbers w:val="0"/>
              <w:jc w:val="center"/>
              <w:textAlignment w:val="center"/>
              <w:rPr>
                <w:b w:val="0"/>
                <w:bCs w:val="0"/>
              </w:rPr>
            </w:pPr>
            <w:r>
              <w:rPr>
                <w:rFonts w:hint="eastAsia" w:ascii="宋体" w:hAnsi="宋体" w:eastAsia="宋体" w:cs="宋体"/>
                <w:b w:val="0"/>
                <w:bCs w:val="0"/>
                <w:i w:val="0"/>
                <w:iCs w:val="0"/>
                <w:color w:val="000000"/>
                <w:kern w:val="0"/>
                <w:sz w:val="22"/>
                <w:szCs w:val="22"/>
                <w:u w:val="none"/>
                <w:lang w:val="en-US" w:eastAsia="zh-CN" w:bidi="ar"/>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345" w:type="dxa"/>
            <w:vMerge w:val="continue"/>
            <w:vAlign w:val="center"/>
          </w:tcPr>
          <w:p>
            <w:pPr>
              <w:jc w:val="center"/>
              <w:rPr>
                <w:rFonts w:hint="eastAsia" w:ascii="仿宋" w:hAnsi="仿宋" w:eastAsia="仿宋" w:cs="仿宋"/>
                <w:b w:val="0"/>
                <w:bCs w:val="0"/>
                <w:kern w:val="0"/>
                <w:sz w:val="20"/>
                <w:szCs w:val="20"/>
              </w:rPr>
            </w:pPr>
          </w:p>
        </w:tc>
        <w:tc>
          <w:tcPr>
            <w:tcW w:w="1220"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0.00</w:t>
            </w:r>
          </w:p>
        </w:tc>
        <w:tc>
          <w:tcPr>
            <w:tcW w:w="813" w:type="dxa"/>
            <w:vAlign w:val="center"/>
          </w:tcPr>
          <w:p>
            <w:pPr>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893" w:type="dxa"/>
            <w:vAlign w:val="center"/>
          </w:tcPr>
          <w:p>
            <w:pPr>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340" w:type="dxa"/>
            <w:vAlign w:val="center"/>
          </w:tcPr>
          <w:p>
            <w:pPr>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913" w:type="dxa"/>
            <w:vAlign w:val="center"/>
          </w:tcPr>
          <w:p>
            <w:pPr>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914" w:type="dxa"/>
            <w:vAlign w:val="center"/>
          </w:tcPr>
          <w:p>
            <w:pPr>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345" w:type="dxa"/>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宋体" w:hAnsi="宋体" w:eastAsia="宋体" w:cs="宋体"/>
                <w:b w:val="0"/>
                <w:bCs w:val="0"/>
                <w:i w:val="0"/>
                <w:iCs w:val="0"/>
                <w:color w:val="000000"/>
                <w:kern w:val="0"/>
                <w:sz w:val="22"/>
                <w:szCs w:val="22"/>
                <w:u w:val="none"/>
                <w:lang w:val="en-US" w:eastAsia="zh-CN" w:bidi="ar"/>
              </w:rPr>
              <w:t>厉行节约保障措施</w:t>
            </w:r>
          </w:p>
        </w:tc>
        <w:tc>
          <w:tcPr>
            <w:tcW w:w="6093" w:type="dxa"/>
            <w:gridSpan w:val="6"/>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lang w:val="en-US" w:eastAsia="zh-CN"/>
              </w:rPr>
            </w:pPr>
            <w:r>
              <w:rPr>
                <w:rFonts w:hint="eastAsia" w:ascii="宋体" w:hAnsi="宋体" w:eastAsia="宋体" w:cs="宋体"/>
                <w:b w:val="0"/>
                <w:bCs w:val="0"/>
                <w:i w:val="0"/>
                <w:iCs w:val="0"/>
                <w:color w:val="000000"/>
                <w:kern w:val="0"/>
                <w:sz w:val="22"/>
                <w:szCs w:val="22"/>
                <w:u w:val="none"/>
                <w:lang w:val="en-US" w:eastAsia="zh-CN" w:bidi="ar"/>
              </w:rPr>
              <w:t>我单位无新建楼堂馆所控制情况</w:t>
            </w:r>
          </w:p>
        </w:tc>
      </w:tr>
    </w:tbl>
    <w:p>
      <w:pPr>
        <w:pStyle w:val="17"/>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张诗瑶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2024年7月23日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 07395081678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878"/>
        <w:gridCol w:w="120"/>
        <w:gridCol w:w="1430"/>
        <w:gridCol w:w="1450"/>
        <w:gridCol w:w="462"/>
        <w:gridCol w:w="63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预算</w:t>
            </w:r>
            <w:r>
              <w:rPr>
                <w:rFonts w:hint="eastAsia" w:ascii="仿宋" w:hAnsi="仿宋" w:eastAsia="仿宋" w:cs="仿宋"/>
                <w:color w:val="000000"/>
                <w:kern w:val="0"/>
                <w:sz w:val="18"/>
                <w:szCs w:val="18"/>
                <w:lang w:val="en-US" w:eastAsia="zh-CN"/>
              </w:rPr>
              <w:t>单位</w:t>
            </w:r>
            <w:r>
              <w:rPr>
                <w:rFonts w:hint="eastAsia" w:ascii="仿宋" w:hAnsi="仿宋" w:eastAsia="仿宋" w:cs="仿宋"/>
                <w:color w:val="000000"/>
                <w:kern w:val="0"/>
                <w:sz w:val="18"/>
                <w:szCs w:val="18"/>
              </w:rPr>
              <w:t>名称</w:t>
            </w:r>
          </w:p>
        </w:tc>
        <w:tc>
          <w:tcPr>
            <w:tcW w:w="8093"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eastAsia="仿宋_GB2312"/>
                <w:kern w:val="0"/>
                <w:sz w:val="24"/>
                <w:lang w:val="en-US" w:eastAsia="zh-CN"/>
              </w:rPr>
              <w:t xml:space="preserve"> 中共邵阳市</w:t>
            </w:r>
            <w:bookmarkStart w:id="0" w:name="_GoBack"/>
            <w:bookmarkEnd w:id="0"/>
            <w:r>
              <w:rPr>
                <w:rFonts w:hint="eastAsia" w:eastAsia="仿宋_GB2312"/>
                <w:kern w:val="0"/>
                <w:sz w:val="24"/>
                <w:lang w:val="en-US" w:eastAsia="zh-CN"/>
              </w:rPr>
              <w:t xml:space="preserve">北塔区委办公室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rPr>
              <w:t>算申请</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（万元）</w:t>
            </w: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p>
        </w:tc>
        <w:tc>
          <w:tcPr>
            <w:tcW w:w="998"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预算数</w:t>
            </w:r>
          </w:p>
        </w:tc>
        <w:tc>
          <w:tcPr>
            <w:tcW w:w="14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全年预算数</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执行数</w:t>
            </w:r>
          </w:p>
        </w:tc>
        <w:tc>
          <w:tcPr>
            <w:tcW w:w="46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分值</w:t>
            </w:r>
          </w:p>
        </w:tc>
        <w:tc>
          <w:tcPr>
            <w:tcW w:w="63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执行率</w:t>
            </w:r>
          </w:p>
        </w:tc>
        <w:tc>
          <w:tcPr>
            <w:tcW w:w="81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color w:val="000000"/>
                <w:kern w:val="0"/>
                <w:sz w:val="18"/>
                <w:szCs w:val="18"/>
              </w:rPr>
              <w:t>年度资金总额</w:t>
            </w:r>
          </w:p>
        </w:tc>
        <w:tc>
          <w:tcPr>
            <w:tcW w:w="998" w:type="dxa"/>
            <w:gridSpan w:val="2"/>
            <w:vAlign w:val="center"/>
          </w:tcPr>
          <w:p>
            <w:pPr>
              <w:keepNext w:val="0"/>
              <w:keepLines w:val="0"/>
              <w:widowControl/>
              <w:suppressLineNumbers w:val="0"/>
              <w:jc w:val="center"/>
              <w:textAlignment w:val="center"/>
              <w:rPr>
                <w:rFonts w:hint="eastAsia" w:ascii="仿宋" w:hAnsi="仿宋" w:eastAsia="仿宋" w:cs="仿宋"/>
                <w:sz w:val="18"/>
                <w:szCs w:val="18"/>
              </w:rPr>
            </w:pPr>
            <w:r>
              <w:rPr>
                <w:rFonts w:hint="default" w:ascii="Times New Roman" w:hAnsi="Times New Roman" w:eastAsia="宋体" w:cs="Times New Roman"/>
                <w:i w:val="0"/>
                <w:iCs w:val="0"/>
                <w:color w:val="000000"/>
                <w:kern w:val="0"/>
                <w:sz w:val="18"/>
                <w:szCs w:val="18"/>
                <w:u w:val="none"/>
                <w:lang w:val="en-US" w:eastAsia="zh-CN" w:bidi="ar"/>
              </w:rPr>
              <w:t>394.50</w:t>
            </w:r>
          </w:p>
        </w:tc>
        <w:tc>
          <w:tcPr>
            <w:tcW w:w="1430" w:type="dxa"/>
            <w:vAlign w:val="center"/>
          </w:tcPr>
          <w:p>
            <w:pPr>
              <w:keepNext w:val="0"/>
              <w:keepLines w:val="0"/>
              <w:widowControl/>
              <w:suppressLineNumbers w:val="0"/>
              <w:jc w:val="center"/>
              <w:textAlignment w:val="center"/>
              <w:rPr>
                <w:rFonts w:hint="default" w:ascii="仿宋" w:hAnsi="仿宋" w:eastAsia="仿宋" w:cs="仿宋"/>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594.67</w:t>
            </w:r>
          </w:p>
        </w:tc>
        <w:tc>
          <w:tcPr>
            <w:tcW w:w="1450" w:type="dxa"/>
            <w:vAlign w:val="center"/>
          </w:tcPr>
          <w:p>
            <w:pPr>
              <w:keepNext w:val="0"/>
              <w:keepLines w:val="0"/>
              <w:widowControl/>
              <w:suppressLineNumbers w:val="0"/>
              <w:jc w:val="center"/>
              <w:textAlignment w:val="center"/>
              <w:rPr>
                <w:rFonts w:hint="default" w:ascii="仿宋" w:hAnsi="仿宋" w:eastAsia="仿宋" w:cs="仿宋"/>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594.67</w:t>
            </w:r>
          </w:p>
        </w:tc>
        <w:tc>
          <w:tcPr>
            <w:tcW w:w="462" w:type="dxa"/>
            <w:vAlign w:val="center"/>
          </w:tcPr>
          <w:p>
            <w:pPr>
              <w:keepNext w:val="0"/>
              <w:keepLines w:val="0"/>
              <w:widowControl/>
              <w:suppressLineNumbers w:val="0"/>
              <w:jc w:val="center"/>
              <w:textAlignment w:val="center"/>
              <w:rPr>
                <w:rFonts w:hint="eastAsia" w:ascii="仿宋" w:hAnsi="仿宋" w:eastAsia="仿宋" w:cs="仿宋"/>
                <w:sz w:val="18"/>
                <w:szCs w:val="18"/>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638" w:type="dxa"/>
            <w:vAlign w:val="center"/>
          </w:tcPr>
          <w:p>
            <w:pPr>
              <w:keepNext w:val="0"/>
              <w:keepLines w:val="0"/>
              <w:widowControl/>
              <w:suppressLineNumbers w:val="0"/>
              <w:jc w:val="center"/>
              <w:textAlignment w:val="center"/>
              <w:rPr>
                <w:rFonts w:hint="default" w:ascii="仿宋" w:hAnsi="仿宋" w:eastAsia="仿宋" w:cs="仿宋"/>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811" w:type="dxa"/>
            <w:vAlign w:val="center"/>
          </w:tcPr>
          <w:p>
            <w:pPr>
              <w:keepNext w:val="0"/>
              <w:keepLines w:val="0"/>
              <w:widowControl/>
              <w:suppressLineNumbers w:val="0"/>
              <w:jc w:val="center"/>
              <w:textAlignment w:val="center"/>
              <w:rPr>
                <w:rFonts w:hint="default" w:ascii="仿宋" w:hAnsi="仿宋" w:eastAsia="仿宋" w:cs="仿宋"/>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47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按收入性质分：</w:t>
            </w:r>
          </w:p>
        </w:tc>
        <w:tc>
          <w:tcPr>
            <w:tcW w:w="33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47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 xml:space="preserve">  其中：  一般公共预算：</w:t>
            </w:r>
            <w:r>
              <w:rPr>
                <w:rFonts w:hint="eastAsia" w:ascii="仿宋" w:hAnsi="仿宋" w:eastAsia="仿宋" w:cs="仿宋"/>
                <w:color w:val="000000"/>
                <w:kern w:val="0"/>
                <w:sz w:val="18"/>
                <w:szCs w:val="18"/>
                <w:lang w:val="en-US" w:eastAsia="zh-CN"/>
              </w:rPr>
              <w:t>594.67万元</w:t>
            </w:r>
          </w:p>
        </w:tc>
        <w:tc>
          <w:tcPr>
            <w:tcW w:w="33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其中：基本支出：</w:t>
            </w:r>
            <w:r>
              <w:rPr>
                <w:rFonts w:hint="eastAsia" w:ascii="仿宋" w:hAnsi="仿宋" w:eastAsia="仿宋" w:cs="仿宋"/>
                <w:color w:val="000000"/>
                <w:kern w:val="0"/>
                <w:sz w:val="18"/>
                <w:szCs w:val="18"/>
                <w:lang w:val="en-US" w:eastAsia="zh-CN"/>
              </w:rPr>
              <w:t>594.67万元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47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720" w:firstLineChars="400"/>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政府性基金拨款：</w:t>
            </w:r>
            <w:r>
              <w:rPr>
                <w:rFonts w:hint="eastAsia" w:ascii="仿宋" w:hAnsi="仿宋" w:eastAsia="仿宋" w:cs="仿宋"/>
                <w:color w:val="000000"/>
                <w:kern w:val="0"/>
                <w:sz w:val="18"/>
                <w:szCs w:val="18"/>
                <w:lang w:val="en-US" w:eastAsia="zh-CN"/>
              </w:rPr>
              <w:t>0万元</w:t>
            </w:r>
          </w:p>
        </w:tc>
        <w:tc>
          <w:tcPr>
            <w:tcW w:w="33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ind w:firstLine="540" w:firstLineChars="300"/>
              <w:jc w:val="left"/>
              <w:textAlignment w:val="auto"/>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项目支出：</w:t>
            </w:r>
            <w:r>
              <w:rPr>
                <w:rFonts w:hint="eastAsia" w:ascii="仿宋" w:hAnsi="仿宋" w:eastAsia="仿宋" w:cs="仿宋"/>
                <w:color w:val="000000"/>
                <w:kern w:val="0"/>
                <w:sz w:val="18"/>
                <w:szCs w:val="18"/>
                <w:lang w:val="en-US" w:eastAsia="zh-CN"/>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47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纳入专户管理的非税收入拨款：</w:t>
            </w:r>
          </w:p>
        </w:tc>
        <w:tc>
          <w:tcPr>
            <w:tcW w:w="33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47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1260" w:firstLineChars="700"/>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其他资金：</w:t>
            </w:r>
          </w:p>
        </w:tc>
        <w:tc>
          <w:tcPr>
            <w:tcW w:w="33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年度总体目标</w:t>
            </w:r>
          </w:p>
        </w:tc>
        <w:tc>
          <w:tcPr>
            <w:tcW w:w="47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预期目标</w:t>
            </w:r>
          </w:p>
        </w:tc>
        <w:tc>
          <w:tcPr>
            <w:tcW w:w="33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rPr>
            </w:pPr>
          </w:p>
        </w:tc>
        <w:tc>
          <w:tcPr>
            <w:tcW w:w="4732"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　2023年，北塔区委办紧紧围绕市委决策部署、区委中心工作，聚焦全区大局，深入践行“五个坚持”，积极发挥参谋助手、综合协调、督促检查和后勤保障职能作用，不断提升“三服务”水平。</w:t>
            </w:r>
          </w:p>
        </w:tc>
        <w:tc>
          <w:tcPr>
            <w:tcW w:w="336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rPr>
              <w:t>　一是加强政治建设，聚焦政治建设这个根本属性；二是落实中央八项规定及其实施细则精神不是；三是督促检查工作，按照市委督查室要求，严格制定督查检查考核事项年度计划并及时报市委办备案；四是紧紧围绕区委的中心工作和领导需求，加强信息工作；四是党办队伍建设</w:t>
            </w:r>
            <w:r>
              <w:rPr>
                <w:rFonts w:hint="eastAsia" w:ascii="仿宋" w:hAnsi="仿宋" w:eastAsia="仿宋" w:cs="仿宋"/>
                <w:color w:val="000000"/>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标</w:t>
            </w:r>
          </w:p>
        </w:tc>
        <w:tc>
          <w:tcPr>
            <w:tcW w:w="117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一级指标</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二级指标</w:t>
            </w:r>
          </w:p>
        </w:tc>
        <w:tc>
          <w:tcPr>
            <w:tcW w:w="87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三级指标</w:t>
            </w:r>
          </w:p>
        </w:tc>
        <w:tc>
          <w:tcPr>
            <w:tcW w:w="155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指标值</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完成值</w:t>
            </w:r>
          </w:p>
        </w:tc>
        <w:tc>
          <w:tcPr>
            <w:tcW w:w="46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分值</w:t>
            </w:r>
          </w:p>
        </w:tc>
        <w:tc>
          <w:tcPr>
            <w:tcW w:w="63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得分</w:t>
            </w:r>
          </w:p>
        </w:tc>
        <w:tc>
          <w:tcPr>
            <w:tcW w:w="811" w:type="dxa"/>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lang w:eastAsia="zh-CN"/>
              </w:rPr>
              <w:t>（</w:t>
            </w:r>
            <w:r>
              <w:rPr>
                <w:rFonts w:hint="eastAsia" w:ascii="仿宋" w:hAnsi="仿宋" w:eastAsia="仿宋" w:cs="仿宋"/>
                <w:color w:val="000000"/>
                <w:kern w:val="0"/>
                <w:sz w:val="17"/>
                <w:szCs w:val="17"/>
              </w:rPr>
              <w:t>50分)</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指标</w:t>
            </w:r>
          </w:p>
        </w:tc>
        <w:tc>
          <w:tcPr>
            <w:tcW w:w="878" w:type="dxa"/>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eastAsia" w:ascii="仿宋" w:hAnsi="仿宋" w:eastAsia="仿宋" w:cs="仿宋"/>
                <w:i w:val="0"/>
                <w:iCs w:val="0"/>
                <w:color w:val="000000"/>
                <w:kern w:val="0"/>
                <w:sz w:val="17"/>
                <w:szCs w:val="17"/>
                <w:u w:val="none"/>
                <w:lang w:val="en-US" w:eastAsia="zh-CN" w:bidi="ar"/>
              </w:rPr>
              <w:t>重要会议活动和法规办文工作</w:t>
            </w:r>
          </w:p>
        </w:tc>
        <w:tc>
          <w:tcPr>
            <w:tcW w:w="155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优化北塔区“‘四大家’、‘五小家’办公室联动工作机制”，构建“三个一”工作格局，即一条线统筹、一个微信工作群覆盖、一项联席会议制度，实现了人员专职尽责、联系畅通有序、联动配合常态化</w:t>
            </w:r>
          </w:p>
        </w:tc>
        <w:tc>
          <w:tcPr>
            <w:tcW w:w="1450" w:type="dxa"/>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发挥党办机关中枢作用，统筹协调各类会议150余场次，确保重要会议零失误</w:t>
            </w:r>
          </w:p>
        </w:tc>
        <w:tc>
          <w:tcPr>
            <w:tcW w:w="462" w:type="dxa"/>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20</w:t>
            </w:r>
          </w:p>
        </w:tc>
        <w:tc>
          <w:tcPr>
            <w:tcW w:w="638" w:type="dxa"/>
            <w:vAlign w:val="center"/>
          </w:tcPr>
          <w:p>
            <w:pPr>
              <w:keepNext w:val="0"/>
              <w:keepLines w:val="0"/>
              <w:widowControl/>
              <w:suppressLineNumbers w:val="0"/>
              <w:jc w:val="left"/>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20</w:t>
            </w:r>
          </w:p>
        </w:tc>
        <w:tc>
          <w:tcPr>
            <w:tcW w:w="81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指标</w:t>
            </w:r>
          </w:p>
        </w:tc>
        <w:tc>
          <w:tcPr>
            <w:tcW w:w="878" w:type="dxa"/>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eastAsia" w:ascii="仿宋" w:hAnsi="仿宋" w:eastAsia="仿宋" w:cs="仿宋"/>
                <w:i w:val="0"/>
                <w:iCs w:val="0"/>
                <w:color w:val="000000"/>
                <w:kern w:val="0"/>
                <w:sz w:val="17"/>
                <w:szCs w:val="17"/>
                <w:u w:val="none"/>
                <w:lang w:val="en-US" w:eastAsia="zh-CN" w:bidi="ar"/>
              </w:rPr>
              <w:t>加强政治建设</w:t>
            </w:r>
          </w:p>
        </w:tc>
        <w:tc>
          <w:tcPr>
            <w:tcW w:w="155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健全完善区委办公室“第一议题”制度，第一时间组织传达学习习近平总书记系列重要讲话重要指示批示精神，第一时间传达学习中央、省委、市委、区委重大决策部署和重要讲话、会议精神，不断培育党员干部涵养政治定力、恪守政治规矩，经常对标对表，及时校准偏差</w:t>
            </w:r>
          </w:p>
        </w:tc>
        <w:tc>
          <w:tcPr>
            <w:tcW w:w="1450" w:type="dxa"/>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一年来，组织开展区委办理论学习中心组学习12次，专题研讨5次；全年到联点村、联点楼栋、公交车站开展志愿服务46次；结合“走找想促”活动，抓实“三重”调研，完成各类调研报告12篇，提出工作建议46条，为区委高质量决策提供服务</w:t>
            </w:r>
          </w:p>
        </w:tc>
        <w:tc>
          <w:tcPr>
            <w:tcW w:w="462" w:type="dxa"/>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10</w:t>
            </w:r>
          </w:p>
        </w:tc>
        <w:tc>
          <w:tcPr>
            <w:tcW w:w="638" w:type="dxa"/>
            <w:vAlign w:val="center"/>
          </w:tcPr>
          <w:p>
            <w:pPr>
              <w:keepNext w:val="0"/>
              <w:keepLines w:val="0"/>
              <w:widowControl/>
              <w:suppressLineNumbers w:val="0"/>
              <w:jc w:val="left"/>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10</w:t>
            </w:r>
          </w:p>
        </w:tc>
        <w:tc>
          <w:tcPr>
            <w:tcW w:w="811" w:type="dxa"/>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指标</w:t>
            </w:r>
          </w:p>
        </w:tc>
        <w:tc>
          <w:tcPr>
            <w:tcW w:w="8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55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46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63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81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8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w:t>
            </w:r>
          </w:p>
        </w:tc>
        <w:tc>
          <w:tcPr>
            <w:tcW w:w="155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46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63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81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指标</w:t>
            </w:r>
          </w:p>
        </w:tc>
        <w:tc>
          <w:tcPr>
            <w:tcW w:w="878" w:type="dxa"/>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eastAsia" w:ascii="仿宋" w:hAnsi="仿宋" w:eastAsia="仿宋" w:cs="仿宋"/>
                <w:i w:val="0"/>
                <w:iCs w:val="0"/>
                <w:color w:val="000000"/>
                <w:kern w:val="0"/>
                <w:sz w:val="17"/>
                <w:szCs w:val="17"/>
                <w:u w:val="none"/>
                <w:lang w:val="en-US" w:eastAsia="zh-CN" w:bidi="ar"/>
              </w:rPr>
              <w:t>党办队伍建设</w:t>
            </w:r>
          </w:p>
        </w:tc>
        <w:tc>
          <w:tcPr>
            <w:tcW w:w="155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在全区办公室系统开展以实践“江北建区精神”为主题的“政治练兵、岗位砺才、工作争先”活动，做到先学一步、深学一层、学干结合</w:t>
            </w:r>
          </w:p>
        </w:tc>
        <w:tc>
          <w:tcPr>
            <w:tcW w:w="1450" w:type="dxa"/>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深入一线开展调查研究，大力推行“定领导、定单位、定题目、定要求”的“四定”调研工作机制，全年高质量完成各类调研报告12篇，47条工作建议被区委决策采纳，《湖南日报》《红星云》刊发区委书记署名调研思考文章2篇</w:t>
            </w:r>
          </w:p>
        </w:tc>
        <w:tc>
          <w:tcPr>
            <w:tcW w:w="462" w:type="dxa"/>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17</w:t>
            </w:r>
          </w:p>
        </w:tc>
        <w:tc>
          <w:tcPr>
            <w:tcW w:w="638" w:type="dxa"/>
            <w:vAlign w:val="center"/>
          </w:tcPr>
          <w:p>
            <w:pPr>
              <w:keepNext w:val="0"/>
              <w:keepLines w:val="0"/>
              <w:widowControl/>
              <w:suppressLineNumbers w:val="0"/>
              <w:jc w:val="left"/>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17</w:t>
            </w:r>
          </w:p>
        </w:tc>
        <w:tc>
          <w:tcPr>
            <w:tcW w:w="811" w:type="dxa"/>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（3</w:t>
            </w:r>
            <w:r>
              <w:rPr>
                <w:rFonts w:hint="eastAsia" w:ascii="仿宋" w:hAnsi="仿宋" w:eastAsia="仿宋" w:cs="仿宋"/>
                <w:color w:val="000000"/>
                <w:kern w:val="0"/>
                <w:sz w:val="17"/>
                <w:szCs w:val="17"/>
                <w:lang w:val="en-US" w:eastAsia="zh-CN"/>
              </w:rPr>
              <w:t>0</w:t>
            </w:r>
            <w:r>
              <w:rPr>
                <w:rFonts w:hint="eastAsia" w:ascii="仿宋" w:hAnsi="仿宋" w:eastAsia="仿宋" w:cs="仿宋"/>
                <w:color w:val="000000"/>
                <w:kern w:val="0"/>
                <w:sz w:val="17"/>
                <w:szCs w:val="17"/>
              </w:rPr>
              <w:t>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益指标</w:t>
            </w:r>
          </w:p>
        </w:tc>
        <w:tc>
          <w:tcPr>
            <w:tcW w:w="8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55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46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63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81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8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w:t>
            </w:r>
          </w:p>
        </w:tc>
        <w:tc>
          <w:tcPr>
            <w:tcW w:w="155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46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63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81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益指标</w:t>
            </w:r>
          </w:p>
        </w:tc>
        <w:tc>
          <w:tcPr>
            <w:tcW w:w="878" w:type="dxa"/>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eastAsia" w:ascii="仿宋" w:hAnsi="仿宋" w:eastAsia="仿宋" w:cs="仿宋"/>
                <w:i w:val="0"/>
                <w:iCs w:val="0"/>
                <w:color w:val="000000"/>
                <w:kern w:val="0"/>
                <w:sz w:val="17"/>
                <w:szCs w:val="17"/>
                <w:u w:val="none"/>
                <w:lang w:val="en-US" w:eastAsia="zh-CN" w:bidi="ar"/>
              </w:rPr>
              <w:t>信息化建设</w:t>
            </w:r>
          </w:p>
        </w:tc>
        <w:tc>
          <w:tcPr>
            <w:tcW w:w="1550" w:type="dxa"/>
            <w:gridSpan w:val="2"/>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紧紧围绕区委的中心工作和领导需求，牢牢抓住全区经济社会发展中的热点、难点问题</w:t>
            </w:r>
          </w:p>
        </w:tc>
        <w:tc>
          <w:tcPr>
            <w:tcW w:w="1450" w:type="dxa"/>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按照市委办信息科工作要求，按时采编、报送高质量的信息，全年共编发上报信息80余条，上报信息选题90余个</w:t>
            </w:r>
          </w:p>
        </w:tc>
        <w:tc>
          <w:tcPr>
            <w:tcW w:w="462" w:type="dxa"/>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20</w:t>
            </w:r>
          </w:p>
        </w:tc>
        <w:tc>
          <w:tcPr>
            <w:tcW w:w="638" w:type="dxa"/>
            <w:vAlign w:val="center"/>
          </w:tcPr>
          <w:p>
            <w:pPr>
              <w:keepNext w:val="0"/>
              <w:keepLines w:val="0"/>
              <w:widowControl/>
              <w:suppressLineNumbers w:val="0"/>
              <w:jc w:val="left"/>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20</w:t>
            </w:r>
          </w:p>
        </w:tc>
        <w:tc>
          <w:tcPr>
            <w:tcW w:w="81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益指标</w:t>
            </w:r>
          </w:p>
        </w:tc>
        <w:tc>
          <w:tcPr>
            <w:tcW w:w="8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55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46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63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81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8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w:t>
            </w:r>
          </w:p>
        </w:tc>
        <w:tc>
          <w:tcPr>
            <w:tcW w:w="155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14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46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63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81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可持续影响指标</w:t>
            </w:r>
          </w:p>
        </w:tc>
        <w:tc>
          <w:tcPr>
            <w:tcW w:w="878"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eastAsia" w:ascii="仿宋" w:hAnsi="仿宋" w:eastAsia="仿宋" w:cs="仿宋"/>
                <w:i w:val="0"/>
                <w:iCs w:val="0"/>
                <w:color w:val="000000"/>
                <w:kern w:val="0"/>
                <w:sz w:val="17"/>
                <w:szCs w:val="17"/>
                <w:u w:val="none"/>
                <w:lang w:val="en-US" w:eastAsia="zh-CN" w:bidi="ar"/>
              </w:rPr>
              <w:t>法规工作</w:t>
            </w:r>
          </w:p>
        </w:tc>
        <w:tc>
          <w:tcPr>
            <w:tcW w:w="1550" w:type="dxa"/>
            <w:gridSpan w:val="2"/>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严格执行前置审核制度，对拟提请区委常委会会议审议的重要党内规范性文件草拟稿进行严格前置审核，从严审核文件的必要性、规范性和程序性</w:t>
            </w:r>
          </w:p>
        </w:tc>
        <w:tc>
          <w:tcPr>
            <w:tcW w:w="1450"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按要求向市委办报送备案文件2个；对全区5个镇（街道）开展下备一级工作。</w:t>
            </w:r>
          </w:p>
        </w:tc>
        <w:tc>
          <w:tcPr>
            <w:tcW w:w="462"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20</w:t>
            </w:r>
          </w:p>
        </w:tc>
        <w:tc>
          <w:tcPr>
            <w:tcW w:w="638" w:type="dxa"/>
            <w:vMerge w:val="restart"/>
            <w:vAlign w:val="center"/>
          </w:tcPr>
          <w:p>
            <w:pPr>
              <w:keepNext w:val="0"/>
              <w:keepLines w:val="0"/>
              <w:widowControl/>
              <w:suppressLineNumbers w:val="0"/>
              <w:jc w:val="left"/>
              <w:textAlignment w:val="center"/>
              <w:rPr>
                <w:rFonts w:hint="eastAsia" w:ascii="仿宋" w:hAnsi="仿宋" w:eastAsia="仿宋" w:cs="仿宋"/>
                <w:color w:val="000000"/>
                <w:kern w:val="0"/>
                <w:sz w:val="17"/>
                <w:szCs w:val="17"/>
              </w:rPr>
            </w:pPr>
            <w:r>
              <w:rPr>
                <w:rFonts w:hint="default" w:ascii="仿宋_GB2312" w:hAnsi="宋体" w:eastAsia="仿宋_GB2312" w:cs="仿宋_GB2312"/>
                <w:i w:val="0"/>
                <w:iCs w:val="0"/>
                <w:color w:val="000000"/>
                <w:kern w:val="0"/>
                <w:sz w:val="17"/>
                <w:szCs w:val="17"/>
                <w:u w:val="none"/>
                <w:lang w:val="en-US" w:eastAsia="zh-CN" w:bidi="ar"/>
              </w:rPr>
              <w:t>20</w:t>
            </w:r>
          </w:p>
        </w:tc>
        <w:tc>
          <w:tcPr>
            <w:tcW w:w="81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878"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550" w:type="dxa"/>
            <w:gridSpan w:val="2"/>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450"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462"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638"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81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17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（10分）</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p>
        </w:tc>
        <w:tc>
          <w:tcPr>
            <w:tcW w:w="8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550"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145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462"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63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p>
        </w:tc>
        <w:tc>
          <w:tcPr>
            <w:tcW w:w="81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1"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总分</w:t>
            </w:r>
          </w:p>
        </w:tc>
        <w:tc>
          <w:tcPr>
            <w:tcW w:w="46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17"/>
                <w:szCs w:val="17"/>
                <w:lang w:val="en-US" w:eastAsia="zh-CN"/>
              </w:rPr>
            </w:pPr>
            <w:r>
              <w:rPr>
                <w:rFonts w:hint="eastAsia" w:ascii="仿宋" w:hAnsi="仿宋" w:eastAsia="仿宋" w:cs="仿宋"/>
                <w:color w:val="000000"/>
                <w:kern w:val="0"/>
                <w:sz w:val="17"/>
                <w:szCs w:val="17"/>
                <w:lang w:val="en-US" w:eastAsia="zh-CN"/>
              </w:rPr>
              <w:t>97</w:t>
            </w:r>
          </w:p>
        </w:tc>
        <w:tc>
          <w:tcPr>
            <w:tcW w:w="63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c>
          <w:tcPr>
            <w:tcW w:w="811"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17"/>
                <w:szCs w:val="17"/>
              </w:rPr>
            </w:pPr>
            <w:r>
              <w:rPr>
                <w:rFonts w:hint="eastAsia" w:ascii="仿宋" w:hAnsi="仿宋" w:eastAsia="仿宋" w:cs="仿宋"/>
                <w:color w:val="000000"/>
                <w:kern w:val="0"/>
                <w:sz w:val="17"/>
                <w:szCs w:val="17"/>
              </w:rPr>
              <w:t>　</w:t>
            </w:r>
          </w:p>
        </w:tc>
      </w:tr>
    </w:tbl>
    <w:p>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张诗瑶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2024年7月23日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 07395081678</w:t>
      </w:r>
    </w:p>
    <w:p>
      <w:pPr>
        <w:rPr>
          <w:rFonts w:hint="default"/>
          <w:lang w:val="en-US" w:eastAsia="zh-CN"/>
        </w:rPr>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53ECAD-6B27-44BC-BE1C-63D20ABE53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2" w:fontKey="{900E1050-2C6E-4864-839C-567177644326}"/>
  </w:font>
  <w:font w:name="方正小标宋_GBK">
    <w:panose1 w:val="02000000000000000000"/>
    <w:charset w:val="86"/>
    <w:family w:val="auto"/>
    <w:pitch w:val="default"/>
    <w:sig w:usb0="A00002BF" w:usb1="38CF7CFA" w:usb2="00082016" w:usb3="00000000" w:csb0="00040001" w:csb1="00000000"/>
    <w:embedRegular r:id="rId3" w:fontKey="{0482FDBE-DE51-4462-8DCC-0C82CA4DC80E}"/>
  </w:font>
  <w:font w:name="仿宋_GB2312">
    <w:altName w:val="仿宋"/>
    <w:panose1 w:val="02010609030101010101"/>
    <w:charset w:val="86"/>
    <w:family w:val="auto"/>
    <w:pitch w:val="default"/>
    <w:sig w:usb0="00000000" w:usb1="00000000" w:usb2="00000000" w:usb3="00000000" w:csb0="00040000" w:csb1="00000000"/>
    <w:embedRegular r:id="rId4" w:fontKey="{847A1463-216D-4F45-A149-4FCBFDBB8419}"/>
  </w:font>
  <w:font w:name="仿宋">
    <w:panose1 w:val="02010609060101010101"/>
    <w:charset w:val="86"/>
    <w:family w:val="auto"/>
    <w:pitch w:val="default"/>
    <w:sig w:usb0="800002BF" w:usb1="38CF7CFA" w:usb2="00000016" w:usb3="00000000" w:csb0="00040001" w:csb1="00000000"/>
    <w:embedRegular r:id="rId5" w:fontKey="{31AE3041-7620-44A8-8128-B8FCA457B45C}"/>
  </w:font>
  <w:font w:name="方正小标宋简体">
    <w:altName w:val="黑体"/>
    <w:panose1 w:val="03000509000000000000"/>
    <w:charset w:val="86"/>
    <w:family w:val="auto"/>
    <w:pitch w:val="default"/>
    <w:sig w:usb0="00000000" w:usb1="00000000" w:usb2="00000000" w:usb3="00000000" w:csb0="00040000" w:csb1="00000000"/>
    <w:embedRegular r:id="rId6" w:fontKey="{9C2F0EA2-90FB-42B8-9DD2-DA6742512F66}"/>
  </w:font>
  <w:font w:name="方正仿宋_GB2312">
    <w:panose1 w:val="02000000000000000000"/>
    <w:charset w:val="86"/>
    <w:family w:val="auto"/>
    <w:pitch w:val="default"/>
    <w:sig w:usb0="A00002BF" w:usb1="184F6CFA" w:usb2="00000012" w:usb3="00000000" w:csb0="00040001" w:csb1="00000000"/>
    <w:embedRegular r:id="rId7" w:fontKey="{2E420A78-5D88-4CCA-BC6B-EA1EA6174783}"/>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9F606"/>
    <w:multiLevelType w:val="singleLevel"/>
    <w:tmpl w:val="88D9F606"/>
    <w:lvl w:ilvl="0" w:tentative="0">
      <w:start w:val="8"/>
      <w:numFmt w:val="chineseCounting"/>
      <w:suff w:val="nothing"/>
      <w:lvlText w:val="%1、"/>
      <w:lvlJc w:val="left"/>
      <w:rPr>
        <w:rFonts w:hint="eastAsia"/>
      </w:rPr>
    </w:lvl>
  </w:abstractNum>
  <w:abstractNum w:abstractNumId="1">
    <w:nsid w:val="53C42685"/>
    <w:multiLevelType w:val="singleLevel"/>
    <w:tmpl w:val="53C4268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DQ2MTVhMjBmNWVkNDdmODUyYjIyYmJhNjY4YWMifQ=="/>
    <w:docVar w:name="KSO_WPS_MARK_KEY" w:val="9920a277-c0c3-43b4-93d3-1636fe398e0b"/>
  </w:docVars>
  <w:rsids>
    <w:rsidRoot w:val="753C4E9B"/>
    <w:rsid w:val="00EB60B2"/>
    <w:rsid w:val="00F93DEB"/>
    <w:rsid w:val="02C26C74"/>
    <w:rsid w:val="05E95AA6"/>
    <w:rsid w:val="063304F4"/>
    <w:rsid w:val="06F85085"/>
    <w:rsid w:val="07683FB9"/>
    <w:rsid w:val="08144141"/>
    <w:rsid w:val="089B216C"/>
    <w:rsid w:val="0A80786B"/>
    <w:rsid w:val="0AD96F48"/>
    <w:rsid w:val="0C4447D8"/>
    <w:rsid w:val="0C7F0094"/>
    <w:rsid w:val="0CE80046"/>
    <w:rsid w:val="0D276746"/>
    <w:rsid w:val="0D464D9C"/>
    <w:rsid w:val="0E956870"/>
    <w:rsid w:val="0EEC1973"/>
    <w:rsid w:val="0F7D6A6F"/>
    <w:rsid w:val="0F832BB1"/>
    <w:rsid w:val="0FB139B7"/>
    <w:rsid w:val="10081F5B"/>
    <w:rsid w:val="10596B94"/>
    <w:rsid w:val="10C94A6B"/>
    <w:rsid w:val="112A0531"/>
    <w:rsid w:val="1223366A"/>
    <w:rsid w:val="129E2F84"/>
    <w:rsid w:val="12C549B5"/>
    <w:rsid w:val="138959E3"/>
    <w:rsid w:val="143877FD"/>
    <w:rsid w:val="14B37C3C"/>
    <w:rsid w:val="15D46F9B"/>
    <w:rsid w:val="17F057AF"/>
    <w:rsid w:val="18710338"/>
    <w:rsid w:val="198033E4"/>
    <w:rsid w:val="19AB3FDC"/>
    <w:rsid w:val="19E805B2"/>
    <w:rsid w:val="1AE673CC"/>
    <w:rsid w:val="1B9118D8"/>
    <w:rsid w:val="1BA13FDD"/>
    <w:rsid w:val="1BB14151"/>
    <w:rsid w:val="1C97771A"/>
    <w:rsid w:val="1CB52719"/>
    <w:rsid w:val="1CB6451F"/>
    <w:rsid w:val="1E412D5B"/>
    <w:rsid w:val="1EA353E2"/>
    <w:rsid w:val="1EBD0C36"/>
    <w:rsid w:val="1FB430C5"/>
    <w:rsid w:val="20052895"/>
    <w:rsid w:val="20C77CA1"/>
    <w:rsid w:val="215A451A"/>
    <w:rsid w:val="21FF3314"/>
    <w:rsid w:val="22E449E3"/>
    <w:rsid w:val="23DF164F"/>
    <w:rsid w:val="241035B6"/>
    <w:rsid w:val="24D75D7B"/>
    <w:rsid w:val="25761B3F"/>
    <w:rsid w:val="26CE42AA"/>
    <w:rsid w:val="26EB3E67"/>
    <w:rsid w:val="277E6F02"/>
    <w:rsid w:val="27A91D58"/>
    <w:rsid w:val="27D27A32"/>
    <w:rsid w:val="27F51441"/>
    <w:rsid w:val="27FE6547"/>
    <w:rsid w:val="28EC45F2"/>
    <w:rsid w:val="29990575"/>
    <w:rsid w:val="2AE01F34"/>
    <w:rsid w:val="2BA35890"/>
    <w:rsid w:val="2BF75C0D"/>
    <w:rsid w:val="2CBA67B5"/>
    <w:rsid w:val="2DE03FF9"/>
    <w:rsid w:val="2FF741C8"/>
    <w:rsid w:val="303050D7"/>
    <w:rsid w:val="310B3A83"/>
    <w:rsid w:val="312A2265"/>
    <w:rsid w:val="312E1520"/>
    <w:rsid w:val="31944847"/>
    <w:rsid w:val="32075FF9"/>
    <w:rsid w:val="32D74500"/>
    <w:rsid w:val="330C48F7"/>
    <w:rsid w:val="334A1AF9"/>
    <w:rsid w:val="33A84AA7"/>
    <w:rsid w:val="33B401D4"/>
    <w:rsid w:val="33F0483B"/>
    <w:rsid w:val="35906305"/>
    <w:rsid w:val="365D55BB"/>
    <w:rsid w:val="36FC0F5D"/>
    <w:rsid w:val="375773F8"/>
    <w:rsid w:val="37A147F9"/>
    <w:rsid w:val="37A34A15"/>
    <w:rsid w:val="38AD17EB"/>
    <w:rsid w:val="39094D4C"/>
    <w:rsid w:val="3A654486"/>
    <w:rsid w:val="3DC660E6"/>
    <w:rsid w:val="3EC040FF"/>
    <w:rsid w:val="3F9B2476"/>
    <w:rsid w:val="40B32DF3"/>
    <w:rsid w:val="410A1661"/>
    <w:rsid w:val="41353018"/>
    <w:rsid w:val="41870F04"/>
    <w:rsid w:val="419B2857"/>
    <w:rsid w:val="41AA0255"/>
    <w:rsid w:val="42F02AD9"/>
    <w:rsid w:val="43AD4526"/>
    <w:rsid w:val="44590106"/>
    <w:rsid w:val="45682DFA"/>
    <w:rsid w:val="465E7D59"/>
    <w:rsid w:val="47412FF1"/>
    <w:rsid w:val="49C12E6B"/>
    <w:rsid w:val="4AC16991"/>
    <w:rsid w:val="4AFC3818"/>
    <w:rsid w:val="4B074464"/>
    <w:rsid w:val="4B666675"/>
    <w:rsid w:val="4B8A777C"/>
    <w:rsid w:val="4B9F3EFA"/>
    <w:rsid w:val="4BC65F50"/>
    <w:rsid w:val="4C673E0C"/>
    <w:rsid w:val="4CE74F4D"/>
    <w:rsid w:val="4DF47921"/>
    <w:rsid w:val="4DF538B3"/>
    <w:rsid w:val="4EE07EA5"/>
    <w:rsid w:val="517D7AB2"/>
    <w:rsid w:val="521A1920"/>
    <w:rsid w:val="529214B7"/>
    <w:rsid w:val="52E57838"/>
    <w:rsid w:val="530D4FE1"/>
    <w:rsid w:val="53210238"/>
    <w:rsid w:val="5402441A"/>
    <w:rsid w:val="546B6463"/>
    <w:rsid w:val="54A06666"/>
    <w:rsid w:val="552A0475"/>
    <w:rsid w:val="55EC7130"/>
    <w:rsid w:val="56E7781E"/>
    <w:rsid w:val="576176AA"/>
    <w:rsid w:val="57E5652D"/>
    <w:rsid w:val="585711D8"/>
    <w:rsid w:val="588B70D4"/>
    <w:rsid w:val="596544AE"/>
    <w:rsid w:val="5A20384C"/>
    <w:rsid w:val="5A5915AC"/>
    <w:rsid w:val="5ACD22DB"/>
    <w:rsid w:val="5C7A36E7"/>
    <w:rsid w:val="5CDF354A"/>
    <w:rsid w:val="5EC82AC9"/>
    <w:rsid w:val="5F21609C"/>
    <w:rsid w:val="5F2E2567"/>
    <w:rsid w:val="61CC1E3B"/>
    <w:rsid w:val="620F2BD6"/>
    <w:rsid w:val="63C811DC"/>
    <w:rsid w:val="64081CBD"/>
    <w:rsid w:val="6484165A"/>
    <w:rsid w:val="64A82DBC"/>
    <w:rsid w:val="65984BDE"/>
    <w:rsid w:val="68B74915"/>
    <w:rsid w:val="695D4175"/>
    <w:rsid w:val="69635503"/>
    <w:rsid w:val="69CD5F85"/>
    <w:rsid w:val="6A0A70D1"/>
    <w:rsid w:val="6A12486A"/>
    <w:rsid w:val="6A326C4F"/>
    <w:rsid w:val="6A354309"/>
    <w:rsid w:val="6B945E48"/>
    <w:rsid w:val="6BF16DF6"/>
    <w:rsid w:val="6C5630FD"/>
    <w:rsid w:val="6D8A5754"/>
    <w:rsid w:val="6E600263"/>
    <w:rsid w:val="6E8201DA"/>
    <w:rsid w:val="6F2B6AC3"/>
    <w:rsid w:val="703419A7"/>
    <w:rsid w:val="707B1384"/>
    <w:rsid w:val="72181581"/>
    <w:rsid w:val="72F13A80"/>
    <w:rsid w:val="73B452D9"/>
    <w:rsid w:val="753C4E9B"/>
    <w:rsid w:val="77F739E6"/>
    <w:rsid w:val="781113A7"/>
    <w:rsid w:val="791E6510"/>
    <w:rsid w:val="7A811C8D"/>
    <w:rsid w:val="7AE446F6"/>
    <w:rsid w:val="7BBE3213"/>
    <w:rsid w:val="7BFE17E7"/>
    <w:rsid w:val="7C5E7D58"/>
    <w:rsid w:val="7C77541E"/>
    <w:rsid w:val="7C8D4A41"/>
    <w:rsid w:val="7EB219C6"/>
    <w:rsid w:val="7EC558A0"/>
    <w:rsid w:val="7FF83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rPr>
      <w:sz w:val="24"/>
    </w:rPr>
  </w:style>
  <w:style w:type="paragraph" w:styleId="5">
    <w:name w:val="Body Text Indent"/>
    <w:basedOn w:val="1"/>
    <w:unhideWhenUsed/>
    <w:qFormat/>
    <w:uiPriority w:val="0"/>
    <w:pPr>
      <w:spacing w:beforeLines="0" w:afterLines="0"/>
      <w:ind w:firstLine="640" w:firstLineChars="200"/>
    </w:pPr>
    <w:rPr>
      <w:rFonts w:hint="default"/>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unhideWhenUsed/>
    <w:qFormat/>
    <w:uiPriority w:val="99"/>
    <w:pPr>
      <w:spacing w:beforeLines="0" w:afterLines="0"/>
      <w:ind w:firstLine="420"/>
    </w:pPr>
    <w:rPr>
      <w:rFonts w:hint="default"/>
      <w:sz w:val="32"/>
    </w:rPr>
  </w:style>
  <w:style w:type="character" w:styleId="12">
    <w:name w:val="FollowedHyperlink"/>
    <w:basedOn w:val="11"/>
    <w:qFormat/>
    <w:uiPriority w:val="0"/>
    <w:rPr>
      <w:rFonts w:hint="eastAsia" w:ascii="微软雅黑" w:hAnsi="微软雅黑" w:eastAsia="微软雅黑" w:cs="微软雅黑"/>
      <w:color w:val="000000"/>
      <w:sz w:val="19"/>
      <w:szCs w:val="19"/>
      <w:u w:val="none"/>
    </w:rPr>
  </w:style>
  <w:style w:type="character" w:styleId="13">
    <w:name w:val="Emphasis"/>
    <w:basedOn w:val="11"/>
    <w:qFormat/>
    <w:uiPriority w:val="0"/>
    <w:rPr>
      <w:rFonts w:hint="eastAsia" w:ascii="微软雅黑" w:hAnsi="微软雅黑" w:eastAsia="微软雅黑" w:cs="微软雅黑"/>
      <w:sz w:val="19"/>
      <w:szCs w:val="19"/>
    </w:rPr>
  </w:style>
  <w:style w:type="character" w:styleId="14">
    <w:name w:val="HTML Acronym"/>
    <w:basedOn w:val="11"/>
    <w:qFormat/>
    <w:uiPriority w:val="0"/>
    <w:rPr>
      <w:rFonts w:ascii="微软雅黑" w:hAnsi="微软雅黑" w:eastAsia="微软雅黑" w:cs="微软雅黑"/>
      <w:sz w:val="19"/>
      <w:szCs w:val="19"/>
    </w:rPr>
  </w:style>
  <w:style w:type="character" w:styleId="15">
    <w:name w:val="Hyperlink"/>
    <w:basedOn w:val="11"/>
    <w:qFormat/>
    <w:uiPriority w:val="0"/>
    <w:rPr>
      <w:rFonts w:hint="eastAsia" w:ascii="微软雅黑" w:hAnsi="微软雅黑" w:eastAsia="微软雅黑" w:cs="微软雅黑"/>
      <w:color w:val="000000"/>
      <w:sz w:val="19"/>
      <w:szCs w:val="19"/>
      <w:u w:val="none"/>
    </w:rPr>
  </w:style>
  <w:style w:type="character" w:styleId="16">
    <w:name w:val="HTML Cite"/>
    <w:basedOn w:val="11"/>
    <w:qFormat/>
    <w:uiPriority w:val="0"/>
    <w:rPr>
      <w:rFonts w:hint="eastAsia" w:ascii="微软雅黑" w:hAnsi="微软雅黑" w:eastAsia="微软雅黑" w:cs="微软雅黑"/>
      <w:i/>
      <w:sz w:val="19"/>
      <w:szCs w:val="19"/>
    </w:rPr>
  </w:style>
  <w:style w:type="paragraph" w:customStyle="1" w:styleId="17">
    <w:name w:val="标题1"/>
    <w:basedOn w:val="4"/>
    <w:qFormat/>
    <w:uiPriority w:val="0"/>
    <w:rPr>
      <w:rFonts w:eastAsia="黑体"/>
    </w:rPr>
  </w:style>
  <w:style w:type="paragraph" w:customStyle="1" w:styleId="18">
    <w:name w:val="首行缩进"/>
    <w:basedOn w:val="1"/>
    <w:qFormat/>
    <w:uiPriority w:val="0"/>
    <w:pPr>
      <w:ind w:firstLine="480" w:firstLineChars="200"/>
    </w:pPr>
    <w:rPr>
      <w:lang w:val="zh-CN"/>
    </w:rPr>
  </w:style>
  <w:style w:type="character" w:customStyle="1" w:styleId="19">
    <w:name w:val="wx-space"/>
    <w:basedOn w:val="11"/>
    <w:qFormat/>
    <w:uiPriority w:val="0"/>
  </w:style>
  <w:style w:type="character" w:customStyle="1" w:styleId="20">
    <w:name w:val="wx-space1"/>
    <w:basedOn w:val="11"/>
    <w:qFormat/>
    <w:uiPriority w:val="0"/>
  </w:style>
  <w:style w:type="character" w:customStyle="1" w:styleId="21">
    <w:name w:val="current"/>
    <w:basedOn w:val="11"/>
    <w:qFormat/>
    <w:uiPriority w:val="0"/>
    <w:rPr>
      <w:shd w:val="clear" w:fill="EDEBEC"/>
    </w:rPr>
  </w:style>
  <w:style w:type="character" w:customStyle="1" w:styleId="22">
    <w:name w:val="current1"/>
    <w:basedOn w:val="11"/>
    <w:qFormat/>
    <w:uiPriority w:val="0"/>
    <w:rPr>
      <w:shd w:val="clear" w:fill="FFFFFF"/>
    </w:rPr>
  </w:style>
  <w:style w:type="character" w:customStyle="1" w:styleId="23">
    <w:name w:val="current2"/>
    <w:basedOn w:val="11"/>
    <w:qFormat/>
    <w:uiPriority w:val="0"/>
    <w:rPr>
      <w:shd w:val="clear" w:fill="FFFFFF"/>
    </w:rPr>
  </w:style>
  <w:style w:type="character" w:customStyle="1" w:styleId="24">
    <w:name w:val="current3"/>
    <w:basedOn w:val="11"/>
    <w:qFormat/>
    <w:uiPriority w:val="0"/>
    <w:rPr>
      <w:shd w:val="clear" w:fill="FFFFFF"/>
    </w:rPr>
  </w:style>
  <w:style w:type="character" w:customStyle="1" w:styleId="25">
    <w:name w:val="current4"/>
    <w:basedOn w:val="11"/>
    <w:qFormat/>
    <w:uiPriority w:val="0"/>
    <w:rPr>
      <w:shd w:val="clear" w:fill="27ABFE"/>
    </w:rPr>
  </w:style>
  <w:style w:type="character" w:customStyle="1" w:styleId="26">
    <w:name w:val="current5"/>
    <w:basedOn w:val="11"/>
    <w:qFormat/>
    <w:uiPriority w:val="0"/>
    <w:rPr>
      <w:shd w:val="clear" w:fill="27ABFE"/>
    </w:rPr>
  </w:style>
  <w:style w:type="character" w:customStyle="1" w:styleId="27">
    <w:name w:val="current6"/>
    <w:basedOn w:val="11"/>
    <w:qFormat/>
    <w:uiPriority w:val="0"/>
    <w:rPr>
      <w:shd w:val="clear" w:fill="27ABFE"/>
    </w:rPr>
  </w:style>
  <w:style w:type="character" w:customStyle="1" w:styleId="28">
    <w:name w:val="current7"/>
    <w:basedOn w:val="11"/>
    <w:qFormat/>
    <w:uiPriority w:val="0"/>
    <w:rPr>
      <w:shd w:val="clear" w:fill="FFFFFF"/>
    </w:rPr>
  </w:style>
  <w:style w:type="character" w:customStyle="1" w:styleId="29">
    <w:name w:val="current8"/>
    <w:basedOn w:val="11"/>
    <w:qFormat/>
    <w:uiPriority w:val="0"/>
  </w:style>
  <w:style w:type="character" w:customStyle="1" w:styleId="30">
    <w:name w:val="current9"/>
    <w:basedOn w:val="11"/>
    <w:qFormat/>
    <w:uiPriority w:val="0"/>
    <w:rPr>
      <w:shd w:val="clear" w:fill="FFFFFF"/>
    </w:rPr>
  </w:style>
  <w:style w:type="character" w:customStyle="1" w:styleId="31">
    <w:name w:val="current10"/>
    <w:basedOn w:val="11"/>
    <w:qFormat/>
    <w:uiPriority w:val="0"/>
    <w:rPr>
      <w:shd w:val="clear" w:fill="FFFFFF"/>
    </w:rPr>
  </w:style>
  <w:style w:type="character" w:customStyle="1" w:styleId="32">
    <w:name w:val="current11"/>
    <w:basedOn w:val="11"/>
    <w:qFormat/>
    <w:uiPriority w:val="0"/>
    <w:rPr>
      <w:shd w:val="clear" w:fill="FFFFFF"/>
    </w:rPr>
  </w:style>
  <w:style w:type="character" w:customStyle="1" w:styleId="33">
    <w:name w:val="current12"/>
    <w:basedOn w:val="11"/>
    <w:qFormat/>
    <w:uiPriority w:val="0"/>
    <w:rPr>
      <w:shd w:val="clear" w:fill="FFFFFF"/>
    </w:rPr>
  </w:style>
  <w:style w:type="character" w:customStyle="1" w:styleId="34">
    <w:name w:val="current13"/>
    <w:basedOn w:val="11"/>
    <w:qFormat/>
    <w:uiPriority w:val="0"/>
    <w:rPr>
      <w:shd w:val="clear" w:fill="EAEEEF"/>
    </w:rPr>
  </w:style>
  <w:style w:type="character" w:customStyle="1" w:styleId="35">
    <w:name w:val="current14"/>
    <w:basedOn w:val="11"/>
    <w:qFormat/>
    <w:uiPriority w:val="0"/>
    <w:rPr>
      <w:shd w:val="clear" w:fill="FFFFFF"/>
    </w:rPr>
  </w:style>
  <w:style w:type="character" w:customStyle="1" w:styleId="36">
    <w:name w:val="current15"/>
    <w:basedOn w:val="11"/>
    <w:qFormat/>
    <w:uiPriority w:val="0"/>
    <w:rPr>
      <w:shd w:val="clear" w:fill="FFFFFF"/>
    </w:rPr>
  </w:style>
  <w:style w:type="character" w:customStyle="1" w:styleId="37">
    <w:name w:val="current16"/>
    <w:basedOn w:val="11"/>
    <w:qFormat/>
    <w:uiPriority w:val="0"/>
    <w:rPr>
      <w:shd w:val="clear" w:fill="FFFFFF"/>
    </w:rPr>
  </w:style>
  <w:style w:type="character" w:customStyle="1" w:styleId="38">
    <w:name w:val="b2"/>
    <w:basedOn w:val="11"/>
    <w:qFormat/>
    <w:uiPriority w:val="0"/>
  </w:style>
  <w:style w:type="character" w:customStyle="1" w:styleId="39">
    <w:name w:val="b21"/>
    <w:basedOn w:val="11"/>
    <w:qFormat/>
    <w:uiPriority w:val="0"/>
  </w:style>
  <w:style w:type="character" w:customStyle="1" w:styleId="40">
    <w:name w:val="b1"/>
    <w:basedOn w:val="11"/>
    <w:qFormat/>
    <w:uiPriority w:val="0"/>
  </w:style>
  <w:style w:type="character" w:customStyle="1" w:styleId="41">
    <w:name w:val="b11"/>
    <w:basedOn w:val="11"/>
    <w:qFormat/>
    <w:uiPriority w:val="0"/>
  </w:style>
  <w:style w:type="character" w:customStyle="1" w:styleId="42">
    <w:name w:val="cen15"/>
    <w:basedOn w:val="11"/>
    <w:qFormat/>
    <w:uiPriority w:val="0"/>
  </w:style>
  <w:style w:type="character" w:customStyle="1" w:styleId="43">
    <w:name w:val="cen16"/>
    <w:basedOn w:val="11"/>
    <w:qFormat/>
    <w:uiPriority w:val="0"/>
  </w:style>
  <w:style w:type="character" w:customStyle="1" w:styleId="44">
    <w:name w:val="cen17"/>
    <w:basedOn w:val="11"/>
    <w:qFormat/>
    <w:uiPriority w:val="0"/>
  </w:style>
  <w:style w:type="character" w:customStyle="1" w:styleId="45">
    <w:name w:val="on"/>
    <w:basedOn w:val="11"/>
    <w:qFormat/>
    <w:uiPriority w:val="0"/>
  </w:style>
  <w:style w:type="character" w:customStyle="1" w:styleId="46">
    <w:name w:val="on1"/>
    <w:basedOn w:val="11"/>
    <w:qFormat/>
    <w:uiPriority w:val="0"/>
  </w:style>
  <w:style w:type="character" w:customStyle="1" w:styleId="47">
    <w:name w:val="on2"/>
    <w:basedOn w:val="11"/>
    <w:qFormat/>
    <w:uiPriority w:val="0"/>
  </w:style>
  <w:style w:type="character" w:customStyle="1" w:styleId="48">
    <w:name w:val="icons6"/>
    <w:basedOn w:val="11"/>
    <w:qFormat/>
    <w:uiPriority w:val="0"/>
  </w:style>
  <w:style w:type="character" w:customStyle="1" w:styleId="49">
    <w:name w:val="hover35"/>
    <w:basedOn w:val="11"/>
    <w:qFormat/>
    <w:uiPriority w:val="0"/>
    <w:rPr>
      <w:color w:val="000000"/>
      <w:shd w:val="clear" w:fill="FFFFFF"/>
    </w:rPr>
  </w:style>
  <w:style w:type="character" w:customStyle="1" w:styleId="50">
    <w:name w:val="icons8"/>
    <w:basedOn w:val="11"/>
    <w:qFormat/>
    <w:uiPriority w:val="0"/>
  </w:style>
  <w:style w:type="character" w:customStyle="1" w:styleId="51">
    <w:name w:val="hover34"/>
    <w:basedOn w:val="11"/>
    <w:qFormat/>
    <w:uiPriority w:val="0"/>
    <w:rPr>
      <w:color w:val="000000"/>
      <w:shd w:val="clear" w:fill="FFFFFF"/>
    </w:rPr>
  </w:style>
  <w:style w:type="character" w:customStyle="1" w:styleId="52">
    <w:name w:val="cen12"/>
    <w:basedOn w:val="11"/>
    <w:qFormat/>
    <w:uiPriority w:val="0"/>
  </w:style>
  <w:style w:type="character" w:customStyle="1" w:styleId="53">
    <w:name w:val="cen13"/>
    <w:basedOn w:val="11"/>
    <w:qFormat/>
    <w:uiPriority w:val="0"/>
  </w:style>
  <w:style w:type="character" w:customStyle="1" w:styleId="54">
    <w:name w:val="cen14"/>
    <w:basedOn w:val="11"/>
    <w:qFormat/>
    <w:uiPriority w:val="0"/>
  </w:style>
  <w:style w:type="character" w:customStyle="1" w:styleId="55">
    <w:name w:val="cen18"/>
    <w:basedOn w:val="11"/>
    <w:qFormat/>
    <w:uiPriority w:val="0"/>
  </w:style>
  <w:style w:type="character" w:customStyle="1" w:styleId="56">
    <w:name w:val="hover33"/>
    <w:basedOn w:val="11"/>
    <w:qFormat/>
    <w:uiPriority w:val="0"/>
    <w:rPr>
      <w:color w:val="000000"/>
      <w:shd w:val="clear" w:fill="FFFFFF"/>
    </w:rPr>
  </w:style>
  <w:style w:type="character" w:customStyle="1" w:styleId="57">
    <w:name w:val="icons7"/>
    <w:basedOn w:val="11"/>
    <w:qFormat/>
    <w:uiPriority w:val="0"/>
  </w:style>
  <w:style w:type="character" w:customStyle="1" w:styleId="58">
    <w:name w:val="cen"/>
    <w:basedOn w:val="11"/>
    <w:qFormat/>
    <w:uiPriority w:val="0"/>
  </w:style>
  <w:style w:type="character" w:customStyle="1" w:styleId="59">
    <w:name w:val="cen1"/>
    <w:basedOn w:val="11"/>
    <w:qFormat/>
    <w:uiPriority w:val="0"/>
  </w:style>
  <w:style w:type="character" w:customStyle="1" w:styleId="60">
    <w:name w:val="cen2"/>
    <w:basedOn w:val="11"/>
    <w:qFormat/>
    <w:uiPriority w:val="0"/>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5734</Words>
  <Characters>6245</Characters>
  <Lines>0</Lines>
  <Paragraphs>0</Paragraphs>
  <TotalTime>0</TotalTime>
  <ScaleCrop>false</ScaleCrop>
  <LinksUpToDate>false</LinksUpToDate>
  <CharactersWithSpaces>6425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2024-04-04T04:38:00Z</cp:lastPrinted>
  <dcterms:modified xsi:type="dcterms:W3CDTF">2024-07-23T09:23:52Z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C3122977022B45F399FAC8233ABA2157_13</vt:lpwstr>
  </property>
</Properties>
</file>