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ind w:left="0" w:leftChars="0" w:firstLine="0" w:firstLineChars="0"/>
        <w:rPr>
          <w:rFonts w:hint="default" w:ascii="Times New Roman Regular" w:hAnsi="Times New Roman Regular" w:eastAsia="黑体" w:cs="Times New Roman Regular"/>
          <w:sz w:val="33"/>
          <w:szCs w:val="33"/>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outlineLvl w:val="0"/>
        <w:rPr>
          <w:rFonts w:hint="default" w:ascii="Times New Roman" w:hAnsi="Times New Roman" w:eastAsia="方正小标宋_GBK" w:cs="Times New Roman"/>
          <w:b w:val="0"/>
          <w:bCs w:val="0"/>
          <w:sz w:val="40"/>
          <w:szCs w:val="40"/>
          <w:lang w:val="en-US" w:eastAsia="zh-CN"/>
        </w:rPr>
      </w:pPr>
      <w:bookmarkStart w:id="0" w:name="_Toc32260"/>
      <w:bookmarkStart w:id="1" w:name="_Toc20640"/>
      <w:bookmarkStart w:id="2" w:name="_Toc32613"/>
      <w:bookmarkStart w:id="3" w:name="_Toc27022"/>
      <w:r>
        <w:rPr>
          <w:rFonts w:hint="default" w:ascii="Times New Roman" w:hAnsi="Times New Roman" w:eastAsia="方正小标宋_GBK" w:cs="Times New Roman"/>
          <w:b w:val="0"/>
          <w:bCs w:val="0"/>
          <w:sz w:val="40"/>
          <w:szCs w:val="40"/>
          <w:lang w:val="en-US" w:eastAsia="zh-CN"/>
        </w:rPr>
        <w:t>邵阳</w:t>
      </w:r>
      <w:r>
        <w:rPr>
          <w:rFonts w:hint="default" w:ascii="Times New Roman" w:hAnsi="Times New Roman" w:eastAsia="方正小标宋_GBK" w:cs="Times New Roman"/>
          <w:b w:val="0"/>
          <w:bCs w:val="0"/>
          <w:sz w:val="40"/>
          <w:szCs w:val="40"/>
        </w:rPr>
        <w:t>市</w:t>
      </w:r>
      <w:r>
        <w:rPr>
          <w:rFonts w:hint="default" w:ascii="Times New Roman" w:hAnsi="Times New Roman" w:eastAsia="方正小标宋_GBK" w:cs="Times New Roman"/>
          <w:b w:val="0"/>
          <w:bCs w:val="0"/>
          <w:sz w:val="40"/>
          <w:szCs w:val="40"/>
          <w:lang w:val="en-US" w:eastAsia="zh-CN"/>
        </w:rPr>
        <w:t>北塔</w:t>
      </w:r>
      <w:r>
        <w:rPr>
          <w:rFonts w:hint="default" w:ascii="Times New Roman" w:hAnsi="Times New Roman" w:eastAsia="方正小标宋_GBK" w:cs="Times New Roman"/>
          <w:b w:val="0"/>
          <w:bCs w:val="0"/>
          <w:sz w:val="40"/>
          <w:szCs w:val="40"/>
        </w:rPr>
        <w:t>区</w:t>
      </w:r>
      <w:r>
        <w:rPr>
          <w:rFonts w:hint="default" w:ascii="Times New Roman" w:hAnsi="Times New Roman" w:eastAsia="方正小标宋_GBK" w:cs="Times New Roman"/>
          <w:b w:val="0"/>
          <w:bCs w:val="0"/>
          <w:sz w:val="40"/>
          <w:szCs w:val="40"/>
          <w:lang w:val="en-US" w:eastAsia="zh-CN"/>
        </w:rPr>
        <w:t>特色文化服务业发展中心</w:t>
      </w:r>
      <w:bookmarkEnd w:id="0"/>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outlineLvl w:val="0"/>
        <w:rPr>
          <w:rFonts w:hint="default" w:ascii="Times New Roman" w:hAnsi="Times New Roman" w:eastAsia="方正小标宋_GBK" w:cs="Times New Roman"/>
          <w:sz w:val="40"/>
          <w:szCs w:val="40"/>
        </w:rPr>
      </w:pPr>
      <w:bookmarkStart w:id="4" w:name="_Toc19124"/>
      <w:r>
        <w:rPr>
          <w:rFonts w:hint="default" w:ascii="Times New Roman" w:hAnsi="Times New Roman" w:eastAsia="方正小标宋_GBK" w:cs="Times New Roman"/>
          <w:b w:val="0"/>
          <w:bCs w:val="0"/>
          <w:sz w:val="40"/>
          <w:szCs w:val="40"/>
        </w:rPr>
        <w:t>202</w:t>
      </w:r>
      <w:r>
        <w:rPr>
          <w:rFonts w:hint="default" w:ascii="Times New Roman" w:hAnsi="Times New Roman" w:eastAsia="方正小标宋_GBK" w:cs="Times New Roman"/>
          <w:b w:val="0"/>
          <w:bCs w:val="0"/>
          <w:sz w:val="40"/>
          <w:szCs w:val="40"/>
          <w:lang w:val="en-US" w:eastAsia="zh-CN"/>
        </w:rPr>
        <w:t>2</w:t>
      </w:r>
      <w:r>
        <w:rPr>
          <w:rFonts w:hint="default" w:ascii="Times New Roman" w:hAnsi="Times New Roman" w:eastAsia="方正小标宋_GBK" w:cs="Times New Roman"/>
          <w:b w:val="0"/>
          <w:bCs w:val="0"/>
          <w:sz w:val="40"/>
          <w:szCs w:val="40"/>
        </w:rPr>
        <w:t>年度部门整体支出</w:t>
      </w:r>
      <w:bookmarkEnd w:id="1"/>
      <w:bookmarkEnd w:id="2"/>
      <w:bookmarkEnd w:id="3"/>
      <w:r>
        <w:rPr>
          <w:rFonts w:hint="default" w:ascii="Times New Roman" w:hAnsi="Times New Roman" w:eastAsia="方正小标宋_GBK" w:cs="Times New Roman"/>
          <w:b w:val="0"/>
          <w:bCs w:val="0"/>
          <w:sz w:val="40"/>
          <w:szCs w:val="40"/>
        </w:rPr>
        <w:t>绩效评价报告</w:t>
      </w:r>
      <w:bookmarkEnd w:id="4"/>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ind w:left="0" w:leftChars="0" w:firstLine="0" w:firstLineChars="0"/>
        <w:jc w:val="both"/>
        <w:rPr>
          <w:rFonts w:hint="default" w:ascii="Times New Roman Regular" w:hAnsi="Times New Roman Regular" w:eastAsia="黑体" w:cs="Times New Roman Regular"/>
          <w:sz w:val="33"/>
          <w:szCs w:val="33"/>
        </w:rPr>
      </w:pPr>
    </w:p>
    <w:p>
      <w:pPr>
        <w:spacing w:line="360" w:lineRule="auto"/>
        <w:ind w:firstLine="0" w:firstLineChars="0"/>
        <w:jc w:val="center"/>
        <w:outlineLvl w:val="9"/>
        <w:rPr>
          <w:rFonts w:hint="eastAsia" w:ascii="仿宋" w:hAnsi="仿宋" w:eastAsia="仿宋" w:cs="仿宋"/>
          <w:b/>
          <w:bCs/>
          <w:spacing w:val="0"/>
          <w:sz w:val="32"/>
          <w:szCs w:val="32"/>
        </w:rPr>
      </w:pPr>
      <w:bookmarkStart w:id="5" w:name="_Toc3215"/>
      <w:bookmarkStart w:id="6" w:name="_Toc14609"/>
      <w:bookmarkStart w:id="7" w:name="_Toc9352"/>
    </w:p>
    <w:p>
      <w:pPr>
        <w:spacing w:line="360" w:lineRule="auto"/>
        <w:ind w:firstLine="0" w:firstLineChars="0"/>
        <w:jc w:val="center"/>
        <w:outlineLvl w:val="0"/>
        <w:rPr>
          <w:rFonts w:hint="eastAsia" w:ascii="仿宋" w:hAnsi="仿宋" w:eastAsia="仿宋" w:cs="仿宋"/>
          <w:b/>
          <w:bCs/>
          <w:spacing w:val="0"/>
          <w:sz w:val="32"/>
          <w:szCs w:val="32"/>
        </w:rPr>
      </w:pPr>
      <w:bookmarkStart w:id="8" w:name="_Toc12685"/>
    </w:p>
    <w:p>
      <w:pPr>
        <w:spacing w:line="360" w:lineRule="auto"/>
        <w:ind w:firstLine="0" w:firstLineChars="0"/>
        <w:jc w:val="center"/>
        <w:outlineLvl w:val="0"/>
        <w:rPr>
          <w:rFonts w:hint="eastAsia" w:ascii="仿宋" w:hAnsi="仿宋" w:eastAsia="仿宋" w:cs="仿宋"/>
          <w:b/>
          <w:bCs/>
          <w:spacing w:val="0"/>
          <w:sz w:val="32"/>
          <w:szCs w:val="32"/>
        </w:rPr>
      </w:pPr>
      <w:bookmarkStart w:id="67" w:name="_GoBack"/>
      <w:bookmarkEnd w:id="67"/>
      <w:r>
        <w:rPr>
          <w:rFonts w:hint="eastAsia" w:ascii="仿宋" w:hAnsi="仿宋" w:eastAsia="仿宋" w:cs="仿宋"/>
          <w:b/>
          <w:bCs/>
          <w:spacing w:val="0"/>
          <w:sz w:val="32"/>
          <w:szCs w:val="32"/>
        </w:rPr>
        <w:t>湖南财正会计师事务所</w:t>
      </w:r>
      <w:r>
        <w:rPr>
          <w:rFonts w:hint="eastAsia" w:ascii="仿宋" w:hAnsi="仿宋" w:cs="仿宋"/>
          <w:b/>
          <w:bCs/>
          <w:spacing w:val="0"/>
          <w:sz w:val="32"/>
          <w:szCs w:val="32"/>
          <w:lang w:eastAsia="zh-CN"/>
        </w:rPr>
        <w:t>（</w:t>
      </w:r>
      <w:r>
        <w:rPr>
          <w:rFonts w:hint="eastAsia" w:ascii="仿宋" w:hAnsi="仿宋" w:eastAsia="仿宋" w:cs="仿宋"/>
          <w:b/>
          <w:bCs/>
          <w:spacing w:val="0"/>
          <w:sz w:val="32"/>
          <w:szCs w:val="32"/>
        </w:rPr>
        <w:t>普通合伙</w:t>
      </w:r>
      <w:r>
        <w:rPr>
          <w:rFonts w:hint="eastAsia" w:ascii="仿宋" w:hAnsi="仿宋" w:cs="仿宋"/>
          <w:b/>
          <w:bCs/>
          <w:spacing w:val="0"/>
          <w:sz w:val="32"/>
          <w:szCs w:val="32"/>
          <w:lang w:eastAsia="zh-CN"/>
        </w:rPr>
        <w:t>）</w:t>
      </w:r>
      <w:bookmarkEnd w:id="8"/>
    </w:p>
    <w:p>
      <w:pPr>
        <w:spacing w:line="360" w:lineRule="auto"/>
        <w:ind w:firstLine="0" w:firstLineChars="0"/>
        <w:jc w:val="center"/>
        <w:outlineLvl w:val="9"/>
        <w:rPr>
          <w:rFonts w:hint="eastAsia" w:ascii="仿宋" w:hAnsi="仿宋" w:eastAsia="仿宋" w:cs="仿宋"/>
          <w:b/>
          <w:bCs/>
          <w:spacing w:val="0"/>
          <w:sz w:val="32"/>
          <w:szCs w:val="32"/>
        </w:rPr>
      </w:pPr>
      <w:r>
        <w:rPr>
          <w:rFonts w:hint="eastAsia" w:ascii="仿宋" w:hAnsi="仿宋" w:eastAsia="仿宋" w:cs="仿宋"/>
          <w:b/>
          <w:bCs/>
          <w:spacing w:val="0"/>
          <w:sz w:val="32"/>
          <w:szCs w:val="32"/>
        </w:rPr>
        <w:t>二</w:t>
      </w:r>
      <w:r>
        <w:rPr>
          <w:rFonts w:hint="eastAsia" w:ascii="仿宋" w:hAnsi="仿宋" w:cs="仿宋"/>
          <w:b/>
          <w:bCs/>
          <w:spacing w:val="0"/>
          <w:sz w:val="32"/>
          <w:szCs w:val="32"/>
          <w:lang w:val="en-US" w:eastAsia="zh-CN"/>
        </w:rPr>
        <w:t>〇</w:t>
      </w:r>
      <w:r>
        <w:rPr>
          <w:rFonts w:hint="eastAsia" w:ascii="仿宋" w:hAnsi="仿宋" w:eastAsia="仿宋" w:cs="仿宋"/>
          <w:b/>
          <w:bCs/>
          <w:spacing w:val="0"/>
          <w:sz w:val="32"/>
          <w:szCs w:val="32"/>
        </w:rPr>
        <w:t>二</w:t>
      </w:r>
      <w:r>
        <w:rPr>
          <w:rFonts w:hint="eastAsia" w:ascii="仿宋" w:hAnsi="仿宋" w:eastAsia="仿宋" w:cs="仿宋"/>
          <w:b/>
          <w:bCs/>
          <w:spacing w:val="0"/>
          <w:sz w:val="32"/>
          <w:szCs w:val="32"/>
          <w:lang w:val="en-US" w:eastAsia="zh-CN"/>
        </w:rPr>
        <w:t>三</w:t>
      </w:r>
      <w:r>
        <w:rPr>
          <w:rFonts w:hint="eastAsia" w:ascii="仿宋" w:hAnsi="仿宋" w:eastAsia="仿宋" w:cs="仿宋"/>
          <w:b/>
          <w:bCs/>
          <w:spacing w:val="0"/>
          <w:sz w:val="32"/>
          <w:szCs w:val="32"/>
        </w:rPr>
        <w:t>年</w:t>
      </w:r>
      <w:r>
        <w:rPr>
          <w:rFonts w:hint="eastAsia" w:ascii="仿宋" w:hAnsi="仿宋" w:eastAsia="仿宋" w:cs="仿宋"/>
          <w:b/>
          <w:bCs/>
          <w:spacing w:val="0"/>
          <w:sz w:val="32"/>
          <w:szCs w:val="32"/>
          <w:highlight w:val="none"/>
          <w:lang w:val="en-US" w:eastAsia="zh-CN"/>
        </w:rPr>
        <w:t>十</w:t>
      </w:r>
      <w:r>
        <w:rPr>
          <w:rFonts w:hint="eastAsia" w:ascii="仿宋" w:hAnsi="仿宋" w:eastAsia="仿宋" w:cs="仿宋"/>
          <w:b/>
          <w:bCs/>
          <w:spacing w:val="0"/>
          <w:sz w:val="32"/>
          <w:szCs w:val="32"/>
          <w:highlight w:val="none"/>
        </w:rPr>
        <w:t>月</w:t>
      </w:r>
    </w:p>
    <w:bookmarkEnd w:id="5"/>
    <w:bookmarkEnd w:id="6"/>
    <w:bookmarkEnd w:id="7"/>
    <w:sdt>
      <w:sdtPr>
        <w:rPr>
          <w:rFonts w:hint="eastAsia" w:ascii="方正小标宋_GBK" w:hAnsi="方正小标宋_GBK" w:eastAsia="方正小标宋_GBK" w:cs="方正小标宋_GBK"/>
          <w:kern w:val="2"/>
          <w:sz w:val="36"/>
          <w:szCs w:val="44"/>
          <w:lang w:val="en-US" w:eastAsia="zh-CN" w:bidi="ar-SA"/>
        </w:rPr>
        <w:id w:val="147476069"/>
        <w15:color w:val="DBDBDB"/>
        <w:docPartObj>
          <w:docPartGallery w:val="Table of Contents"/>
          <w:docPartUnique/>
        </w:docPartObj>
      </w:sdtPr>
      <w:sdtEndPr>
        <w:rPr>
          <w:rFonts w:hint="eastAsia" w:ascii="方正小标宋_GBK" w:hAnsi="方正小标宋_GBK" w:eastAsia="方正小标宋_GBK" w:cs="方正小标宋_GBK"/>
          <w:kern w:val="2"/>
          <w:sz w:val="36"/>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52"/>
              <w:szCs w:val="44"/>
            </w:rPr>
          </w:pPr>
          <w:r>
            <w:rPr>
              <w:rFonts w:hint="eastAsia" w:ascii="方正小标宋_GBK" w:hAnsi="方正小标宋_GBK" w:eastAsia="方正小标宋_GBK" w:cs="方正小标宋_GBK"/>
              <w:sz w:val="36"/>
              <w:szCs w:val="44"/>
            </w:rPr>
            <w:t>目</w:t>
          </w:r>
          <w:r>
            <w:rPr>
              <w:rFonts w:hint="eastAsia" w:ascii="方正小标宋_GBK" w:hAnsi="方正小标宋_GBK" w:eastAsia="方正小标宋_GBK" w:cs="方正小标宋_GBK"/>
              <w:sz w:val="36"/>
              <w:szCs w:val="44"/>
              <w:lang w:val="en-US" w:eastAsia="zh-CN"/>
            </w:rPr>
            <w:t xml:space="preserve"> </w:t>
          </w:r>
          <w:r>
            <w:rPr>
              <w:rFonts w:hint="eastAsia" w:ascii="方正小标宋_GBK" w:hAnsi="方正小标宋_GBK" w:eastAsia="方正小标宋_GBK" w:cs="方正小标宋_GBK"/>
              <w:sz w:val="36"/>
              <w:szCs w:val="44"/>
            </w:rPr>
            <w:t>录</w:t>
          </w:r>
        </w:p>
        <w:p>
          <w:pPr>
            <w:pStyle w:val="18"/>
            <w:tabs>
              <w:tab w:val="right" w:leader="dot" w:pos="8392"/>
            </w:tabs>
          </w:pPr>
          <w:r>
            <w:fldChar w:fldCharType="begin"/>
          </w:r>
          <w:r>
            <w:instrText xml:space="preserve">TOC \o "1-3" \h \u </w:instrText>
          </w:r>
          <w:r>
            <w:fldChar w:fldCharType="separate"/>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_Toc8475 </w:instrText>
          </w:r>
          <w:r>
            <w:rPr>
              <w:rFonts w:hint="default" w:eastAsia="仿宋"/>
              <w:sz w:val="32"/>
              <w:szCs w:val="32"/>
            </w:rPr>
            <w:fldChar w:fldCharType="separate"/>
          </w:r>
          <w:r>
            <w:rPr>
              <w:rFonts w:hint="default" w:eastAsia="仿宋"/>
              <w:sz w:val="32"/>
              <w:szCs w:val="32"/>
              <w:lang w:val="en-US" w:eastAsia="zh-CN"/>
            </w:rPr>
            <w:t>一、单位基本情况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_Toc8475 \h </w:instrText>
          </w:r>
          <w:r>
            <w:rPr>
              <w:rFonts w:hint="default" w:eastAsia="仿宋"/>
              <w:sz w:val="32"/>
              <w:szCs w:val="32"/>
            </w:rPr>
            <w:fldChar w:fldCharType="separate"/>
          </w:r>
          <w:r>
            <w:rPr>
              <w:rFonts w:hint="default" w:eastAsia="仿宋"/>
              <w:sz w:val="32"/>
              <w:szCs w:val="32"/>
            </w:rPr>
            <w:t>2</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_Toc13834 </w:instrText>
          </w:r>
          <w:r>
            <w:rPr>
              <w:rFonts w:hint="default" w:eastAsia="仿宋"/>
              <w:sz w:val="32"/>
              <w:szCs w:val="32"/>
            </w:rPr>
            <w:fldChar w:fldCharType="separate"/>
          </w:r>
          <w:r>
            <w:rPr>
              <w:rFonts w:hint="default" w:eastAsia="仿宋"/>
              <w:sz w:val="32"/>
              <w:szCs w:val="32"/>
              <w:lang w:val="en-US" w:eastAsia="zh-CN"/>
            </w:rPr>
            <w:t>（一）部门概况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_Toc13834 \h </w:instrText>
          </w:r>
          <w:r>
            <w:rPr>
              <w:rFonts w:hint="default" w:eastAsia="仿宋"/>
              <w:sz w:val="32"/>
              <w:szCs w:val="32"/>
            </w:rPr>
            <w:fldChar w:fldCharType="separate"/>
          </w:r>
          <w:r>
            <w:rPr>
              <w:rFonts w:hint="default" w:eastAsia="仿宋"/>
              <w:sz w:val="32"/>
              <w:szCs w:val="32"/>
            </w:rPr>
            <w:t>2</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_Toc27042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（二）主要职责</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_Toc27042 \h </w:instrText>
          </w:r>
          <w:r>
            <w:rPr>
              <w:rFonts w:hint="default" w:eastAsia="仿宋"/>
              <w:sz w:val="32"/>
              <w:szCs w:val="32"/>
            </w:rPr>
            <w:fldChar w:fldCharType="separate"/>
          </w:r>
          <w:r>
            <w:rPr>
              <w:rFonts w:hint="default" w:eastAsia="仿宋"/>
              <w:sz w:val="32"/>
              <w:szCs w:val="32"/>
            </w:rPr>
            <w:t>2</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_Toc16027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（三）人员情况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_Toc16027 \h </w:instrText>
          </w:r>
          <w:r>
            <w:rPr>
              <w:rFonts w:hint="default" w:eastAsia="仿宋"/>
              <w:sz w:val="32"/>
              <w:szCs w:val="32"/>
            </w:rPr>
            <w:fldChar w:fldCharType="separate"/>
          </w:r>
          <w:r>
            <w:rPr>
              <w:rFonts w:hint="default" w:eastAsia="仿宋"/>
              <w:sz w:val="32"/>
              <w:szCs w:val="32"/>
            </w:rPr>
            <w:t>3</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_Toc23453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二、部门整体收支情况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_Toc23453 \h </w:instrText>
          </w:r>
          <w:r>
            <w:rPr>
              <w:rFonts w:hint="default" w:eastAsia="仿宋"/>
              <w:sz w:val="32"/>
              <w:szCs w:val="32"/>
            </w:rPr>
            <w:fldChar w:fldCharType="separate"/>
          </w:r>
          <w:r>
            <w:rPr>
              <w:rFonts w:hint="default" w:eastAsia="仿宋"/>
              <w:sz w:val="32"/>
              <w:szCs w:val="32"/>
            </w:rPr>
            <w:t>3</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_Toc12097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（一）资金收入情况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_Toc12097 \h </w:instrText>
          </w:r>
          <w:r>
            <w:rPr>
              <w:rFonts w:hint="default" w:eastAsia="仿宋"/>
              <w:sz w:val="32"/>
              <w:szCs w:val="32"/>
            </w:rPr>
            <w:fldChar w:fldCharType="separate"/>
          </w:r>
          <w:r>
            <w:rPr>
              <w:rFonts w:hint="default" w:eastAsia="仿宋"/>
              <w:sz w:val="32"/>
              <w:szCs w:val="32"/>
            </w:rPr>
            <w:t>3</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_Toc30986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（二）资金使用情况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_Toc30986 \h </w:instrText>
          </w:r>
          <w:r>
            <w:rPr>
              <w:rFonts w:hint="default" w:eastAsia="仿宋"/>
              <w:sz w:val="32"/>
              <w:szCs w:val="32"/>
            </w:rPr>
            <w:fldChar w:fldCharType="separate"/>
          </w:r>
          <w:r>
            <w:rPr>
              <w:rFonts w:hint="default" w:eastAsia="仿宋"/>
              <w:sz w:val="32"/>
              <w:szCs w:val="32"/>
            </w:rPr>
            <w:t>4</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_Toc3881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（三）资金管理情况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_Toc3881 \h </w:instrText>
          </w:r>
          <w:r>
            <w:rPr>
              <w:rFonts w:hint="default" w:eastAsia="仿宋"/>
              <w:sz w:val="32"/>
              <w:szCs w:val="32"/>
            </w:rPr>
            <w:fldChar w:fldCharType="separate"/>
          </w:r>
          <w:r>
            <w:rPr>
              <w:rFonts w:hint="default" w:eastAsia="仿宋"/>
              <w:sz w:val="32"/>
              <w:szCs w:val="32"/>
            </w:rPr>
            <w:t>5</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_Toc14055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三、制度建设情况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_Toc14055 \h </w:instrText>
          </w:r>
          <w:r>
            <w:rPr>
              <w:rFonts w:hint="default" w:eastAsia="仿宋"/>
              <w:sz w:val="32"/>
              <w:szCs w:val="32"/>
            </w:rPr>
            <w:fldChar w:fldCharType="separate"/>
          </w:r>
          <w:r>
            <w:rPr>
              <w:rFonts w:hint="default" w:eastAsia="仿宋"/>
              <w:sz w:val="32"/>
              <w:szCs w:val="32"/>
            </w:rPr>
            <w:t>5</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_Toc15007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（一）内控制度建设情况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_Toc15007 \h </w:instrText>
          </w:r>
          <w:r>
            <w:rPr>
              <w:rFonts w:hint="default" w:eastAsia="仿宋"/>
              <w:sz w:val="32"/>
              <w:szCs w:val="32"/>
            </w:rPr>
            <w:fldChar w:fldCharType="separate"/>
          </w:r>
          <w:r>
            <w:rPr>
              <w:rFonts w:hint="default" w:eastAsia="仿宋"/>
              <w:sz w:val="32"/>
              <w:szCs w:val="32"/>
            </w:rPr>
            <w:t>5</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_Toc13071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（二）财务管理制度及机关日常制度建设情况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_Toc13071 \h </w:instrText>
          </w:r>
          <w:r>
            <w:rPr>
              <w:rFonts w:hint="default" w:eastAsia="仿宋"/>
              <w:sz w:val="32"/>
              <w:szCs w:val="32"/>
            </w:rPr>
            <w:fldChar w:fldCharType="separate"/>
          </w:r>
          <w:r>
            <w:rPr>
              <w:rFonts w:hint="default" w:eastAsia="仿宋"/>
              <w:sz w:val="32"/>
              <w:szCs w:val="32"/>
            </w:rPr>
            <w:t>6</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_Toc8613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（三）资产管理制度建设及使用情况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_Toc8613 \h </w:instrText>
          </w:r>
          <w:r>
            <w:rPr>
              <w:rFonts w:hint="default" w:eastAsia="仿宋"/>
              <w:sz w:val="32"/>
              <w:szCs w:val="32"/>
            </w:rPr>
            <w:fldChar w:fldCharType="separate"/>
          </w:r>
          <w:r>
            <w:rPr>
              <w:rFonts w:hint="default" w:eastAsia="仿宋"/>
              <w:sz w:val="32"/>
              <w:szCs w:val="32"/>
            </w:rPr>
            <w:t>6</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_Toc26148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（四）政府采购制度建设情况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_Toc26148 \h </w:instrText>
          </w:r>
          <w:r>
            <w:rPr>
              <w:rFonts w:hint="default" w:eastAsia="仿宋"/>
              <w:sz w:val="32"/>
              <w:szCs w:val="32"/>
            </w:rPr>
            <w:fldChar w:fldCharType="separate"/>
          </w:r>
          <w:r>
            <w:rPr>
              <w:rFonts w:hint="default" w:eastAsia="仿宋"/>
              <w:sz w:val="32"/>
              <w:szCs w:val="32"/>
            </w:rPr>
            <w:t>7</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_Toc24597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四、第三方重点绩效评价工作情况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_Toc24597 \h </w:instrText>
          </w:r>
          <w:r>
            <w:rPr>
              <w:rFonts w:hint="default" w:eastAsia="仿宋"/>
              <w:sz w:val="32"/>
              <w:szCs w:val="32"/>
            </w:rPr>
            <w:fldChar w:fldCharType="separate"/>
          </w:r>
          <w:r>
            <w:rPr>
              <w:rFonts w:hint="default" w:eastAsia="仿宋"/>
              <w:sz w:val="32"/>
              <w:szCs w:val="32"/>
            </w:rPr>
            <w:t>7</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_Toc29541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（一）重点绩效评价目的</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_Toc29541 \h </w:instrText>
          </w:r>
          <w:r>
            <w:rPr>
              <w:rFonts w:hint="default" w:eastAsia="仿宋"/>
              <w:sz w:val="32"/>
              <w:szCs w:val="32"/>
            </w:rPr>
            <w:fldChar w:fldCharType="separate"/>
          </w:r>
          <w:r>
            <w:rPr>
              <w:rFonts w:hint="default" w:eastAsia="仿宋"/>
              <w:sz w:val="32"/>
              <w:szCs w:val="32"/>
            </w:rPr>
            <w:t>7</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_Toc28604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（二）重点绩效评价工作过程</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_Toc28604 \h </w:instrText>
          </w:r>
          <w:r>
            <w:rPr>
              <w:rFonts w:hint="default" w:eastAsia="仿宋"/>
              <w:sz w:val="32"/>
              <w:szCs w:val="32"/>
            </w:rPr>
            <w:fldChar w:fldCharType="separate"/>
          </w:r>
          <w:r>
            <w:rPr>
              <w:rFonts w:hint="default" w:eastAsia="仿宋"/>
              <w:sz w:val="32"/>
              <w:szCs w:val="32"/>
            </w:rPr>
            <w:t>7</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_Toc27345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五、部门整体支出绩效情况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_Toc27345 \h </w:instrText>
          </w:r>
          <w:r>
            <w:rPr>
              <w:rFonts w:hint="default" w:eastAsia="仿宋"/>
              <w:sz w:val="32"/>
              <w:szCs w:val="32"/>
            </w:rPr>
            <w:fldChar w:fldCharType="separate"/>
          </w:r>
          <w:r>
            <w:rPr>
              <w:rFonts w:hint="default" w:eastAsia="仿宋"/>
              <w:sz w:val="32"/>
              <w:szCs w:val="32"/>
            </w:rPr>
            <w:t>8</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_Toc12408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（一）部门整体实际产出情况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_Toc12408 \h </w:instrText>
          </w:r>
          <w:r>
            <w:rPr>
              <w:rFonts w:hint="default" w:eastAsia="仿宋"/>
              <w:sz w:val="32"/>
              <w:szCs w:val="32"/>
            </w:rPr>
            <w:fldChar w:fldCharType="separate"/>
          </w:r>
          <w:r>
            <w:rPr>
              <w:rFonts w:hint="default" w:eastAsia="仿宋"/>
              <w:sz w:val="32"/>
              <w:szCs w:val="32"/>
            </w:rPr>
            <w:t>8</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_Toc25915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（二）部门整体效益情况</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_Toc25915 \h </w:instrText>
          </w:r>
          <w:r>
            <w:rPr>
              <w:rFonts w:hint="default" w:eastAsia="仿宋"/>
              <w:sz w:val="32"/>
              <w:szCs w:val="32"/>
            </w:rPr>
            <w:fldChar w:fldCharType="separate"/>
          </w:r>
          <w:r>
            <w:rPr>
              <w:rFonts w:hint="default" w:eastAsia="仿宋"/>
              <w:sz w:val="32"/>
              <w:szCs w:val="32"/>
            </w:rPr>
            <w:t>8</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_Toc30330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（三）部门整体满意度</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_Toc30330 \h </w:instrText>
          </w:r>
          <w:r>
            <w:rPr>
              <w:rFonts w:hint="default" w:eastAsia="仿宋"/>
              <w:sz w:val="32"/>
              <w:szCs w:val="32"/>
            </w:rPr>
            <w:fldChar w:fldCharType="separate"/>
          </w:r>
          <w:r>
            <w:rPr>
              <w:rFonts w:hint="default" w:eastAsia="仿宋"/>
              <w:sz w:val="32"/>
              <w:szCs w:val="32"/>
            </w:rPr>
            <w:t>9</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_Toc12823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六、综合评价情况及评价结论</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_Toc12823 \h </w:instrText>
          </w:r>
          <w:r>
            <w:rPr>
              <w:rFonts w:hint="default" w:eastAsia="仿宋"/>
              <w:sz w:val="32"/>
              <w:szCs w:val="32"/>
            </w:rPr>
            <w:fldChar w:fldCharType="separate"/>
          </w:r>
          <w:r>
            <w:rPr>
              <w:rFonts w:hint="default" w:eastAsia="仿宋"/>
              <w:sz w:val="32"/>
              <w:szCs w:val="32"/>
            </w:rPr>
            <w:t>9</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_Toc11429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七、存在的主要问题</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_Toc11429 \h </w:instrText>
          </w:r>
          <w:r>
            <w:rPr>
              <w:rFonts w:hint="default" w:eastAsia="仿宋"/>
              <w:sz w:val="32"/>
              <w:szCs w:val="32"/>
            </w:rPr>
            <w:fldChar w:fldCharType="separate"/>
          </w:r>
          <w:r>
            <w:rPr>
              <w:rFonts w:hint="default" w:eastAsia="仿宋"/>
              <w:sz w:val="32"/>
              <w:szCs w:val="32"/>
            </w:rPr>
            <w:t>9</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_Toc16044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w:t>
          </w:r>
          <w:r>
            <w:rPr>
              <w:rFonts w:hint="eastAsia" w:eastAsia="仿宋" w:cs="Times New Roman"/>
              <w:kern w:val="2"/>
              <w:sz w:val="32"/>
              <w:szCs w:val="32"/>
              <w:lang w:val="en-US" w:eastAsia="zh-CN" w:bidi="ar-SA"/>
            </w:rPr>
            <w:t>一</w:t>
          </w:r>
          <w:r>
            <w:rPr>
              <w:rFonts w:hint="default" w:ascii="Times New Roman" w:hAnsi="Times New Roman" w:eastAsia="仿宋" w:cs="Times New Roman"/>
              <w:kern w:val="2"/>
              <w:sz w:val="32"/>
              <w:szCs w:val="32"/>
              <w:lang w:val="en-US" w:eastAsia="zh-CN" w:bidi="ar-SA"/>
            </w:rPr>
            <w:t>）财务管理方面</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_Toc16044 \h </w:instrText>
          </w:r>
          <w:r>
            <w:rPr>
              <w:rFonts w:hint="default" w:eastAsia="仿宋"/>
              <w:sz w:val="32"/>
              <w:szCs w:val="32"/>
            </w:rPr>
            <w:fldChar w:fldCharType="separate"/>
          </w:r>
          <w:r>
            <w:rPr>
              <w:rFonts w:hint="default" w:eastAsia="仿宋"/>
              <w:sz w:val="32"/>
              <w:szCs w:val="32"/>
            </w:rPr>
            <w:t>9</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_Toc21436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w:t>
          </w:r>
          <w:r>
            <w:rPr>
              <w:rFonts w:hint="eastAsia" w:eastAsia="仿宋" w:cs="Times New Roman"/>
              <w:kern w:val="2"/>
              <w:sz w:val="32"/>
              <w:szCs w:val="32"/>
              <w:lang w:val="en-US" w:eastAsia="zh-CN" w:bidi="ar-SA"/>
            </w:rPr>
            <w:t>二</w:t>
          </w:r>
          <w:r>
            <w:rPr>
              <w:rFonts w:hint="default" w:ascii="Times New Roman" w:hAnsi="Times New Roman" w:eastAsia="仿宋" w:cs="Times New Roman"/>
              <w:kern w:val="2"/>
              <w:sz w:val="32"/>
              <w:szCs w:val="32"/>
              <w:lang w:val="en-US" w:eastAsia="zh-CN" w:bidi="ar-SA"/>
            </w:rPr>
            <w:t>）资产管理方面</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_Toc21436 \h </w:instrText>
          </w:r>
          <w:r>
            <w:rPr>
              <w:rFonts w:hint="default" w:eastAsia="仿宋"/>
              <w:sz w:val="32"/>
              <w:szCs w:val="32"/>
            </w:rPr>
            <w:fldChar w:fldCharType="separate"/>
          </w:r>
          <w:r>
            <w:rPr>
              <w:rFonts w:hint="default" w:eastAsia="仿宋"/>
              <w:sz w:val="32"/>
              <w:szCs w:val="32"/>
            </w:rPr>
            <w:t>10</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_Toc5667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八、相关建议</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_Toc5667 \h </w:instrText>
          </w:r>
          <w:r>
            <w:rPr>
              <w:rFonts w:hint="default" w:eastAsia="仿宋"/>
              <w:sz w:val="32"/>
              <w:szCs w:val="32"/>
            </w:rPr>
            <w:fldChar w:fldCharType="separate"/>
          </w:r>
          <w:r>
            <w:rPr>
              <w:rFonts w:hint="default" w:eastAsia="仿宋"/>
              <w:sz w:val="32"/>
              <w:szCs w:val="32"/>
            </w:rPr>
            <w:t>10</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_Toc28578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w:t>
          </w:r>
          <w:r>
            <w:rPr>
              <w:rFonts w:hint="eastAsia" w:eastAsia="仿宋" w:cs="Times New Roman"/>
              <w:kern w:val="2"/>
              <w:sz w:val="32"/>
              <w:szCs w:val="32"/>
              <w:lang w:val="en-US" w:eastAsia="zh-CN" w:bidi="ar-SA"/>
            </w:rPr>
            <w:t>一</w:t>
          </w:r>
          <w:r>
            <w:rPr>
              <w:rFonts w:hint="default" w:ascii="Times New Roman" w:hAnsi="Times New Roman" w:eastAsia="仿宋" w:cs="Times New Roman"/>
              <w:kern w:val="2"/>
              <w:sz w:val="32"/>
              <w:szCs w:val="32"/>
              <w:lang w:val="en-US" w:eastAsia="zh-CN" w:bidi="ar-SA"/>
            </w:rPr>
            <w:t>）加强资金支付管理</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_Toc28578 \h </w:instrText>
          </w:r>
          <w:r>
            <w:rPr>
              <w:rFonts w:hint="default" w:eastAsia="仿宋"/>
              <w:sz w:val="32"/>
              <w:szCs w:val="32"/>
            </w:rPr>
            <w:fldChar w:fldCharType="separate"/>
          </w:r>
          <w:r>
            <w:rPr>
              <w:rFonts w:hint="default" w:eastAsia="仿宋"/>
              <w:sz w:val="32"/>
              <w:szCs w:val="32"/>
            </w:rPr>
            <w:t>10</w:t>
          </w:r>
          <w:r>
            <w:rPr>
              <w:rFonts w:hint="default" w:eastAsia="仿宋"/>
              <w:sz w:val="32"/>
              <w:szCs w:val="32"/>
            </w:rPr>
            <w:fldChar w:fldCharType="end"/>
          </w:r>
          <w:r>
            <w:rPr>
              <w:rFonts w:hint="default" w:eastAsia="仿宋"/>
              <w:sz w:val="32"/>
              <w:szCs w:val="32"/>
            </w:rPr>
            <w:fldChar w:fldCharType="end"/>
          </w:r>
        </w:p>
        <w:p>
          <w:pPr>
            <w:pStyle w:val="19"/>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_Toc3969 </w:instrText>
          </w:r>
          <w:r>
            <w:rPr>
              <w:rFonts w:hint="default" w:eastAsia="仿宋"/>
              <w:sz w:val="32"/>
              <w:szCs w:val="32"/>
            </w:rPr>
            <w:fldChar w:fldCharType="separate"/>
          </w:r>
          <w:r>
            <w:rPr>
              <w:rFonts w:hint="default" w:ascii="Times New Roman" w:hAnsi="Times New Roman" w:eastAsia="仿宋" w:cs="Times New Roman"/>
              <w:kern w:val="2"/>
              <w:sz w:val="32"/>
              <w:szCs w:val="32"/>
              <w:lang w:val="en-US" w:eastAsia="zh-CN" w:bidi="ar-SA"/>
            </w:rPr>
            <w:t>（</w:t>
          </w:r>
          <w:r>
            <w:rPr>
              <w:rFonts w:hint="eastAsia" w:eastAsia="仿宋" w:cs="Times New Roman"/>
              <w:kern w:val="2"/>
              <w:sz w:val="32"/>
              <w:szCs w:val="32"/>
              <w:lang w:val="en-US" w:eastAsia="zh-CN" w:bidi="ar-SA"/>
            </w:rPr>
            <w:t>二</w:t>
          </w:r>
          <w:r>
            <w:rPr>
              <w:rFonts w:hint="default" w:ascii="Times New Roman" w:hAnsi="Times New Roman" w:eastAsia="仿宋" w:cs="Times New Roman"/>
              <w:kern w:val="2"/>
              <w:sz w:val="32"/>
              <w:szCs w:val="32"/>
              <w:lang w:val="en-US" w:eastAsia="zh-CN" w:bidi="ar-SA"/>
            </w:rPr>
            <w:t>）规范资产管理</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_Toc3969 \h </w:instrText>
          </w:r>
          <w:r>
            <w:rPr>
              <w:rFonts w:hint="default" w:eastAsia="仿宋"/>
              <w:sz w:val="32"/>
              <w:szCs w:val="32"/>
            </w:rPr>
            <w:fldChar w:fldCharType="separate"/>
          </w:r>
          <w:r>
            <w:rPr>
              <w:rFonts w:hint="default" w:eastAsia="仿宋"/>
              <w:sz w:val="32"/>
              <w:szCs w:val="32"/>
            </w:rPr>
            <w:t>10</w:t>
          </w:r>
          <w:r>
            <w:rPr>
              <w:rFonts w:hint="default" w:eastAsia="仿宋"/>
              <w:sz w:val="32"/>
              <w:szCs w:val="32"/>
            </w:rPr>
            <w:fldChar w:fldCharType="end"/>
          </w:r>
          <w:r>
            <w:rPr>
              <w:rFonts w:hint="default" w:eastAsia="仿宋"/>
              <w:sz w:val="32"/>
              <w:szCs w:val="32"/>
            </w:rPr>
            <w:fldChar w:fldCharType="end"/>
          </w:r>
        </w:p>
        <w:p>
          <w:pPr>
            <w:pStyle w:val="18"/>
            <w:tabs>
              <w:tab w:val="right" w:leader="dot" w:pos="8392"/>
            </w:tabs>
            <w:rPr>
              <w:rFonts w:hint="default" w:eastAsia="仿宋"/>
              <w:sz w:val="32"/>
              <w:szCs w:val="32"/>
            </w:rPr>
          </w:pPr>
          <w:r>
            <w:rPr>
              <w:rFonts w:hint="default" w:eastAsia="仿宋"/>
              <w:sz w:val="32"/>
              <w:szCs w:val="32"/>
            </w:rPr>
            <w:fldChar w:fldCharType="begin"/>
          </w:r>
          <w:r>
            <w:rPr>
              <w:rFonts w:hint="default" w:eastAsia="仿宋"/>
              <w:sz w:val="32"/>
              <w:szCs w:val="32"/>
            </w:rPr>
            <w:instrText xml:space="preserve"> HYPERLINK \l _Toc1811 </w:instrText>
          </w:r>
          <w:r>
            <w:rPr>
              <w:rFonts w:hint="default" w:eastAsia="仿宋"/>
              <w:sz w:val="32"/>
              <w:szCs w:val="32"/>
            </w:rPr>
            <w:fldChar w:fldCharType="separate"/>
          </w:r>
          <w:r>
            <w:rPr>
              <w:rFonts w:hint="default" w:ascii="Times New Roman" w:hAnsi="Times New Roman" w:eastAsia="仿宋" w:cs="Times New Roman"/>
              <w:kern w:val="44"/>
              <w:sz w:val="32"/>
              <w:szCs w:val="32"/>
              <w:lang w:val="en-US" w:eastAsia="zh-CN" w:bidi="ar-SA"/>
            </w:rPr>
            <w:t>九、报告使用情况说明</w:t>
          </w:r>
          <w:r>
            <w:rPr>
              <w:rFonts w:hint="default" w:eastAsia="仿宋"/>
              <w:sz w:val="32"/>
              <w:szCs w:val="32"/>
            </w:rPr>
            <w:tab/>
          </w:r>
          <w:r>
            <w:rPr>
              <w:rFonts w:hint="default" w:eastAsia="仿宋"/>
              <w:sz w:val="32"/>
              <w:szCs w:val="32"/>
            </w:rPr>
            <w:fldChar w:fldCharType="begin"/>
          </w:r>
          <w:r>
            <w:rPr>
              <w:rFonts w:hint="default" w:eastAsia="仿宋"/>
              <w:sz w:val="32"/>
              <w:szCs w:val="32"/>
            </w:rPr>
            <w:instrText xml:space="preserve"> PAGEREF _Toc1811 \h </w:instrText>
          </w:r>
          <w:r>
            <w:rPr>
              <w:rFonts w:hint="default" w:eastAsia="仿宋"/>
              <w:sz w:val="32"/>
              <w:szCs w:val="32"/>
            </w:rPr>
            <w:fldChar w:fldCharType="separate"/>
          </w:r>
          <w:r>
            <w:rPr>
              <w:rFonts w:hint="default" w:eastAsia="仿宋"/>
              <w:sz w:val="32"/>
              <w:szCs w:val="32"/>
            </w:rPr>
            <w:t>10</w:t>
          </w:r>
          <w:r>
            <w:rPr>
              <w:rFonts w:hint="default" w:eastAsia="仿宋"/>
              <w:sz w:val="32"/>
              <w:szCs w:val="32"/>
            </w:rPr>
            <w:fldChar w:fldCharType="end"/>
          </w:r>
          <w:r>
            <w:rPr>
              <w:rFonts w:hint="default" w:eastAsia="仿宋"/>
              <w:sz w:val="32"/>
              <w:szCs w:val="32"/>
            </w:rPr>
            <w:fldChar w:fldCharType="end"/>
          </w:r>
        </w:p>
        <w:p>
          <w: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ascii="Times New Roman Regular" w:hAnsi="Times New Roman Regular" w:eastAsia="仿宋" w:cs="Times New Roman Regular"/>
          <w:b/>
          <w:bCs/>
          <w:sz w:val="33"/>
          <w:lang w:val="en-US" w:eastAsia="zh-CN"/>
        </w:rPr>
      </w:pPr>
      <w:r>
        <w:rPr>
          <w:sz w:val="72"/>
        </w:rPr>
        <mc:AlternateContent>
          <mc:Choice Requires="wpg">
            <w:drawing>
              <wp:anchor distT="0" distB="0" distL="114300" distR="114300" simplePos="0" relativeHeight="251661312" behindDoc="0" locked="0" layoutInCell="1" allowOverlap="1">
                <wp:simplePos x="0" y="0"/>
                <wp:positionH relativeFrom="column">
                  <wp:posOffset>-584200</wp:posOffset>
                </wp:positionH>
                <wp:positionV relativeFrom="paragraph">
                  <wp:posOffset>-154940</wp:posOffset>
                </wp:positionV>
                <wp:extent cx="6372860" cy="1358265"/>
                <wp:effectExtent l="0" t="0" r="0" b="12700"/>
                <wp:wrapNone/>
                <wp:docPr id="5" name="组合 5"/>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6"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647853307"/>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647853307"/>
                                  <w:lang w:val="en-US" w:eastAsia="zh-CN"/>
                                </w:rPr>
                                <w:t>)</w:t>
                              </w:r>
                            </w:p>
                          </w:txbxContent>
                        </wps:txbx>
                        <wps:bodyPr upright="1"/>
                      </wps:wsp>
                      <wps:wsp>
                        <wps:cNvPr id="7" name="文本框 6"/>
                        <wps:cNvSpPr txBox="1"/>
                        <wps:spPr>
                          <a:xfrm>
                            <a:off x="1704" y="3046"/>
                            <a:ext cx="9253" cy="662"/>
                          </a:xfrm>
                          <a:prstGeom prst="rect">
                            <a:avLst/>
                          </a:prstGeom>
                          <a:noFill/>
                          <a:ln w="6350">
                            <a:noFill/>
                          </a:ln>
                        </wps:spPr>
                        <wps:txb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50842474"/>
                                </w:rPr>
                                <w:t>Hunan Caizheng Accounting Firm (General Partnership</w:t>
                              </w:r>
                              <w:r>
                                <w:rPr>
                                  <w:rFonts w:hint="default" w:ascii="Arial" w:hAnsi="Arial" w:cs="Arial"/>
                                  <w:b w:val="0"/>
                                  <w:bCs w:val="0"/>
                                  <w:color w:val="FF0000"/>
                                  <w:spacing w:val="-15"/>
                                  <w:w w:val="98"/>
                                  <w:kern w:val="0"/>
                                  <w:sz w:val="36"/>
                                  <w:szCs w:val="36"/>
                                  <w:fitText w:val="8800" w:id="1950842474"/>
                                </w:rPr>
                                <w:t>)</w:t>
                              </w:r>
                            </w:p>
                            <w:p>
                              <w:pPr>
                                <w:jc w:val="center"/>
                                <w:rPr>
                                  <w:rFonts w:hint="default"/>
                                  <w:color w:val="366091"/>
                                  <w:w w:val="150"/>
                                  <w:sz w:val="40"/>
                                  <w:szCs w:val="40"/>
                                  <w:lang w:val="en-US"/>
                                </w:rPr>
                              </w:pPr>
                            </w:p>
                          </w:txbxContent>
                        </wps:txbx>
                        <wps:bodyPr upright="1"/>
                      </wps:wsp>
                      <wps:wsp>
                        <wps:cNvPr id="8"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6pt;margin-top:-12.2pt;height:106.95pt;width:501.8pt;z-index:251661312;mso-width-relative:page;mso-height-relative:page;" coordorigin="1452,1627" coordsize="10036,2139" o:gfxdata="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CrDGBNsAAAAL&#10;AQAADwAAAAAAAAABACAAAAAiAAAAZHJzL2Rvd25yZXYueG1sUEsBAhQAFAAAAAgAh07iQMB5G3X9&#10;AgAAXwgAAA4AAAAAAAAAAQAgAAAAKgEAAGRycy9lMm9Eb2MueG1sUEsFBgAAAAAGAAYAWQEAAJkG&#10;AAAAAA==&#10;">
                <o:lock v:ext="edit" aspectratio="f"/>
                <v:shape id="文本框 5" o:spid="_x0000_s1026" o:spt="202" type="#_x0000_t202" style="position:absolute;left:1452;top:1627;height:1716;width:10036;"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647853307"/>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647853307"/>
                            <w:lang w:val="en-US" w:eastAsia="zh-CN"/>
                          </w:rPr>
                          <w:t>)</w:t>
                        </w:r>
                      </w:p>
                    </w:txbxContent>
                  </v:textbox>
                </v:shape>
                <v:shape id="文本框 6" o:spid="_x0000_s1026" o:spt="202" type="#_x0000_t202" style="position:absolute;left:1704;top:3046;height:662;width:9253;"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50842474"/>
                          </w:rPr>
                          <w:t>Hunan Caizheng Accounting Firm (General Partnership</w:t>
                        </w:r>
                        <w:r>
                          <w:rPr>
                            <w:rFonts w:hint="default" w:ascii="Arial" w:hAnsi="Arial" w:cs="Arial"/>
                            <w:b w:val="0"/>
                            <w:bCs w:val="0"/>
                            <w:color w:val="FF0000"/>
                            <w:spacing w:val="-15"/>
                            <w:w w:val="98"/>
                            <w:kern w:val="0"/>
                            <w:sz w:val="36"/>
                            <w:szCs w:val="36"/>
                            <w:fitText w:val="8800" w:id="1950842474"/>
                          </w:rPr>
                          <w:t>)</w:t>
                        </w:r>
                      </w:p>
                      <w:p>
                        <w:pPr>
                          <w:jc w:val="center"/>
                          <w:rPr>
                            <w:rFonts w:hint="default"/>
                            <w:color w:val="366091"/>
                            <w:w w:val="150"/>
                            <w:sz w:val="40"/>
                            <w:szCs w:val="40"/>
                            <w:lang w:val="en-US"/>
                          </w:rPr>
                        </w:pPr>
                      </w:p>
                    </w:txbxContent>
                  </v:textbox>
                </v:shape>
                <v:rect id="矩形 7" o:spid="_x0000_s1026" o:spt="1" style="position:absolute;left:1632;top:3709;height:57;width:9360;v-text-anchor:middle;" fillcolor="#FF0000" filled="t" stroked="t" coordsize="21600,21600" o:gfxdata="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IoSi2AAAA2gAAAA8A&#10;AAAAAAAAAQAgAAAAIgAAAGRycy9kb3ducmV2LnhtbFBLAQIUABQAAAAIAIdO4kAzLwWeOwAAADkA&#10;AAAQAAAAAAAAAAEAIAAAAAUBAABkcnMvc2hhcGV4bWwueG1sUEsFBgAAAAAGAAYAWwEAAK8DAAAA&#10;AA==&#10;">
                  <v:fill on="t" focussize="0,0"/>
                  <v:stroke weight="2pt" color="#FF0000" joinstyle="round"/>
                  <v:imagedata o:title=""/>
                  <o:lock v:ext="edit" aspectratio="f"/>
                </v:rect>
              </v:group>
            </w:pict>
          </mc:Fallback>
        </mc:AlternateContent>
      </w:r>
    </w:p>
    <w:p>
      <w:pPr>
        <w:jc w:val="center"/>
        <w:rPr>
          <w:rFonts w:hint="default" w:ascii="Times New Roman Regular" w:hAnsi="Times New Roman Regular" w:eastAsia="仿宋" w:cs="Times New Roman Regular"/>
          <w:b/>
          <w:bCs/>
          <w:sz w:val="33"/>
          <w:lang w:val="en-US" w:eastAsia="zh-CN"/>
        </w:rPr>
      </w:pPr>
    </w:p>
    <w:p>
      <w:pPr>
        <w:jc w:val="center"/>
        <w:rPr>
          <w:rFonts w:hint="default" w:ascii="Times New Roman Regular" w:hAnsi="Times New Roman Regular" w:eastAsia="仿宋" w:cs="Times New Roman Regular"/>
          <w:b/>
          <w:bCs/>
          <w:sz w:val="33"/>
          <w:lang w:val="en-US" w:eastAsia="zh-CN"/>
        </w:rPr>
      </w:pPr>
    </w:p>
    <w:p>
      <w:pPr>
        <w:jc w:val="center"/>
        <w:rPr>
          <w:rFonts w:hint="default" w:ascii="Times New Roman Regular" w:hAnsi="Times New Roman Regular" w:eastAsia="仿宋" w:cs="Times New Roman Regular"/>
          <w:b/>
          <w:bCs/>
          <w:sz w:val="33"/>
          <w:lang w:val="en-US" w:eastAsia="zh-CN"/>
        </w:rPr>
      </w:pPr>
    </w:p>
    <w:p>
      <w:pPr>
        <w:ind w:left="0" w:leftChars="0" w:firstLine="0" w:firstLineChars="0"/>
        <w:jc w:val="center"/>
        <w:rPr>
          <w:rFonts w:hint="default" w:ascii="Times New Roman Regular" w:hAnsi="Times New Roman Regular" w:eastAsia="仿宋" w:cs="Times New Roman Regular"/>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cs="Times New Roman Regular"/>
          <w:b w:val="0"/>
          <w:bCs w:val="0"/>
          <w:color w:val="auto"/>
          <w:sz w:val="33"/>
          <w:lang w:val="en-US" w:eastAsia="zh-CN"/>
        </w:rPr>
        <w:t>90</w:t>
      </w:r>
      <w:r>
        <w:rPr>
          <w:rFonts w:hint="default" w:ascii="Times New Roman Regular" w:hAnsi="Times New Roman Regular" w:eastAsia="仿宋" w:cs="Times New Roman Regular"/>
          <w:b/>
          <w:bCs/>
          <w:sz w:val="33"/>
          <w:lang w:val="en-US" w:eastAsia="zh-CN"/>
        </w:rPr>
        <w:t>号</w:t>
      </w:r>
    </w:p>
    <w:p>
      <w:pPr>
        <w:ind w:firstLine="0" w:firstLineChars="0"/>
        <w:jc w:val="center"/>
        <w:outlineLvl w:val="0"/>
        <w:rPr>
          <w:rFonts w:hint="default" w:ascii="Times New Roman Regular" w:hAnsi="Times New Roman Regular" w:eastAsia="方正小标宋简体" w:cs="Times New Roman Regular"/>
          <w:b w:val="0"/>
          <w:bCs w:val="0"/>
          <w:sz w:val="40"/>
          <w:szCs w:val="40"/>
          <w:lang w:val="en-US" w:eastAsia="zh-CN"/>
        </w:rPr>
      </w:pPr>
      <w:bookmarkStart w:id="9" w:name="_Toc31989"/>
    </w:p>
    <w:p>
      <w:pPr>
        <w:keepNext w:val="0"/>
        <w:keepLines w:val="0"/>
        <w:pageBreakBefore w:val="0"/>
        <w:widowControl w:val="0"/>
        <w:kinsoku/>
        <w:wordWrap/>
        <w:overflowPunct/>
        <w:topLinePunct w:val="0"/>
        <w:autoSpaceDE/>
        <w:autoSpaceDN/>
        <w:bidi w:val="0"/>
        <w:adjustRightInd/>
        <w:snapToGrid/>
        <w:spacing w:before="313" w:beforeLines="100"/>
        <w:ind w:firstLine="0" w:firstLineChars="0"/>
        <w:jc w:val="center"/>
        <w:textAlignment w:val="auto"/>
        <w:outlineLvl w:val="0"/>
        <w:rPr>
          <w:rFonts w:hint="default" w:ascii="Times New Roman Regular" w:hAnsi="Times New Roman Regular" w:eastAsia="方正小标宋简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邵阳市北塔区特色文化服务业发展中心</w:t>
      </w:r>
      <w:bookmarkEnd w:id="9"/>
    </w:p>
    <w:p>
      <w:pPr>
        <w:keepNext w:val="0"/>
        <w:keepLines w:val="0"/>
        <w:pageBreakBefore w:val="0"/>
        <w:widowControl w:val="0"/>
        <w:kinsoku/>
        <w:wordWrap/>
        <w:overflowPunct/>
        <w:topLinePunct w:val="0"/>
        <w:autoSpaceDE/>
        <w:autoSpaceDN/>
        <w:bidi w:val="0"/>
        <w:adjustRightInd/>
        <w:snapToGrid/>
        <w:spacing w:before="313" w:beforeLines="100"/>
        <w:ind w:firstLine="0" w:firstLineChars="0"/>
        <w:jc w:val="center"/>
        <w:textAlignment w:val="auto"/>
        <w:outlineLvl w:val="0"/>
        <w:rPr>
          <w:rFonts w:hint="default" w:ascii="Times New Roman Regular" w:hAnsi="Times New Roman Regular" w:eastAsia="宋体" w:cs="Times New Roman Regular"/>
          <w:b w:val="0"/>
          <w:bCs w:val="0"/>
          <w:sz w:val="40"/>
          <w:szCs w:val="40"/>
          <w:lang w:val="en-US" w:eastAsia="zh-CN"/>
        </w:rPr>
      </w:pPr>
      <w:bookmarkStart w:id="10" w:name="_Toc9941"/>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bookmarkEnd w:id="10"/>
    </w:p>
    <w:p>
      <w:pPr>
        <w:jc w:val="center"/>
        <w:rPr>
          <w:rFonts w:hint="default" w:ascii="Times New Roman Regular" w:hAnsi="Times New Roman Regular" w:eastAsia="宋体" w:cs="Times New Roman Regular"/>
          <w:b/>
          <w:bCs/>
          <w:sz w:val="40"/>
          <w:szCs w:val="40"/>
          <w:lang w:val="en-US" w:eastAsia="zh-CN"/>
        </w:rPr>
      </w:pPr>
    </w:p>
    <w:p>
      <w:p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Regular" w:hAnsi="Times New Roman Regular" w:eastAsia="仿宋" w:cs="Times New Roman Regular"/>
          <w:b w:val="0"/>
          <w:bCs w:val="0"/>
          <w:sz w:val="31"/>
          <w:szCs w:val="31"/>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w:t>
      </w:r>
      <w:r>
        <w:rPr>
          <w:rFonts w:hint="default" w:ascii="Times New Roman Regular" w:hAnsi="Times New Roman Regular" w:eastAsia="仿宋" w:cs="Times New Roman Regular"/>
          <w:b w:val="0"/>
          <w:bCs w:val="0"/>
          <w:sz w:val="31"/>
          <w:szCs w:val="31"/>
          <w:lang w:val="en-US" w:eastAsia="zh-CN"/>
        </w:rPr>
        <w:t>，邵阳市北塔区财政局委托，湖南财正会计师事务所</w:t>
      </w:r>
      <w:r>
        <w:rPr>
          <w:rFonts w:hint="eastAsia" w:ascii="Times New Roman Regular" w:hAnsi="Times New Roman Regular"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以下简称“我所”</w:t>
      </w:r>
      <w:r>
        <w:rPr>
          <w:rFonts w:hint="eastAsia" w:ascii="Times New Roman Regular" w:hAnsi="Times New Roman Regular"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对邵阳市北塔区特色文化服务业发展中心2022年度</w:t>
      </w:r>
      <w:r>
        <w:rPr>
          <w:rFonts w:hint="eastAsia" w:ascii="Times New Roman Regular" w:hAnsi="Times New Roman Regular" w:eastAsia="仿宋" w:cs="Times New Roman Regular"/>
          <w:b w:val="0"/>
          <w:bCs w:val="0"/>
          <w:sz w:val="31"/>
          <w:szCs w:val="31"/>
          <w:lang w:val="en-US" w:eastAsia="zh-CN"/>
        </w:rPr>
        <w:t>部门</w:t>
      </w:r>
      <w:r>
        <w:rPr>
          <w:rFonts w:hint="default" w:ascii="Times New Roman Regular" w:hAnsi="Times New Roman Regular" w:eastAsia="仿宋" w:cs="Times New Roman Regular"/>
          <w:b w:val="0"/>
          <w:bCs w:val="0"/>
          <w:sz w:val="31"/>
          <w:szCs w:val="31"/>
          <w:lang w:val="en-US" w:eastAsia="zh-CN"/>
        </w:rPr>
        <w:t>整体支出开展了绩效评价。现将有关情况报告如下：</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sectPr>
          <w:footerReference r:id="rId5"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default" w:ascii="Arial" w:hAnsi="Arial" w:eastAsia="楷体" w:cstheme="minorBidi"/>
          <w:b/>
          <w:kern w:val="2"/>
          <w:szCs w:val="24"/>
          <w:lang w:val="en-US" w:eastAsia="zh-CN" w:bidi="ar-SA"/>
        </w:rPr>
      </w:pPr>
      <w:r>
        <w:rPr>
          <w:rFonts w:hint="default"/>
          <w:lang w:val="en-US" w:eastAsia="zh-CN"/>
        </w:rPr>
        <w:tab/>
      </w:r>
      <w:bookmarkStart w:id="11" w:name="_Toc8475"/>
      <w:r>
        <w:rPr>
          <w:rFonts w:hint="default"/>
          <w:lang w:val="en-US" w:eastAsia="zh-CN"/>
        </w:rPr>
        <w:t>一、单位基本情况</w:t>
      </w:r>
      <w:bookmarkEnd w:id="11"/>
    </w:p>
    <w:p>
      <w:pPr>
        <w:pStyle w:val="6"/>
        <w:bidi w:val="0"/>
        <w:rPr>
          <w:rFonts w:hint="default"/>
          <w:lang w:val="en-US" w:eastAsia="zh-CN"/>
        </w:rPr>
      </w:pPr>
      <w:bookmarkStart w:id="12" w:name="_Toc13834"/>
      <w:r>
        <w:rPr>
          <w:rFonts w:hint="default"/>
          <w:lang w:val="en-US" w:eastAsia="zh-CN"/>
        </w:rPr>
        <w:t>（一）部门概况</w:t>
      </w:r>
      <w:bookmarkEnd w:id="12"/>
    </w:p>
    <w:p>
      <w:pPr>
        <w:bidi w:val="0"/>
        <w:ind w:firstLine="620" w:firstLineChars="200"/>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邵阳市北塔区特色文化服务业发展中心</w:t>
      </w:r>
      <w:r>
        <w:rPr>
          <w:rFonts w:hint="eastAsia" w:ascii="仿宋" w:hAnsi="仿宋" w:eastAsia="仿宋" w:cs="仿宋"/>
          <w:sz w:val="32"/>
          <w:szCs w:val="32"/>
          <w:lang w:val="en-US" w:eastAsia="zh-CN"/>
        </w:rPr>
        <w:t>为正科级公益一类全额拨款事业单位</w:t>
      </w:r>
      <w:r>
        <w:rPr>
          <w:rFonts w:hint="default" w:ascii="Times New Roman Regular" w:hAnsi="Times New Roman Regular" w:eastAsia="仿宋" w:cs="Times New Roman Regular"/>
          <w:b w:val="0"/>
          <w:bCs w:val="0"/>
          <w:sz w:val="31"/>
          <w:szCs w:val="31"/>
          <w:lang w:val="en-US" w:eastAsia="zh-CN"/>
        </w:rPr>
        <w:t>，</w:t>
      </w:r>
      <w:r>
        <w:rPr>
          <w:rFonts w:hint="eastAsia" w:ascii="Times New Roman Regular" w:hAnsi="Times New Roman Regular" w:eastAsia="仿宋" w:cs="Times New Roman Regular"/>
          <w:b w:val="0"/>
          <w:bCs w:val="0"/>
          <w:sz w:val="32"/>
          <w:szCs w:val="32"/>
          <w:lang w:val="en-US" w:eastAsia="zh-CN"/>
        </w:rPr>
        <w:t>下设</w:t>
      </w:r>
      <w:r>
        <w:rPr>
          <w:rFonts w:hint="eastAsia" w:ascii="仿宋" w:hAnsi="仿宋" w:eastAsia="仿宋" w:cs="仿宋"/>
          <w:sz w:val="32"/>
          <w:szCs w:val="32"/>
          <w:lang w:val="en-US" w:eastAsia="zh-CN"/>
        </w:rPr>
        <w:t>办公室、业务股室</w:t>
      </w: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个内设机构。</w:t>
      </w:r>
    </w:p>
    <w:p>
      <w:pPr>
        <w:numPr>
          <w:ilvl w:val="0"/>
          <w:numId w:val="0"/>
        </w:numPr>
        <w:ind w:firstLine="643" w:firstLineChars="200"/>
        <w:jc w:val="both"/>
        <w:outlineLvl w:val="1"/>
        <w:rPr>
          <w:rFonts w:hint="default" w:ascii="Times New Roman Regular" w:hAnsi="Times New Roman Regular" w:eastAsia="楷体" w:cs="Times New Roman Regular"/>
          <w:b/>
          <w:bCs/>
          <w:sz w:val="31"/>
          <w:szCs w:val="31"/>
          <w:lang w:val="en-US" w:eastAsia="zh-CN"/>
        </w:rPr>
      </w:pPr>
      <w:bookmarkStart w:id="13" w:name="_Toc27042"/>
      <w:bookmarkStart w:id="14" w:name="_Toc24937"/>
      <w:r>
        <w:rPr>
          <w:rFonts w:hint="default" w:ascii="Arial" w:hAnsi="Arial" w:eastAsia="楷体" w:cstheme="minorBidi"/>
          <w:b/>
          <w:kern w:val="2"/>
          <w:sz w:val="32"/>
          <w:szCs w:val="24"/>
          <w:lang w:val="en-US" w:eastAsia="zh-CN" w:bidi="ar-SA"/>
        </w:rPr>
        <w:t>（二）主要职责</w:t>
      </w:r>
      <w:bookmarkEnd w:id="13"/>
      <w:bookmarkEnd w:id="14"/>
    </w:p>
    <w:p>
      <w:pPr>
        <w:bidi w:val="0"/>
        <w:rPr>
          <w:rFonts w:hint="eastAsia"/>
        </w:rPr>
      </w:pPr>
      <w:r>
        <w:rPr>
          <w:rFonts w:hint="eastAsia"/>
          <w:lang w:val="en-US" w:eastAsia="zh-CN"/>
        </w:rPr>
        <w:t>1、</w:t>
      </w:r>
      <w:r>
        <w:rPr>
          <w:rFonts w:hint="eastAsia"/>
        </w:rPr>
        <w:t>贯彻执行国家、省、市关于促进现代服务业（特色文化）发展的方针、政策和法律、法规，根据全区国民经济和社会发展总体规划，向上争取政策和资金扶助，制定全区现代服务业</w:t>
      </w:r>
      <w:r>
        <w:rPr>
          <w:rFonts w:hint="eastAsia"/>
          <w:lang w:eastAsia="zh-CN"/>
        </w:rPr>
        <w:t>（</w:t>
      </w:r>
      <w:r>
        <w:rPr>
          <w:rFonts w:hint="eastAsia"/>
        </w:rPr>
        <w:t>特色文化</w:t>
      </w:r>
      <w:r>
        <w:rPr>
          <w:rFonts w:hint="eastAsia"/>
          <w:lang w:eastAsia="zh-CN"/>
        </w:rPr>
        <w:t>）</w:t>
      </w:r>
      <w:r>
        <w:rPr>
          <w:rFonts w:hint="eastAsia"/>
        </w:rPr>
        <w:t>发展中长期规划和年度计划以及有关配套政策，参与制定促进现代服务业发展的政策和措施。负责现代服务业发展的政策和措施的落实工作，做好现代服务业</w:t>
      </w:r>
      <w:r>
        <w:rPr>
          <w:rFonts w:hint="eastAsia"/>
          <w:lang w:eastAsia="zh-CN"/>
        </w:rPr>
        <w:t>（</w:t>
      </w:r>
      <w:r>
        <w:rPr>
          <w:rFonts w:hint="eastAsia"/>
        </w:rPr>
        <w:t>特色文化</w:t>
      </w:r>
      <w:r>
        <w:rPr>
          <w:rFonts w:hint="eastAsia"/>
          <w:lang w:eastAsia="zh-CN"/>
        </w:rPr>
        <w:t>）</w:t>
      </w:r>
      <w:r>
        <w:rPr>
          <w:rFonts w:hint="eastAsia"/>
        </w:rPr>
        <w:t>企业的管理和服务工作，负责现代服务业</w:t>
      </w:r>
      <w:r>
        <w:rPr>
          <w:rFonts w:hint="eastAsia"/>
          <w:lang w:eastAsia="zh-CN"/>
        </w:rPr>
        <w:t>（</w:t>
      </w:r>
      <w:r>
        <w:rPr>
          <w:rFonts w:hint="eastAsia"/>
        </w:rPr>
        <w:t>特色文化</w:t>
      </w:r>
      <w:r>
        <w:rPr>
          <w:rFonts w:hint="eastAsia"/>
          <w:lang w:eastAsia="zh-CN"/>
        </w:rPr>
        <w:t>）</w:t>
      </w:r>
      <w:r>
        <w:rPr>
          <w:rFonts w:hint="eastAsia"/>
        </w:rPr>
        <w:t>企业经济运行动态监测，负责协调解决全区现代服务业</w:t>
      </w:r>
      <w:r>
        <w:rPr>
          <w:rFonts w:hint="eastAsia"/>
          <w:lang w:eastAsia="zh-CN"/>
        </w:rPr>
        <w:t>（</w:t>
      </w:r>
      <w:r>
        <w:rPr>
          <w:rFonts w:hint="eastAsia"/>
        </w:rPr>
        <w:t>特色文化</w:t>
      </w:r>
      <w:r>
        <w:rPr>
          <w:rFonts w:hint="eastAsia"/>
          <w:lang w:eastAsia="zh-CN"/>
        </w:rPr>
        <w:t>）</w:t>
      </w:r>
      <w:r>
        <w:rPr>
          <w:rFonts w:hint="eastAsia"/>
        </w:rPr>
        <w:t>企业在生产、经营等发展过程中遇到的困难和问题，为现代服务业</w:t>
      </w:r>
      <w:r>
        <w:rPr>
          <w:rFonts w:hint="eastAsia"/>
          <w:lang w:eastAsia="zh-CN"/>
        </w:rPr>
        <w:t>（</w:t>
      </w:r>
      <w:r>
        <w:rPr>
          <w:rFonts w:hint="eastAsia"/>
        </w:rPr>
        <w:t>特色文化</w:t>
      </w:r>
      <w:r>
        <w:rPr>
          <w:rFonts w:hint="eastAsia"/>
          <w:lang w:eastAsia="zh-CN"/>
        </w:rPr>
        <w:t>）</w:t>
      </w:r>
      <w:r>
        <w:rPr>
          <w:rFonts w:hint="eastAsia"/>
        </w:rPr>
        <w:t>企业提供政策、信息、管理、法律等服务，打造现代服务业</w:t>
      </w:r>
      <w:r>
        <w:rPr>
          <w:rFonts w:hint="eastAsia"/>
          <w:lang w:eastAsia="zh-CN"/>
        </w:rPr>
        <w:t>（</w:t>
      </w:r>
      <w:r>
        <w:rPr>
          <w:rFonts w:hint="eastAsia"/>
        </w:rPr>
        <w:t>特色文化</w:t>
      </w:r>
      <w:r>
        <w:rPr>
          <w:rFonts w:hint="eastAsia"/>
          <w:lang w:eastAsia="zh-CN"/>
        </w:rPr>
        <w:t>）</w:t>
      </w:r>
      <w:r>
        <w:rPr>
          <w:rFonts w:hint="eastAsia"/>
        </w:rPr>
        <w:t>发展营造良好的外部环境</w:t>
      </w:r>
      <w:r>
        <w:rPr>
          <w:rFonts w:hint="eastAsia"/>
          <w:lang w:eastAsia="zh-CN"/>
        </w:rPr>
        <w:t>。</w:t>
      </w:r>
    </w:p>
    <w:p>
      <w:pPr>
        <w:bidi w:val="0"/>
        <w:rPr>
          <w:rFonts w:hint="eastAsia"/>
        </w:rPr>
      </w:pPr>
      <w:r>
        <w:rPr>
          <w:rFonts w:hint="eastAsia"/>
          <w:lang w:val="en-US" w:eastAsia="zh-CN"/>
        </w:rPr>
        <w:t>2、</w:t>
      </w:r>
      <w:r>
        <w:rPr>
          <w:rFonts w:hint="eastAsia"/>
        </w:rPr>
        <w:t>负责引进和培育以现代物流业、电子商务业、金融服务业、专业服务业、会展服务业、服务外包业等为代表的现代服务业企业；负责指导协调各类楼宇的二次招商和闲置楼宇的招商工作，建立招商项目库；配合相关部门做好客商接待工作。</w:t>
      </w:r>
    </w:p>
    <w:p>
      <w:pPr>
        <w:bidi w:val="0"/>
        <w:rPr>
          <w:rFonts w:hint="eastAsia"/>
        </w:rPr>
      </w:pPr>
      <w:r>
        <w:rPr>
          <w:rFonts w:hint="eastAsia"/>
          <w:lang w:val="en-US" w:eastAsia="zh-CN"/>
        </w:rPr>
        <w:t>3、</w:t>
      </w:r>
      <w:r>
        <w:rPr>
          <w:rFonts w:hint="eastAsia"/>
        </w:rPr>
        <w:t>负责指导全区现代服务业</w:t>
      </w:r>
      <w:r>
        <w:rPr>
          <w:rFonts w:hint="eastAsia"/>
          <w:lang w:eastAsia="zh-CN"/>
        </w:rPr>
        <w:t>（</w:t>
      </w:r>
      <w:r>
        <w:rPr>
          <w:rFonts w:hint="eastAsia"/>
        </w:rPr>
        <w:t>特色文化</w:t>
      </w:r>
      <w:r>
        <w:rPr>
          <w:rFonts w:hint="eastAsia"/>
          <w:lang w:eastAsia="zh-CN"/>
        </w:rPr>
        <w:t>）</w:t>
      </w:r>
      <w:r>
        <w:rPr>
          <w:rFonts w:hint="eastAsia"/>
        </w:rPr>
        <w:t>和商务楼宇的规划布局、开发建设和发展环境优化，负责商务楼宇物业管理部门的指导和培育，搭建交流平台，组织培训各类人才，引导商务楼宇物业管理部门规范管理，提升商务楼宇档次和水平。</w:t>
      </w:r>
    </w:p>
    <w:p>
      <w:pPr>
        <w:bidi w:val="0"/>
        <w:rPr>
          <w:rFonts w:hint="eastAsia"/>
        </w:rPr>
      </w:pPr>
      <w:r>
        <w:rPr>
          <w:rFonts w:hint="eastAsia"/>
          <w:lang w:val="en-US" w:eastAsia="zh-CN"/>
        </w:rPr>
        <w:t>4、</w:t>
      </w:r>
      <w:r>
        <w:rPr>
          <w:rFonts w:hint="eastAsia"/>
        </w:rPr>
        <w:t>负责组织参与各级政府举办的现代服务业</w:t>
      </w:r>
      <w:r>
        <w:rPr>
          <w:rFonts w:hint="eastAsia"/>
          <w:lang w:eastAsia="zh-CN"/>
        </w:rPr>
        <w:t>（</w:t>
      </w:r>
      <w:r>
        <w:rPr>
          <w:rFonts w:hint="eastAsia"/>
        </w:rPr>
        <w:t>特色文化</w:t>
      </w:r>
      <w:r>
        <w:rPr>
          <w:rFonts w:hint="eastAsia"/>
          <w:lang w:eastAsia="zh-CN"/>
        </w:rPr>
        <w:t>）</w:t>
      </w:r>
      <w:r>
        <w:rPr>
          <w:rFonts w:hint="eastAsia"/>
        </w:rPr>
        <w:t>交流和合作活动，协同相关部门做好全区的各种现代服务业招商、推介和洽谈会。</w:t>
      </w:r>
    </w:p>
    <w:p>
      <w:pPr>
        <w:bidi w:val="0"/>
        <w:rPr>
          <w:rFonts w:hint="eastAsia"/>
        </w:rPr>
      </w:pPr>
      <w:r>
        <w:rPr>
          <w:rFonts w:hint="eastAsia"/>
          <w:lang w:val="en-US" w:eastAsia="zh-CN"/>
        </w:rPr>
        <w:t>5、</w:t>
      </w:r>
      <w:r>
        <w:rPr>
          <w:rFonts w:hint="eastAsia"/>
        </w:rPr>
        <w:t>负责现代服务业</w:t>
      </w:r>
      <w:r>
        <w:rPr>
          <w:rFonts w:hint="eastAsia"/>
          <w:lang w:eastAsia="zh-CN"/>
        </w:rPr>
        <w:t>（</w:t>
      </w:r>
      <w:r>
        <w:rPr>
          <w:rFonts w:hint="eastAsia"/>
        </w:rPr>
        <w:t>特色文化</w:t>
      </w:r>
      <w:r>
        <w:rPr>
          <w:rFonts w:hint="eastAsia"/>
          <w:lang w:eastAsia="zh-CN"/>
        </w:rPr>
        <w:t>）</w:t>
      </w:r>
      <w:r>
        <w:rPr>
          <w:rFonts w:hint="eastAsia"/>
        </w:rPr>
        <w:t>企业、创新创业人才的培养、引进及相关政策的落实。 </w:t>
      </w:r>
    </w:p>
    <w:p>
      <w:pPr>
        <w:bidi w:val="0"/>
        <w:rPr>
          <w:rFonts w:hint="eastAsia"/>
        </w:rPr>
      </w:pPr>
      <w:r>
        <w:rPr>
          <w:rFonts w:hint="eastAsia"/>
          <w:lang w:val="en-US" w:eastAsia="zh-CN"/>
        </w:rPr>
        <w:t>6、</w:t>
      </w:r>
      <w:r>
        <w:rPr>
          <w:rFonts w:hint="eastAsia"/>
        </w:rPr>
        <w:t>负责全区现代服务业</w:t>
      </w:r>
      <w:r>
        <w:rPr>
          <w:rFonts w:hint="eastAsia"/>
          <w:lang w:eastAsia="zh-CN"/>
        </w:rPr>
        <w:t>（</w:t>
      </w:r>
      <w:r>
        <w:rPr>
          <w:rFonts w:hint="eastAsia"/>
        </w:rPr>
        <w:t>特色文化</w:t>
      </w:r>
      <w:r>
        <w:rPr>
          <w:rFonts w:hint="eastAsia"/>
          <w:lang w:eastAsia="zh-CN"/>
        </w:rPr>
        <w:t>）</w:t>
      </w:r>
      <w:r>
        <w:rPr>
          <w:rFonts w:hint="eastAsia"/>
        </w:rPr>
        <w:t>资源及发展情况的综合统计和信息发布。 </w:t>
      </w:r>
    </w:p>
    <w:p>
      <w:pPr>
        <w:bidi w:val="0"/>
        <w:rPr>
          <w:rFonts w:hint="default"/>
          <w:lang w:val="en-US" w:eastAsia="zh-CN"/>
        </w:rPr>
      </w:pPr>
      <w:r>
        <w:rPr>
          <w:rFonts w:hint="eastAsia"/>
          <w:lang w:val="en-US" w:eastAsia="zh-CN"/>
        </w:rPr>
        <w:t>7、</w:t>
      </w:r>
      <w:r>
        <w:rPr>
          <w:rFonts w:hint="eastAsia"/>
        </w:rPr>
        <w:t>负责协调现代服务业</w:t>
      </w:r>
      <w:r>
        <w:rPr>
          <w:rFonts w:hint="eastAsia"/>
          <w:lang w:eastAsia="zh-CN"/>
        </w:rPr>
        <w:t>（</w:t>
      </w:r>
      <w:r>
        <w:rPr>
          <w:rFonts w:hint="eastAsia"/>
        </w:rPr>
        <w:t>特色文化</w:t>
      </w:r>
      <w:r>
        <w:rPr>
          <w:rFonts w:hint="eastAsia"/>
          <w:lang w:eastAsia="zh-CN"/>
        </w:rPr>
        <w:t>）</w:t>
      </w:r>
      <w:r>
        <w:rPr>
          <w:rFonts w:hint="eastAsia"/>
        </w:rPr>
        <w:t>企业入驻落户我区，并协助财税部门加强楼宇税收的征管</w:t>
      </w:r>
      <w:r>
        <w:rPr>
          <w:rFonts w:hint="eastAsia"/>
          <w:lang w:eastAsia="zh-CN"/>
        </w:rPr>
        <w:t>。</w:t>
      </w:r>
      <w:bookmarkStart w:id="15" w:name="_Toc429"/>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16" w:name="_Toc16027"/>
      <w:r>
        <w:rPr>
          <w:rFonts w:hint="default" w:ascii="Arial" w:hAnsi="Arial" w:eastAsia="楷体" w:cstheme="minorBidi"/>
          <w:b/>
          <w:kern w:val="2"/>
          <w:sz w:val="32"/>
          <w:szCs w:val="24"/>
          <w:lang w:val="en-US" w:eastAsia="zh-CN" w:bidi="ar-SA"/>
        </w:rPr>
        <w:t>（三）人员情况</w:t>
      </w:r>
      <w:bookmarkEnd w:id="15"/>
      <w:bookmarkEnd w:id="16"/>
    </w:p>
    <w:p>
      <w:pPr>
        <w:bidi w:val="0"/>
        <w:rPr>
          <w:rFonts w:hint="default"/>
          <w:lang w:val="en-US" w:eastAsia="zh-CN"/>
        </w:rPr>
      </w:pPr>
      <w:r>
        <w:rPr>
          <w:rFonts w:hint="default"/>
          <w:lang w:val="en-US" w:eastAsia="zh-CN"/>
        </w:rPr>
        <w:t>邵阳市北塔区特色文化服务业发展中心实有在岗干部职工</w:t>
      </w:r>
      <w:r>
        <w:rPr>
          <w:rFonts w:hint="eastAsia"/>
          <w:lang w:val="en-US" w:eastAsia="zh-CN"/>
        </w:rPr>
        <w:t>5</w:t>
      </w:r>
      <w:r>
        <w:rPr>
          <w:rFonts w:hint="default"/>
          <w:lang w:val="en-US" w:eastAsia="zh-CN"/>
        </w:rPr>
        <w:t>人</w:t>
      </w:r>
      <w:r>
        <w:rPr>
          <w:rFonts w:hint="eastAsia"/>
          <w:lang w:val="en-US" w:eastAsia="zh-CN"/>
        </w:rPr>
        <w:t>（其中劳务派遣1人）。</w:t>
      </w:r>
    </w:p>
    <w:p>
      <w:pPr>
        <w:numPr>
          <w:ilvl w:val="0"/>
          <w:numId w:val="0"/>
        </w:numPr>
        <w:ind w:firstLine="643" w:firstLineChars="200"/>
        <w:jc w:val="both"/>
        <w:outlineLvl w:val="0"/>
        <w:rPr>
          <w:rFonts w:hint="default" w:ascii="Times New Roman Regular" w:hAnsi="Times New Roman Regular" w:eastAsia="楷体" w:cs="Times New Roman Regular"/>
          <w:b/>
          <w:bCs/>
          <w:sz w:val="31"/>
          <w:szCs w:val="31"/>
          <w:lang w:val="en-US" w:eastAsia="zh-CN"/>
        </w:rPr>
      </w:pPr>
      <w:bookmarkStart w:id="17" w:name="_Toc18408"/>
      <w:bookmarkStart w:id="18" w:name="_Toc23453"/>
      <w:r>
        <w:rPr>
          <w:rFonts w:hint="default" w:ascii="Times New Roman" w:hAnsi="Times New Roman" w:eastAsia="黑体" w:cstheme="minorBidi"/>
          <w:b/>
          <w:kern w:val="44"/>
          <w:sz w:val="32"/>
          <w:szCs w:val="24"/>
          <w:lang w:val="en-US" w:eastAsia="zh-CN" w:bidi="ar-SA"/>
        </w:rPr>
        <w:t>二、部门整体收支情况</w:t>
      </w:r>
      <w:bookmarkEnd w:id="17"/>
      <w:bookmarkEnd w:id="18"/>
    </w:p>
    <w:p>
      <w:pPr>
        <w:numPr>
          <w:ilvl w:val="0"/>
          <w:numId w:val="0"/>
        </w:numPr>
        <w:ind w:firstLine="643" w:firstLineChars="200"/>
        <w:jc w:val="both"/>
        <w:outlineLvl w:val="1"/>
        <w:rPr>
          <w:rFonts w:hint="default" w:ascii="Times New Roman Regular" w:hAnsi="Times New Roman Regular" w:eastAsia="楷体" w:cs="Times New Roman Regular"/>
          <w:b/>
          <w:bCs/>
          <w:sz w:val="31"/>
          <w:szCs w:val="31"/>
          <w:lang w:val="en-US" w:eastAsia="zh-CN"/>
        </w:rPr>
      </w:pPr>
      <w:bookmarkStart w:id="19" w:name="_Toc27600"/>
      <w:bookmarkStart w:id="20" w:name="_Toc12097"/>
      <w:r>
        <w:rPr>
          <w:rFonts w:hint="default" w:ascii="Arial" w:hAnsi="Arial" w:eastAsia="楷体" w:cstheme="minorBidi"/>
          <w:b/>
          <w:kern w:val="2"/>
          <w:sz w:val="32"/>
          <w:szCs w:val="24"/>
          <w:lang w:val="en-US" w:eastAsia="zh-CN" w:bidi="ar-SA"/>
        </w:rPr>
        <w:t>（一）资金收入情况</w:t>
      </w:r>
      <w:bookmarkEnd w:id="19"/>
      <w:bookmarkEnd w:id="20"/>
    </w:p>
    <w:p>
      <w:pPr>
        <w:bidi w:val="0"/>
        <w:ind w:firstLine="420"/>
        <w:rPr>
          <w:rFonts w:hint="default" w:ascii="Times New Roman" w:hAnsi="Times New Roman"/>
          <w:lang w:val="en-US" w:eastAsia="zh-CN"/>
        </w:rPr>
      </w:pPr>
      <w:r>
        <w:rPr>
          <w:rFonts w:hint="default" w:ascii="Times New Roman" w:hAnsi="Times New Roman"/>
          <w:lang w:val="en-US" w:eastAsia="zh-CN"/>
        </w:rPr>
        <w:t>根据邵阳市北塔区特色文化服务业发展中心2022年度部门决算报表，2022年</w:t>
      </w:r>
      <w:r>
        <w:rPr>
          <w:rFonts w:hint="eastAsia" w:ascii="Times New Roman" w:hAnsi="Times New Roman"/>
          <w:lang w:val="en-US" w:eastAsia="zh-CN"/>
        </w:rPr>
        <w:t>度部门收入决算数</w:t>
      </w:r>
      <w:r>
        <w:rPr>
          <w:rFonts w:hint="default" w:ascii="Times New Roman" w:hAnsi="Times New Roman"/>
          <w:lang w:val="en-US" w:eastAsia="zh-CN"/>
        </w:rPr>
        <w:t>为98.14万元</w:t>
      </w:r>
      <w:r>
        <w:rPr>
          <w:rFonts w:hint="eastAsia" w:ascii="Times New Roman" w:hAnsi="Times New Roman"/>
          <w:lang w:val="en-US" w:eastAsia="zh-CN"/>
        </w:rPr>
        <w:t>，</w:t>
      </w:r>
      <w:r>
        <w:rPr>
          <w:rFonts w:hint="default" w:ascii="Times New Roman" w:hAnsi="Times New Roman"/>
          <w:lang w:val="en-US" w:eastAsia="zh-CN"/>
        </w:rPr>
        <w:t>其中；一般公共预算财政拨款收入97.81万元、其他收入0.33万元、年初结转和结余资金</w:t>
      </w:r>
      <w:r>
        <w:rPr>
          <w:rFonts w:hint="eastAsia" w:ascii="Times New Roman" w:hAnsi="Times New Roman"/>
          <w:lang w:val="en-US" w:eastAsia="zh-CN"/>
        </w:rPr>
        <w:t>0</w:t>
      </w:r>
      <w:r>
        <w:rPr>
          <w:rFonts w:hint="default" w:ascii="Times New Roman" w:hAnsi="Times New Roman"/>
          <w:lang w:val="en-US" w:eastAsia="zh-CN"/>
        </w:rPr>
        <w:t>万元。</w:t>
      </w:r>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21" w:name="_Toc6457"/>
      <w:bookmarkStart w:id="22" w:name="_Toc30986"/>
      <w:r>
        <w:rPr>
          <w:rFonts w:hint="default" w:ascii="Arial" w:hAnsi="Arial" w:eastAsia="楷体" w:cstheme="minorBidi"/>
          <w:b/>
          <w:kern w:val="2"/>
          <w:sz w:val="32"/>
          <w:szCs w:val="24"/>
          <w:lang w:val="en-US" w:eastAsia="zh-CN" w:bidi="ar-SA"/>
        </w:rPr>
        <w:t>（二）资金使用情况</w:t>
      </w:r>
      <w:bookmarkEnd w:id="21"/>
      <w:bookmarkEnd w:id="22"/>
    </w:p>
    <w:p>
      <w:pPr>
        <w:bidi w:val="0"/>
        <w:ind w:firstLine="420"/>
        <w:rPr>
          <w:rFonts w:hint="default" w:ascii="Times New Roman" w:hAnsi="Times New Roman"/>
          <w:lang w:val="en-US" w:eastAsia="zh-CN"/>
        </w:rPr>
      </w:pPr>
      <w:r>
        <w:rPr>
          <w:rFonts w:hint="default" w:ascii="Times New Roman" w:hAnsi="Times New Roman"/>
          <w:lang w:val="en-US" w:eastAsia="zh-CN"/>
        </w:rPr>
        <w:t>根据邵阳市北塔区特色文化服务业发展中心2022年度部门决算报表，2022年度邵阳市北塔区特色文化服务业发展中心共计支出</w:t>
      </w:r>
      <w:r>
        <w:rPr>
          <w:rFonts w:hint="eastAsia"/>
          <w:lang w:val="en-US" w:eastAsia="zh-CN"/>
        </w:rPr>
        <w:t>98.14</w:t>
      </w:r>
      <w:r>
        <w:rPr>
          <w:rFonts w:hint="default" w:ascii="Times New Roman" w:hAnsi="Times New Roman"/>
          <w:lang w:val="en-US" w:eastAsia="zh-CN"/>
        </w:rPr>
        <w:t>万元，其中：基本支出</w:t>
      </w:r>
      <w:r>
        <w:rPr>
          <w:rFonts w:hint="eastAsia"/>
          <w:lang w:val="en-US" w:eastAsia="zh-CN"/>
        </w:rPr>
        <w:t>98.14</w:t>
      </w:r>
      <w:r>
        <w:rPr>
          <w:rFonts w:hint="default" w:ascii="Times New Roman" w:hAnsi="Times New Roman"/>
          <w:lang w:val="en-US" w:eastAsia="zh-CN"/>
        </w:rPr>
        <w:t>万元，项目支出</w:t>
      </w:r>
      <w:r>
        <w:rPr>
          <w:rFonts w:hint="eastAsia" w:ascii="Times New Roman" w:hAnsi="Times New Roman"/>
          <w:lang w:val="en-US" w:eastAsia="zh-CN"/>
        </w:rPr>
        <w:t>0.00</w:t>
      </w:r>
      <w:r>
        <w:rPr>
          <w:rFonts w:hint="default" w:ascii="Times New Roman" w:hAnsi="Times New Roman"/>
          <w:lang w:val="en-US" w:eastAsia="zh-CN"/>
        </w:rPr>
        <w:t>万元；年末结转和结余0.00万元。</w:t>
      </w:r>
    </w:p>
    <w:p>
      <w:pPr>
        <w:numPr>
          <w:ilvl w:val="0"/>
          <w:numId w:val="0"/>
        </w:numPr>
        <w:ind w:firstLine="602" w:firstLineChars="200"/>
        <w:jc w:val="both"/>
        <w:outlineLvl w:val="2"/>
        <w:rPr>
          <w:rFonts w:hint="default" w:ascii="Times New Roman Regular" w:hAnsi="Times New Roman Regular" w:eastAsia="仿宋" w:cs="Times New Roman Regular"/>
          <w:b/>
          <w:bCs/>
          <w:sz w:val="30"/>
          <w:szCs w:val="30"/>
          <w:lang w:val="en-US" w:eastAsia="zh-CN"/>
        </w:rPr>
      </w:pPr>
      <w:bookmarkStart w:id="23" w:name="_Toc16261"/>
      <w:r>
        <w:rPr>
          <w:rFonts w:hint="default" w:ascii="Times New Roman Regular" w:hAnsi="Times New Roman Regular" w:eastAsia="仿宋" w:cs="Times New Roman Regular"/>
          <w:b/>
          <w:bCs/>
          <w:sz w:val="30"/>
          <w:szCs w:val="30"/>
          <w:lang w:val="en-US" w:eastAsia="zh-CN"/>
        </w:rPr>
        <w:t>1、基本经费支出情况</w:t>
      </w:r>
      <w:bookmarkEnd w:id="23"/>
    </w:p>
    <w:p>
      <w:pPr>
        <w:bidi w:val="0"/>
        <w:ind w:firstLine="420"/>
        <w:rPr>
          <w:rFonts w:hint="default" w:ascii="Times New Roman" w:hAnsi="Times New Roman"/>
          <w:lang w:val="en-US" w:eastAsia="zh-CN"/>
        </w:rPr>
      </w:pPr>
      <w:r>
        <w:rPr>
          <w:rFonts w:hint="default" w:ascii="Times New Roman" w:hAnsi="Times New Roman"/>
          <w:lang w:val="en-US" w:eastAsia="zh-CN"/>
        </w:rPr>
        <w:t>根据邵阳市北塔区特色文化服务业发展中心2022年度部门决算报表，2022年度邵阳市北塔区特色文化服务业发展中心基本支出共计</w:t>
      </w:r>
      <w:r>
        <w:rPr>
          <w:rFonts w:hint="eastAsia"/>
          <w:lang w:val="en-US" w:eastAsia="zh-CN"/>
        </w:rPr>
        <w:t>98.14</w:t>
      </w:r>
      <w:r>
        <w:rPr>
          <w:rFonts w:hint="default" w:ascii="Times New Roman" w:hAnsi="Times New Roman"/>
          <w:lang w:val="en-US" w:eastAsia="zh-CN"/>
        </w:rPr>
        <w:t>万元，其中一般公共预算财政拨款支出</w:t>
      </w:r>
      <w:r>
        <w:rPr>
          <w:rFonts w:hint="eastAsia"/>
          <w:lang w:val="en-US" w:eastAsia="zh-CN"/>
        </w:rPr>
        <w:t>97.81</w:t>
      </w:r>
      <w:r>
        <w:rPr>
          <w:rFonts w:hint="default" w:ascii="Times New Roman" w:hAnsi="Times New Roman"/>
          <w:lang w:val="en-US" w:eastAsia="zh-CN"/>
        </w:rPr>
        <w:t>万元（人员经费</w:t>
      </w:r>
      <w:r>
        <w:rPr>
          <w:rFonts w:hint="eastAsia"/>
          <w:lang w:val="en-US" w:eastAsia="zh-CN"/>
        </w:rPr>
        <w:t>52.18</w:t>
      </w:r>
      <w:r>
        <w:rPr>
          <w:rFonts w:hint="default" w:ascii="Times New Roman" w:hAnsi="Times New Roman"/>
          <w:lang w:val="en-US" w:eastAsia="zh-CN"/>
        </w:rPr>
        <w:t>万元，公用经费</w:t>
      </w:r>
      <w:r>
        <w:rPr>
          <w:rFonts w:hint="eastAsia"/>
          <w:lang w:val="en-US" w:eastAsia="zh-CN"/>
        </w:rPr>
        <w:t>45.63</w:t>
      </w:r>
      <w:r>
        <w:rPr>
          <w:rFonts w:hint="default" w:ascii="Times New Roman" w:hAnsi="Times New Roman"/>
          <w:lang w:val="en-US" w:eastAsia="zh-CN"/>
        </w:rPr>
        <w:t>万元），其他支出</w:t>
      </w:r>
      <w:r>
        <w:rPr>
          <w:rFonts w:hint="eastAsia"/>
          <w:lang w:val="en-US" w:eastAsia="zh-CN"/>
        </w:rPr>
        <w:t>0.33</w:t>
      </w:r>
      <w:r>
        <w:rPr>
          <w:rFonts w:hint="default" w:ascii="Times New Roman" w:hAnsi="Times New Roman"/>
          <w:lang w:val="en-US" w:eastAsia="zh-CN"/>
        </w:rPr>
        <w:t>万元。一般公共预算财政拨款支出中人员经费和公用经费具体明细如下：</w:t>
      </w:r>
    </w:p>
    <w:tbl>
      <w:tblPr>
        <w:tblStyle w:val="17"/>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1"/>
        <w:gridCol w:w="5013"/>
        <w:gridCol w:w="2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blHeader/>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序号</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6"/>
                <w:sz w:val="24"/>
                <w:szCs w:val="24"/>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4"/>
                <w:sz w:val="24"/>
                <w:szCs w:val="24"/>
              </w:rPr>
              <w:t>金额</w:t>
            </w:r>
            <w:r>
              <w:rPr>
                <w:rFonts w:hint="eastAsia" w:ascii="Times New Roman Regular" w:hAnsi="Times New Roman Regular" w:cs="Times New Roman Regular"/>
                <w:b/>
                <w:bCs/>
                <w:spacing w:val="4"/>
                <w:sz w:val="24"/>
                <w:szCs w:val="24"/>
                <w:lang w:eastAsia="zh-CN"/>
              </w:rPr>
              <w:t>（</w:t>
            </w:r>
            <w:r>
              <w:rPr>
                <w:rFonts w:hint="default" w:ascii="Times New Roman Regular" w:hAnsi="Times New Roman Regular" w:eastAsia="仿宋" w:cs="Times New Roman Regular"/>
                <w:b/>
                <w:bCs/>
                <w:spacing w:val="4"/>
                <w:sz w:val="24"/>
                <w:szCs w:val="24"/>
              </w:rPr>
              <w:t>万元</w:t>
            </w:r>
            <w:r>
              <w:rPr>
                <w:rFonts w:hint="eastAsia" w:ascii="Times New Roman Regular" w:hAnsi="Times New Roman Regular" w:cs="Times New Roman Regular"/>
                <w:b/>
                <w:bCs/>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b/>
                <w:bCs/>
                <w:sz w:val="24"/>
                <w:szCs w:val="24"/>
                <w:lang w:val="en-US" w:eastAsia="zh-CN"/>
              </w:rPr>
              <w:t>一</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人员经费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52.18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bookmarkStart w:id="24" w:name="OLE_LINK1" w:colFirst="2" w:colLast="2"/>
            <w:r>
              <w:rPr>
                <w:rFonts w:hint="default" w:ascii="Times New Roman Regular" w:hAnsi="Times New Roman Regular" w:eastAsia="仿宋" w:cs="Times New Roman Regular"/>
                <w:sz w:val="24"/>
                <w:szCs w:val="24"/>
                <w:lang w:val="en-US" w:eastAsia="zh-CN"/>
              </w:rPr>
              <w:t>1</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3"/>
                <w:sz w:val="24"/>
                <w:szCs w:val="24"/>
              </w:rPr>
              <w:t>基本工资</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3"/>
                <w:sz w:val="24"/>
                <w:szCs w:val="24"/>
                <w:lang w:val="en-US" w:eastAsia="zh-CN"/>
              </w:rPr>
              <w:t>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2</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津贴补贴</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2"/>
                <w:sz w:val="24"/>
                <w:szCs w:val="24"/>
                <w:lang w:val="en-US" w:eastAsia="zh-CN"/>
              </w:rPr>
              <w:t>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3</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spacing w:val="-2"/>
                <w:kern w:val="0"/>
                <w:sz w:val="24"/>
                <w:szCs w:val="24"/>
                <w:lang w:val="en-US" w:eastAsia="zh-CN"/>
              </w:rPr>
            </w:pPr>
            <w:r>
              <w:rPr>
                <w:rFonts w:hint="default" w:ascii="Times New Roman Regular" w:hAnsi="Times New Roman Regular" w:eastAsia="仿宋" w:cs="Times New Roman Regular"/>
                <w:spacing w:val="-2"/>
                <w:sz w:val="24"/>
                <w:szCs w:val="24"/>
                <w:lang w:val="en-US" w:eastAsia="zh-CN"/>
              </w:rPr>
              <w:t>奖金</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spacing w:val="-2"/>
                <w:kern w:val="0"/>
                <w:sz w:val="24"/>
                <w:szCs w:val="24"/>
                <w:lang w:val="en-US" w:eastAsia="zh-CN"/>
              </w:rPr>
            </w:pPr>
            <w:r>
              <w:rPr>
                <w:rFonts w:hint="eastAsia" w:ascii="Times New Roman Regular" w:hAnsi="Times New Roman Regular" w:eastAsia="仿宋" w:cs="Times New Roman Regular"/>
                <w:spacing w:val="-2"/>
                <w:sz w:val="24"/>
                <w:szCs w:val="24"/>
                <w:lang w:val="en-US" w:eastAsia="zh-CN"/>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4</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伙食补助费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2"/>
                <w:sz w:val="24"/>
                <w:szCs w:val="24"/>
                <w:lang w:val="en-US" w:eastAsia="zh-CN"/>
              </w:rPr>
              <w:t>0.0</w:t>
            </w:r>
            <w:r>
              <w:rPr>
                <w:rFonts w:hint="eastAsia" w:ascii="Times New Roman Regular" w:hAnsi="Times New Roman Regular" w:cs="Times New Roman Regular"/>
                <w:spacing w:val="-2"/>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5</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2"/>
                <w:sz w:val="24"/>
                <w:szCs w:val="24"/>
              </w:rPr>
            </w:pPr>
            <w:r>
              <w:rPr>
                <w:rFonts w:hint="default" w:ascii="Times New Roman Regular" w:hAnsi="Times New Roman Regular" w:eastAsia="仿宋" w:cs="Times New Roman Regular"/>
                <w:spacing w:val="2"/>
                <w:sz w:val="24"/>
                <w:szCs w:val="24"/>
              </w:rPr>
              <w:t>绩效工资</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10.93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6</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机关事业单位基本养老保险缴费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4"/>
                <w:sz w:val="24"/>
                <w:szCs w:val="24"/>
                <w:lang w:val="en-US" w:eastAsia="zh-CN"/>
              </w:rPr>
              <w:t>3.9</w:t>
            </w:r>
            <w:r>
              <w:rPr>
                <w:rFonts w:hint="eastAsia" w:ascii="Times New Roman Regular" w:hAnsi="Times New Roman Regular" w:cs="Times New Roman Regular"/>
                <w:spacing w:val="-4"/>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7</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职工基本医疗保险缴费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8</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其他社会保障缴费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9</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住房公积金</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10</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其他工资福利支出</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b/>
                <w:bCs/>
                <w:position w:val="-4"/>
                <w:sz w:val="24"/>
                <w:szCs w:val="24"/>
              </w:rPr>
              <w:t>二</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b/>
                <w:bCs/>
                <w:spacing w:val="-1"/>
                <w:sz w:val="24"/>
                <w:szCs w:val="24"/>
              </w:rPr>
              <w:t>公用经费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45.63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1</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办公费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2</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印刷费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3</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差旅费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4</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Regular" w:hAnsi="Times New Roman Regular" w:eastAsia="仿宋" w:cs="Times New Roman Regular"/>
                <w:snapToGrid w:val="0"/>
                <w:color w:val="000000"/>
                <w:kern w:val="0"/>
                <w:sz w:val="24"/>
                <w:szCs w:val="24"/>
                <w:lang w:eastAsia="zh-CN"/>
              </w:rPr>
            </w:pPr>
            <w:r>
              <w:rPr>
                <w:rFonts w:hint="default" w:ascii="Times New Roman Regular" w:hAnsi="Times New Roman Regular" w:eastAsia="仿宋" w:cs="Times New Roman Regular"/>
                <w:spacing w:val="4"/>
                <w:sz w:val="24"/>
                <w:szCs w:val="24"/>
                <w:lang w:val="en-US"/>
              </w:rPr>
              <w:t>维修费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5</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Regular" w:hAnsi="Times New Roman Regular" w:eastAsia="仿宋" w:cs="Times New Roman Regular"/>
                <w:snapToGrid w:val="0"/>
                <w:color w:val="000000"/>
                <w:kern w:val="0"/>
                <w:sz w:val="24"/>
                <w:szCs w:val="24"/>
                <w:lang w:eastAsia="zh-CN"/>
              </w:rPr>
            </w:pPr>
            <w:r>
              <w:rPr>
                <w:rFonts w:hint="eastAsia" w:ascii="Times New Roman Regular" w:hAnsi="Times New Roman Regular" w:eastAsia="仿宋" w:cs="Times New Roman Regular"/>
                <w:spacing w:val="3"/>
                <w:sz w:val="24"/>
                <w:szCs w:val="24"/>
                <w:lang w:val="en-US" w:eastAsia="zh-CN"/>
              </w:rPr>
              <w:t>劳务费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7.</w:t>
            </w:r>
            <w:r>
              <w:rPr>
                <w:rFonts w:hint="eastAsia" w:ascii="Times New Roman Regular" w:hAnsi="Times New Roman Regular" w:cs="Times New Roman Regular"/>
                <w:sz w:val="24"/>
                <w:szCs w:val="24"/>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pacing w:val="-6"/>
                <w:sz w:val="24"/>
                <w:szCs w:val="24"/>
                <w:lang w:val="en-US" w:eastAsia="zh-CN"/>
              </w:rPr>
              <w:t>6</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委托业务费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5.4</w:t>
            </w:r>
            <w:r>
              <w:rPr>
                <w:rFonts w:hint="eastAsia" w:ascii="Times New Roman Regular" w:hAnsi="Times New Roman Regular" w:cs="Times New Roman Regular"/>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spacing w:val="-6"/>
                <w:kern w:val="0"/>
                <w:sz w:val="24"/>
                <w:szCs w:val="24"/>
                <w:lang w:val="en-US" w:eastAsia="zh-CN"/>
              </w:rPr>
            </w:pPr>
            <w:r>
              <w:rPr>
                <w:rFonts w:hint="eastAsia" w:ascii="Times New Roman Regular" w:hAnsi="Times New Roman Regular" w:eastAsia="仿宋" w:cs="Times New Roman Regular"/>
                <w:spacing w:val="-6"/>
                <w:sz w:val="24"/>
                <w:szCs w:val="24"/>
                <w:lang w:val="en-US" w:eastAsia="zh-CN"/>
              </w:rPr>
              <w:t>7</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spacing w:val="2"/>
                <w:kern w:val="0"/>
                <w:sz w:val="24"/>
                <w:szCs w:val="24"/>
                <w:lang w:val="en-US" w:eastAsia="zh-CN"/>
              </w:rPr>
            </w:pPr>
            <w:r>
              <w:rPr>
                <w:rFonts w:hint="default" w:ascii="Times New Roman Regular" w:hAnsi="Times New Roman Regular" w:eastAsia="仿宋" w:cs="Times New Roman Regular"/>
                <w:spacing w:val="2"/>
                <w:sz w:val="24"/>
                <w:szCs w:val="24"/>
                <w:lang w:val="en-US" w:eastAsia="zh-CN"/>
              </w:rPr>
              <w:t>工会经费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eastAsia="仿宋" w:cs="Times New Roman Regular"/>
                <w:spacing w:val="-6"/>
                <w:sz w:val="24"/>
                <w:szCs w:val="24"/>
                <w:lang w:val="en-US" w:eastAsia="zh-CN"/>
              </w:rPr>
              <w:t>8</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2"/>
                <w:sz w:val="24"/>
                <w:szCs w:val="24"/>
                <w:lang w:val="en-US" w:eastAsia="zh-CN"/>
              </w:rPr>
            </w:pPr>
            <w:r>
              <w:rPr>
                <w:rFonts w:hint="default" w:ascii="Times New Roman Regular" w:hAnsi="Times New Roman Regular" w:eastAsia="仿宋" w:cs="Times New Roman Regular"/>
                <w:spacing w:val="2"/>
                <w:sz w:val="24"/>
                <w:szCs w:val="24"/>
                <w:lang w:val="en-US" w:eastAsia="zh-CN"/>
              </w:rPr>
              <w:t>福利费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eastAsia="仿宋" w:cs="Times New Roman Regular"/>
                <w:spacing w:val="-6"/>
                <w:sz w:val="24"/>
                <w:szCs w:val="24"/>
                <w:lang w:val="en-US" w:eastAsia="zh-CN"/>
              </w:rPr>
              <w:t>9</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2"/>
                <w:sz w:val="24"/>
                <w:szCs w:val="24"/>
                <w:lang w:val="en-US" w:eastAsia="zh-CN"/>
              </w:rPr>
            </w:pPr>
            <w:r>
              <w:rPr>
                <w:rFonts w:hint="default" w:ascii="Times New Roman Regular" w:hAnsi="Times New Roman Regular" w:eastAsia="仿宋" w:cs="Times New Roman Regular"/>
                <w:i w:val="0"/>
                <w:iCs w:val="0"/>
                <w:color w:val="auto"/>
                <w:spacing w:val="2"/>
                <w:kern w:val="2"/>
                <w:sz w:val="24"/>
                <w:szCs w:val="24"/>
                <w:u w:val="none"/>
                <w:lang w:val="en-US" w:eastAsia="zh-CN" w:bidi="ar"/>
              </w:rPr>
              <w:t>其他商品和服务支出</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cs="Times New Roman Regular"/>
                <w:spacing w:val="-6"/>
                <w:sz w:val="24"/>
                <w:szCs w:val="24"/>
                <w:lang w:val="en-US" w:eastAsia="zh-CN"/>
              </w:rPr>
              <w:t>10</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i w:val="0"/>
                <w:iCs w:val="0"/>
                <w:color w:val="auto"/>
                <w:spacing w:val="2"/>
                <w:kern w:val="2"/>
                <w:sz w:val="24"/>
                <w:szCs w:val="24"/>
                <w:u w:val="none"/>
                <w:lang w:val="en-US" w:eastAsia="zh-CN" w:bidi="ar"/>
              </w:rPr>
            </w:pPr>
            <w:r>
              <w:rPr>
                <w:rFonts w:hint="eastAsia" w:ascii="Times New Roman Regular" w:hAnsi="Times New Roman Regular" w:cs="Times New Roman Regular"/>
                <w:i w:val="0"/>
                <w:iCs w:val="0"/>
                <w:color w:val="auto"/>
                <w:spacing w:val="2"/>
                <w:kern w:val="2"/>
                <w:sz w:val="24"/>
                <w:szCs w:val="24"/>
                <w:u w:val="none"/>
                <w:lang w:val="en-US" w:eastAsia="zh-CN" w:bidi="ar"/>
              </w:rPr>
              <w:t>资本性支出</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cs="Times New Roman Regular"/>
                <w:sz w:val="24"/>
                <w:szCs w:val="24"/>
                <w:lang w:val="en-US" w:eastAsia="zh-CN"/>
              </w:rPr>
              <w:t>19.52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b/>
                <w:bCs/>
                <w:spacing w:val="-3"/>
                <w:sz w:val="24"/>
                <w:szCs w:val="24"/>
              </w:rPr>
              <w:t>合计</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97.81</w:t>
            </w:r>
          </w:p>
        </w:tc>
      </w:tr>
      <w:bookmarkEnd w:id="24"/>
    </w:tbl>
    <w:p>
      <w:pPr>
        <w:numPr>
          <w:ilvl w:val="0"/>
          <w:numId w:val="0"/>
        </w:numPr>
        <w:ind w:firstLine="602" w:firstLineChars="200"/>
        <w:jc w:val="both"/>
        <w:outlineLvl w:val="2"/>
        <w:rPr>
          <w:rFonts w:hint="default" w:ascii="Times New Roman Regular" w:hAnsi="Times New Roman Regular" w:eastAsia="仿宋" w:cs="Times New Roman Regular"/>
          <w:b w:val="0"/>
          <w:bCs w:val="0"/>
          <w:sz w:val="31"/>
          <w:szCs w:val="31"/>
          <w:lang w:val="en-US" w:eastAsia="zh-CN"/>
        </w:rPr>
      </w:pPr>
      <w:bookmarkStart w:id="25" w:name="_Toc27332"/>
      <w:r>
        <w:rPr>
          <w:rFonts w:hint="default" w:ascii="Times New Roman Regular" w:hAnsi="Times New Roman Regular" w:eastAsia="仿宋" w:cs="Times New Roman Regular"/>
          <w:b/>
          <w:bCs/>
          <w:sz w:val="30"/>
          <w:szCs w:val="30"/>
          <w:lang w:val="en-US" w:eastAsia="zh-CN"/>
        </w:rPr>
        <w:t>2、“三公经费”支出情况</w:t>
      </w:r>
      <w:bookmarkEnd w:id="25"/>
    </w:p>
    <w:p>
      <w:pPr>
        <w:bidi w:val="0"/>
        <w:rPr>
          <w:rFonts w:hint="default"/>
          <w:lang w:val="en-US" w:eastAsia="zh-CN"/>
        </w:rPr>
      </w:pPr>
      <w:r>
        <w:rPr>
          <w:rFonts w:hint="default"/>
          <w:lang w:val="en-US" w:eastAsia="zh-CN"/>
        </w:rPr>
        <w:t>根据邵阳市北塔区特色文化服务业发展中心2022年度部门决算报表，邵阳市北塔区特色文化服务业发展中心2022年</w:t>
      </w:r>
      <w:r>
        <w:rPr>
          <w:rFonts w:hint="eastAsia" w:ascii="仿宋" w:hAnsi="仿宋" w:cs="仿宋"/>
          <w:lang w:val="en-US" w:eastAsia="zh-CN"/>
        </w:rPr>
        <w:t>“三公经费”</w:t>
      </w:r>
      <w:r>
        <w:rPr>
          <w:rFonts w:hint="default"/>
          <w:lang w:val="en-US" w:eastAsia="zh-CN"/>
        </w:rPr>
        <w:t>年初预算数为</w:t>
      </w:r>
      <w:r>
        <w:rPr>
          <w:rFonts w:hint="eastAsia"/>
          <w:lang w:val="en-US" w:eastAsia="zh-CN"/>
        </w:rPr>
        <w:t>0</w:t>
      </w:r>
      <w:r>
        <w:rPr>
          <w:rFonts w:hint="default"/>
          <w:lang w:val="en-US" w:eastAsia="zh-CN"/>
        </w:rPr>
        <w:t>.00万元，2022年共计支出0.</w:t>
      </w:r>
      <w:r>
        <w:rPr>
          <w:rFonts w:hint="eastAsia"/>
          <w:lang w:val="en-US" w:eastAsia="zh-CN"/>
        </w:rPr>
        <w:t>0</w:t>
      </w:r>
      <w:r>
        <w:rPr>
          <w:rFonts w:hint="default"/>
          <w:lang w:val="en-US" w:eastAsia="zh-CN"/>
        </w:rPr>
        <w:t>0万元，其中公务用车及运行维护0.00万元，公务接待费</w:t>
      </w:r>
      <w:r>
        <w:rPr>
          <w:rFonts w:hint="eastAsia"/>
          <w:lang w:val="en-US" w:eastAsia="zh-CN"/>
        </w:rPr>
        <w:t>0</w:t>
      </w:r>
      <w:r>
        <w:rPr>
          <w:rFonts w:hint="default"/>
          <w:lang w:val="en-US" w:eastAsia="zh-CN"/>
        </w:rPr>
        <w:t>.</w:t>
      </w:r>
      <w:r>
        <w:rPr>
          <w:rFonts w:hint="eastAsia"/>
          <w:lang w:val="en-US" w:eastAsia="zh-CN"/>
        </w:rPr>
        <w:t>0</w:t>
      </w:r>
      <w:r>
        <w:rPr>
          <w:rFonts w:hint="default"/>
          <w:lang w:val="en-US" w:eastAsia="zh-CN"/>
        </w:rPr>
        <w:t>0万元，因公出国</w:t>
      </w:r>
      <w:r>
        <w:rPr>
          <w:rFonts w:hint="eastAsia"/>
          <w:lang w:val="en-US" w:eastAsia="zh-CN"/>
        </w:rPr>
        <w:t>（</w:t>
      </w:r>
      <w:r>
        <w:rPr>
          <w:rFonts w:hint="default"/>
          <w:lang w:val="en-US" w:eastAsia="zh-CN"/>
        </w:rPr>
        <w:t>境</w:t>
      </w:r>
      <w:r>
        <w:rPr>
          <w:rFonts w:hint="eastAsia"/>
          <w:lang w:val="en-US" w:eastAsia="zh-CN"/>
        </w:rPr>
        <w:t>）</w:t>
      </w:r>
      <w:r>
        <w:rPr>
          <w:rFonts w:hint="default"/>
          <w:lang w:val="en-US" w:eastAsia="zh-CN"/>
        </w:rPr>
        <w:t>费用0.00元。</w:t>
      </w:r>
    </w:p>
    <w:p>
      <w:pPr>
        <w:numPr>
          <w:ilvl w:val="0"/>
          <w:numId w:val="0"/>
        </w:numPr>
        <w:ind w:firstLine="602" w:firstLineChars="200"/>
        <w:jc w:val="both"/>
        <w:outlineLvl w:val="2"/>
        <w:rPr>
          <w:rFonts w:hint="default" w:ascii="Times New Roman Regular" w:hAnsi="Times New Roman Regular" w:eastAsia="仿宋" w:cs="Times New Roman Regular"/>
          <w:b/>
          <w:bCs/>
          <w:sz w:val="30"/>
          <w:szCs w:val="30"/>
          <w:lang w:val="en-US" w:eastAsia="zh-CN"/>
        </w:rPr>
      </w:pPr>
      <w:bookmarkStart w:id="26" w:name="_Toc28257"/>
      <w:r>
        <w:rPr>
          <w:rFonts w:hint="default" w:ascii="Times New Roman Regular" w:hAnsi="Times New Roman Regular" w:eastAsia="仿宋" w:cs="Times New Roman Regular"/>
          <w:b/>
          <w:bCs/>
          <w:sz w:val="30"/>
          <w:szCs w:val="30"/>
          <w:lang w:val="en-US" w:eastAsia="zh-CN"/>
        </w:rPr>
        <w:t>3、项目支出情况</w:t>
      </w:r>
      <w:bookmarkEnd w:id="26"/>
    </w:p>
    <w:p>
      <w:pPr>
        <w:bidi w:val="0"/>
        <w:rPr>
          <w:rFonts w:hint="default"/>
          <w:lang w:val="en-US" w:eastAsia="zh-CN"/>
        </w:rPr>
      </w:pPr>
      <w:r>
        <w:rPr>
          <w:rFonts w:hint="default"/>
          <w:lang w:val="en-US" w:eastAsia="zh-CN"/>
        </w:rPr>
        <w:t>根据邵阳市北塔区特色文化服务业发展中心2022年度部门决算报表，2022年度邵阳市北塔区特色文化服务业发展中心项目支出共计</w:t>
      </w:r>
      <w:r>
        <w:rPr>
          <w:rFonts w:hint="eastAsia"/>
          <w:lang w:val="en-US" w:eastAsia="zh-CN"/>
        </w:rPr>
        <w:t>0.00</w:t>
      </w:r>
      <w:r>
        <w:rPr>
          <w:rFonts w:hint="default"/>
          <w:lang w:val="en-US" w:eastAsia="zh-CN"/>
        </w:rPr>
        <w:t>万元</w:t>
      </w:r>
      <w:r>
        <w:rPr>
          <w:rFonts w:hint="eastAsia"/>
          <w:lang w:val="en-US" w:eastAsia="zh-CN"/>
        </w:rPr>
        <w:t>。</w:t>
      </w:r>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27" w:name="_Toc3881"/>
      <w:bookmarkStart w:id="28" w:name="_Toc3789"/>
      <w:r>
        <w:rPr>
          <w:rFonts w:hint="default" w:ascii="Arial" w:hAnsi="Arial" w:eastAsia="楷体" w:cstheme="minorBidi"/>
          <w:b/>
          <w:kern w:val="2"/>
          <w:sz w:val="32"/>
          <w:szCs w:val="24"/>
          <w:lang w:val="en-US" w:eastAsia="zh-CN" w:bidi="ar-SA"/>
        </w:rPr>
        <w:t>（三）资金管理情况</w:t>
      </w:r>
      <w:bookmarkEnd w:id="27"/>
      <w:bookmarkEnd w:id="28"/>
    </w:p>
    <w:p>
      <w:pPr>
        <w:bidi w:val="0"/>
        <w:rPr>
          <w:rFonts w:hint="default"/>
          <w:lang w:val="en-US" w:eastAsia="zh-CN"/>
        </w:rPr>
      </w:pPr>
      <w:r>
        <w:rPr>
          <w:rFonts w:hint="default"/>
          <w:lang w:val="en-US" w:eastAsia="zh-CN"/>
        </w:rPr>
        <w:t>邵阳市北塔区特色文化服务业发展中心制定了《财务管理制度》，严格按照有关财务制度，加强机关财务管理，规范公务接待行为，节约使用资金，降低行政成本。</w:t>
      </w:r>
    </w:p>
    <w:p>
      <w:pPr>
        <w:numPr>
          <w:ilvl w:val="0"/>
          <w:numId w:val="0"/>
        </w:numPr>
        <w:ind w:firstLine="643" w:firstLineChars="200"/>
        <w:jc w:val="both"/>
        <w:outlineLvl w:val="0"/>
        <w:rPr>
          <w:rFonts w:hint="default" w:ascii="Times New Roman" w:hAnsi="Times New Roman" w:eastAsia="黑体" w:cstheme="minorBidi"/>
          <w:b/>
          <w:kern w:val="44"/>
          <w:sz w:val="32"/>
          <w:szCs w:val="24"/>
          <w:lang w:val="en-US" w:eastAsia="zh-CN" w:bidi="ar-SA"/>
        </w:rPr>
      </w:pPr>
      <w:bookmarkStart w:id="29" w:name="_Toc6424"/>
      <w:bookmarkStart w:id="30" w:name="_Toc14055"/>
      <w:r>
        <w:rPr>
          <w:rFonts w:hint="default" w:ascii="Times New Roman" w:hAnsi="Times New Roman" w:eastAsia="黑体" w:cstheme="minorBidi"/>
          <w:b/>
          <w:kern w:val="44"/>
          <w:sz w:val="32"/>
          <w:szCs w:val="24"/>
          <w:lang w:val="en-US" w:eastAsia="zh-CN" w:bidi="ar-SA"/>
        </w:rPr>
        <w:t>三、制度建设情况</w:t>
      </w:r>
      <w:bookmarkEnd w:id="29"/>
      <w:bookmarkEnd w:id="30"/>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31" w:name="_Toc15007"/>
      <w:bookmarkStart w:id="32" w:name="_Toc19416"/>
      <w:r>
        <w:rPr>
          <w:rFonts w:hint="default" w:ascii="Arial" w:hAnsi="Arial" w:eastAsia="楷体" w:cstheme="minorBidi"/>
          <w:b/>
          <w:kern w:val="2"/>
          <w:sz w:val="32"/>
          <w:szCs w:val="24"/>
          <w:lang w:val="en-US" w:eastAsia="zh-CN" w:bidi="ar-SA"/>
        </w:rPr>
        <w:t>（</w:t>
      </w:r>
      <w:r>
        <w:rPr>
          <w:rFonts w:hint="eastAsia" w:ascii="Arial" w:hAnsi="Arial" w:eastAsia="楷体" w:cstheme="minorBidi"/>
          <w:b/>
          <w:kern w:val="2"/>
          <w:sz w:val="32"/>
          <w:szCs w:val="24"/>
          <w:lang w:val="en-US" w:eastAsia="zh-CN" w:bidi="ar-SA"/>
        </w:rPr>
        <w:t>一</w:t>
      </w:r>
      <w:r>
        <w:rPr>
          <w:rFonts w:hint="default" w:ascii="Arial" w:hAnsi="Arial" w:eastAsia="楷体" w:cstheme="minorBidi"/>
          <w:b/>
          <w:kern w:val="2"/>
          <w:sz w:val="32"/>
          <w:szCs w:val="24"/>
          <w:lang w:val="en-US" w:eastAsia="zh-CN" w:bidi="ar-SA"/>
        </w:rPr>
        <w:t>）</w:t>
      </w:r>
      <w:r>
        <w:rPr>
          <w:rFonts w:hint="eastAsia" w:ascii="Arial" w:hAnsi="Arial" w:eastAsia="楷体" w:cstheme="minorBidi"/>
          <w:b/>
          <w:kern w:val="2"/>
          <w:sz w:val="32"/>
          <w:szCs w:val="24"/>
          <w:lang w:val="en-US" w:eastAsia="zh-CN" w:bidi="ar-SA"/>
        </w:rPr>
        <w:t>内控</w:t>
      </w:r>
      <w:r>
        <w:rPr>
          <w:rFonts w:hint="default" w:ascii="Arial" w:hAnsi="Arial" w:eastAsia="楷体" w:cstheme="minorBidi"/>
          <w:b/>
          <w:kern w:val="2"/>
          <w:sz w:val="32"/>
          <w:szCs w:val="24"/>
          <w:lang w:val="en-US" w:eastAsia="zh-CN" w:bidi="ar-SA"/>
        </w:rPr>
        <w:t>制度建设情况</w:t>
      </w:r>
      <w:bookmarkEnd w:id="31"/>
    </w:p>
    <w:p>
      <w:pPr>
        <w:bidi w:val="0"/>
        <w:rPr>
          <w:rFonts w:hint="default"/>
          <w:lang w:val="en-US" w:eastAsia="zh-CN"/>
        </w:rPr>
      </w:pPr>
      <w:r>
        <w:rPr>
          <w:rFonts w:hint="eastAsia"/>
          <w:lang w:val="en-US" w:eastAsia="zh-CN"/>
        </w:rPr>
        <w:t>邵阳市北塔区特色文化服务业发展中心</w:t>
      </w:r>
      <w:r>
        <w:rPr>
          <w:rFonts w:hint="default"/>
          <w:lang w:val="en-US" w:eastAsia="zh-CN"/>
        </w:rPr>
        <w:t>制定了《</w:t>
      </w:r>
      <w:r>
        <w:rPr>
          <w:rFonts w:hint="eastAsia"/>
          <w:lang w:val="en-US" w:eastAsia="zh-CN"/>
        </w:rPr>
        <w:t>北塔区特色文化服务业发展中心内部控制制度</w:t>
      </w:r>
      <w:r>
        <w:rPr>
          <w:rFonts w:hint="default"/>
          <w:lang w:val="en-US" w:eastAsia="zh-CN"/>
        </w:rPr>
        <w:t>》，</w:t>
      </w:r>
      <w:r>
        <w:rPr>
          <w:rFonts w:hint="eastAsia"/>
          <w:lang w:val="en-US" w:eastAsia="zh-CN"/>
        </w:rPr>
        <w:t>主要对风险评估和内部控制方法、内控组织架构管理、议事决策机制建设、内控关键岗位责任制、不相容职责分离管理、信息系统管理、内部信息传递管理、预算管理内部控制制度、收支管理内部控制制度、采购管理内部控制制度、资产管理内部控制制度、建设项目管理内部控制制度、合同管理内部控制制度等进行了规定。</w:t>
      </w:r>
      <w:bookmarkEnd w:id="32"/>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33" w:name="_Toc18084"/>
      <w:bookmarkStart w:id="34" w:name="_Toc13071"/>
      <w:r>
        <w:rPr>
          <w:rFonts w:hint="default" w:ascii="Arial" w:hAnsi="Arial" w:eastAsia="楷体" w:cstheme="minorBidi"/>
          <w:b/>
          <w:kern w:val="2"/>
          <w:sz w:val="32"/>
          <w:szCs w:val="24"/>
          <w:lang w:val="en-US" w:eastAsia="zh-CN" w:bidi="ar-SA"/>
        </w:rPr>
        <w:t>（二）财务管理制度及机关日常制度建设情况</w:t>
      </w:r>
      <w:bookmarkEnd w:id="33"/>
      <w:bookmarkEnd w:id="34"/>
    </w:p>
    <w:p>
      <w:pPr>
        <w:bidi w:val="0"/>
        <w:rPr>
          <w:rFonts w:hint="default"/>
          <w:lang w:val="en-US" w:eastAsia="zh-CN"/>
        </w:rPr>
      </w:pPr>
      <w:r>
        <w:rPr>
          <w:rFonts w:hint="default"/>
          <w:lang w:val="en-US" w:eastAsia="zh-CN"/>
        </w:rPr>
        <w:t>邵阳市北塔区特色文化服务业发展中心制定了《邵阳市北塔区特色文化服务业发展中心工作制度》，其中包含《财务管理制度》《资</w:t>
      </w:r>
      <w:r>
        <w:rPr>
          <w:rFonts w:hint="eastAsia"/>
          <w:lang w:val="en-US" w:eastAsia="zh-CN"/>
        </w:rPr>
        <w:t>金</w:t>
      </w:r>
      <w:r>
        <w:rPr>
          <w:rFonts w:hint="default"/>
          <w:lang w:val="en-US" w:eastAsia="zh-CN"/>
        </w:rPr>
        <w:t>管理制度》</w:t>
      </w:r>
      <w:r>
        <w:rPr>
          <w:rFonts w:hint="eastAsia"/>
          <w:lang w:val="en-US" w:eastAsia="zh-CN"/>
        </w:rPr>
        <w:t>《部门管理制度》《内部档案管理制度》</w:t>
      </w:r>
      <w:r>
        <w:rPr>
          <w:rFonts w:hint="default"/>
          <w:lang w:val="en-US" w:eastAsia="zh-CN"/>
        </w:rPr>
        <w:t>等各项工作制度</w:t>
      </w:r>
      <w:r>
        <w:rPr>
          <w:rFonts w:hint="eastAsia"/>
          <w:lang w:val="en-US" w:eastAsia="zh-CN"/>
        </w:rPr>
        <w:t>，</w:t>
      </w:r>
      <w:r>
        <w:rPr>
          <w:rFonts w:hint="default"/>
          <w:lang w:val="en-US" w:eastAsia="zh-CN"/>
        </w:rPr>
        <w:t>对机关资产管理、财务管理、日常管理</w:t>
      </w:r>
      <w:r>
        <w:rPr>
          <w:rFonts w:hint="eastAsia"/>
          <w:lang w:val="en-US" w:eastAsia="zh-CN"/>
        </w:rPr>
        <w:t>、档案管理</w:t>
      </w:r>
      <w:r>
        <w:rPr>
          <w:rFonts w:hint="default"/>
          <w:lang w:val="en-US" w:eastAsia="zh-CN"/>
        </w:rPr>
        <w:t>等做出了具体规定。</w:t>
      </w:r>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35" w:name="_Toc17737"/>
      <w:bookmarkStart w:id="36" w:name="_Toc8613"/>
      <w:r>
        <w:rPr>
          <w:rFonts w:hint="default" w:ascii="Arial" w:hAnsi="Arial" w:eastAsia="楷体" w:cstheme="minorBidi"/>
          <w:b/>
          <w:kern w:val="2"/>
          <w:sz w:val="32"/>
          <w:szCs w:val="24"/>
          <w:lang w:val="en-US" w:eastAsia="zh-CN" w:bidi="ar-SA"/>
        </w:rPr>
        <w:t>（三）资产管理制度建设及使用情况</w:t>
      </w:r>
      <w:bookmarkEnd w:id="35"/>
      <w:bookmarkEnd w:id="36"/>
    </w:p>
    <w:p>
      <w:pPr>
        <w:bidi w:val="0"/>
        <w:ind w:firstLine="420"/>
        <w:rPr>
          <w:rFonts w:hint="default" w:ascii="Times New Roman" w:hAnsi="Times New Roman"/>
          <w:lang w:val="en-US" w:eastAsia="zh-CN"/>
        </w:rPr>
      </w:pPr>
      <w:r>
        <w:rPr>
          <w:rFonts w:hint="default" w:ascii="Times New Roman" w:hAnsi="Times New Roman"/>
          <w:lang w:val="en-US" w:eastAsia="zh-CN"/>
        </w:rPr>
        <w:t>邵阳市北塔区特色文化服务业发展中心为了加强和规范国有资产管理，保障国有资产的安全完整，推进节约型机关建设，根据财政部《行政事业单位国有资产管理暂行办法》和《行政事业单位内部控制规范（试行）》要求，</w:t>
      </w:r>
      <w:r>
        <w:rPr>
          <w:rFonts w:hint="eastAsia" w:ascii="Times New Roman" w:hAnsi="Times New Roman"/>
          <w:lang w:val="en-US" w:eastAsia="zh-CN"/>
        </w:rPr>
        <w:t>在《财务管理制度》对有关资产管理进行了规定。</w:t>
      </w:r>
    </w:p>
    <w:p>
      <w:pPr>
        <w:bidi w:val="0"/>
        <w:ind w:firstLine="420"/>
        <w:rPr>
          <w:rFonts w:hint="default" w:ascii="Times New Roman" w:hAnsi="Times New Roman"/>
          <w:lang w:val="en-US" w:eastAsia="zh-CN"/>
        </w:rPr>
      </w:pPr>
      <w:r>
        <w:rPr>
          <w:rFonts w:hint="default" w:ascii="Times New Roman" w:hAnsi="Times New Roman"/>
          <w:lang w:val="en-US" w:eastAsia="zh-CN"/>
        </w:rPr>
        <w:t>截</w:t>
      </w:r>
      <w:r>
        <w:rPr>
          <w:rFonts w:hint="eastAsia" w:ascii="Times New Roman" w:hAnsi="Times New Roman"/>
          <w:lang w:val="en-US" w:eastAsia="zh-CN"/>
        </w:rPr>
        <w:t>至</w:t>
      </w:r>
      <w:r>
        <w:rPr>
          <w:rFonts w:hint="default" w:ascii="Times New Roman" w:hAnsi="Times New Roman"/>
          <w:lang w:val="en-US" w:eastAsia="zh-CN"/>
        </w:rPr>
        <w:t>2022年12月31日，邵阳市北塔区特色文化服务业发展中心固定资产账面原值</w:t>
      </w:r>
      <w:r>
        <w:rPr>
          <w:rFonts w:hint="eastAsia" w:ascii="Times New Roman" w:hAnsi="Times New Roman"/>
          <w:lang w:val="en-US" w:eastAsia="zh-CN"/>
        </w:rPr>
        <w:t>3.43</w:t>
      </w:r>
      <w:r>
        <w:rPr>
          <w:rFonts w:hint="default" w:ascii="Times New Roman" w:hAnsi="Times New Roman"/>
          <w:lang w:val="en-US" w:eastAsia="zh-CN"/>
        </w:rPr>
        <w:t>万元。其中：通用设备</w:t>
      </w:r>
      <w:r>
        <w:rPr>
          <w:rFonts w:hint="eastAsia" w:ascii="Times New Roman" w:hAnsi="Times New Roman"/>
          <w:lang w:val="en-US" w:eastAsia="zh-CN"/>
        </w:rPr>
        <w:t>0.62</w:t>
      </w:r>
      <w:r>
        <w:rPr>
          <w:rFonts w:hint="default" w:ascii="Times New Roman" w:hAnsi="Times New Roman"/>
          <w:lang w:val="en-US" w:eastAsia="zh-CN"/>
        </w:rPr>
        <w:t>万元；家具、用具、装具及动植物</w:t>
      </w:r>
      <w:r>
        <w:rPr>
          <w:rFonts w:hint="eastAsia" w:ascii="Times New Roman" w:hAnsi="Times New Roman"/>
          <w:lang w:val="en-US" w:eastAsia="zh-CN"/>
        </w:rPr>
        <w:t>2.81</w:t>
      </w:r>
      <w:r>
        <w:rPr>
          <w:rFonts w:hint="default" w:ascii="Times New Roman" w:hAnsi="Times New Roman"/>
          <w:lang w:val="en-US" w:eastAsia="zh-CN"/>
        </w:rPr>
        <w:t>万元。固定资产在用</w:t>
      </w:r>
      <w:r>
        <w:rPr>
          <w:rFonts w:hint="eastAsia" w:ascii="Times New Roman" w:hAnsi="Times New Roman"/>
          <w:lang w:val="en-US" w:eastAsia="zh-CN"/>
        </w:rPr>
        <w:t>2.81</w:t>
      </w:r>
      <w:r>
        <w:rPr>
          <w:rFonts w:hint="default" w:ascii="Times New Roman" w:hAnsi="Times New Roman"/>
          <w:lang w:val="en-US" w:eastAsia="zh-CN"/>
        </w:rPr>
        <w:t>万元、闲置</w:t>
      </w:r>
      <w:r>
        <w:rPr>
          <w:rFonts w:hint="eastAsia" w:ascii="Times New Roman" w:hAnsi="Times New Roman"/>
          <w:lang w:val="en-US" w:eastAsia="zh-CN"/>
        </w:rPr>
        <w:t>0.62</w:t>
      </w:r>
      <w:r>
        <w:rPr>
          <w:rFonts w:hint="default" w:ascii="Times New Roman" w:hAnsi="Times New Roman"/>
          <w:lang w:val="en-US" w:eastAsia="zh-CN"/>
        </w:rPr>
        <w:t>万元，资产使用率</w:t>
      </w:r>
      <w:r>
        <w:rPr>
          <w:rFonts w:hint="eastAsia" w:ascii="Times New Roman" w:hAnsi="Times New Roman"/>
          <w:lang w:val="en-US" w:eastAsia="zh-CN"/>
        </w:rPr>
        <w:t>81.92</w:t>
      </w:r>
      <w:r>
        <w:rPr>
          <w:rFonts w:hint="default" w:ascii="Times New Roman" w:hAnsi="Times New Roman"/>
          <w:lang w:val="en-US" w:eastAsia="zh-CN"/>
        </w:rPr>
        <w:t>%。</w:t>
      </w:r>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37" w:name="_Toc26148"/>
      <w:bookmarkStart w:id="38" w:name="_Toc17321"/>
      <w:r>
        <w:rPr>
          <w:rFonts w:hint="default" w:ascii="Arial" w:hAnsi="Arial" w:eastAsia="楷体" w:cstheme="minorBidi"/>
          <w:b/>
          <w:kern w:val="2"/>
          <w:sz w:val="32"/>
          <w:szCs w:val="24"/>
          <w:lang w:val="en-US" w:eastAsia="zh-CN" w:bidi="ar-SA"/>
        </w:rPr>
        <w:t>（四）政府采购制度建设情况</w:t>
      </w:r>
      <w:bookmarkEnd w:id="37"/>
      <w:bookmarkEnd w:id="38"/>
    </w:p>
    <w:p>
      <w:pPr>
        <w:bidi w:val="0"/>
        <w:ind w:firstLine="420"/>
        <w:rPr>
          <w:rFonts w:hint="default" w:ascii="Times New Roman" w:hAnsi="Times New Roman"/>
          <w:lang w:val="en-US" w:eastAsia="zh-CN"/>
        </w:rPr>
      </w:pPr>
      <w:r>
        <w:rPr>
          <w:rFonts w:hint="default" w:ascii="Times New Roman" w:hAnsi="Times New Roman"/>
          <w:lang w:val="en-US" w:eastAsia="zh-CN"/>
        </w:rPr>
        <w:t>邵阳市北塔区特色文化服务业发展中心</w:t>
      </w:r>
      <w:r>
        <w:rPr>
          <w:rFonts w:hint="eastAsia" w:ascii="Times New Roman" w:hAnsi="Times New Roman"/>
          <w:lang w:val="en-US" w:eastAsia="zh-CN"/>
        </w:rPr>
        <w:t>在《内部控制制度》中明确了政府采购相关规定</w:t>
      </w:r>
      <w:r>
        <w:rPr>
          <w:rFonts w:hint="default" w:ascii="Times New Roman" w:hAnsi="Times New Roman"/>
          <w:lang w:val="en-US" w:eastAsia="zh-CN"/>
        </w:rPr>
        <w:t>。</w:t>
      </w:r>
    </w:p>
    <w:p>
      <w:pPr>
        <w:numPr>
          <w:ilvl w:val="0"/>
          <w:numId w:val="0"/>
        </w:numPr>
        <w:ind w:firstLine="643" w:firstLineChars="200"/>
        <w:jc w:val="both"/>
        <w:outlineLvl w:val="0"/>
        <w:rPr>
          <w:rFonts w:hint="default" w:ascii="Arial" w:hAnsi="Arial" w:eastAsia="楷体" w:cstheme="minorBidi"/>
          <w:b/>
          <w:kern w:val="2"/>
          <w:sz w:val="32"/>
          <w:szCs w:val="24"/>
          <w:lang w:val="en-US" w:eastAsia="zh-CN" w:bidi="ar-SA"/>
        </w:rPr>
      </w:pPr>
      <w:bookmarkStart w:id="39" w:name="_Toc24597"/>
      <w:bookmarkStart w:id="40" w:name="_Toc6954"/>
      <w:r>
        <w:rPr>
          <w:rFonts w:hint="default" w:ascii="Times New Roman" w:hAnsi="Times New Roman" w:eastAsia="黑体" w:cstheme="minorBidi"/>
          <w:b/>
          <w:kern w:val="44"/>
          <w:sz w:val="32"/>
          <w:szCs w:val="24"/>
          <w:lang w:val="en-US" w:eastAsia="zh-CN" w:bidi="ar-SA"/>
        </w:rPr>
        <w:t>四、第三方重点绩效评价工作情况</w:t>
      </w:r>
      <w:bookmarkEnd w:id="39"/>
      <w:bookmarkEnd w:id="40"/>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41" w:name="_Toc27478"/>
      <w:bookmarkStart w:id="42" w:name="_Toc29541"/>
      <w:r>
        <w:rPr>
          <w:rFonts w:hint="default" w:ascii="Arial" w:hAnsi="Arial" w:eastAsia="楷体" w:cstheme="minorBidi"/>
          <w:b/>
          <w:kern w:val="2"/>
          <w:sz w:val="32"/>
          <w:szCs w:val="24"/>
          <w:lang w:val="en-US" w:eastAsia="zh-CN" w:bidi="ar-SA"/>
        </w:rPr>
        <w:t>（一）重点绩效评价目的</w:t>
      </w:r>
      <w:bookmarkEnd w:id="41"/>
      <w:bookmarkEnd w:id="42"/>
    </w:p>
    <w:p>
      <w:pPr>
        <w:bidi w:val="0"/>
        <w:ind w:firstLine="420"/>
        <w:rPr>
          <w:rFonts w:hint="default" w:ascii="Times New Roman" w:hAnsi="Times New Roman"/>
          <w:lang w:val="en-US" w:eastAsia="zh-CN"/>
        </w:rPr>
      </w:pPr>
      <w:r>
        <w:rPr>
          <w:rFonts w:hint="default" w:ascii="Times New Roman" w:hAnsi="Times New Roman"/>
          <w:lang w:val="en-US" w:eastAsia="zh-CN"/>
        </w:rPr>
        <w:t>通过开展第三方重点绩效评价，全面了解、分析部门</w:t>
      </w:r>
      <w:r>
        <w:rPr>
          <w:rFonts w:hint="eastAsia"/>
          <w:lang w:val="en-US" w:eastAsia="zh-CN"/>
        </w:rPr>
        <w:t>整体</w:t>
      </w:r>
      <w:r>
        <w:rPr>
          <w:rFonts w:hint="default" w:ascii="Times New Roman" w:hAnsi="Times New Roman"/>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cs="仿宋"/>
          <w:lang w:val="en-US" w:eastAsia="zh-CN"/>
        </w:rPr>
        <w:t>“三公”经费、降低一般运行经费、加强项目支出管理等方面取</w:t>
      </w:r>
      <w:r>
        <w:rPr>
          <w:rFonts w:hint="default" w:ascii="Times New Roman" w:hAnsi="Times New Roman"/>
          <w:lang w:val="en-US" w:eastAsia="zh-CN"/>
        </w:rPr>
        <w:t>得的成绩、存在的问题及改进措施。增强职能设置科学合理性、部门中长期财政规划适应性、年度工作计划科学完整性、年度绩效目标明确性、年度部门预算计划科学性，规划部门预算执行管理、内部制度管理，切实提高部门产出及效益。</w:t>
      </w:r>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43" w:name="_Toc28604"/>
      <w:bookmarkStart w:id="44" w:name="_Toc5525"/>
      <w:r>
        <w:rPr>
          <w:rFonts w:hint="default" w:ascii="Arial" w:hAnsi="Arial" w:eastAsia="楷体" w:cstheme="minorBidi"/>
          <w:b/>
          <w:kern w:val="2"/>
          <w:sz w:val="32"/>
          <w:szCs w:val="24"/>
          <w:lang w:val="en-US" w:eastAsia="zh-CN" w:bidi="ar-SA"/>
        </w:rPr>
        <w:t>（二）重点绩效评价工作过程</w:t>
      </w:r>
      <w:bookmarkEnd w:id="43"/>
      <w:bookmarkEnd w:id="44"/>
    </w:p>
    <w:p>
      <w:pPr>
        <w:bidi w:val="0"/>
        <w:ind w:firstLine="420"/>
        <w:rPr>
          <w:rFonts w:hint="default" w:ascii="Times New Roman" w:hAnsi="Times New Roman"/>
          <w:lang w:val="en-US" w:eastAsia="zh-CN"/>
        </w:rPr>
      </w:pPr>
      <w:r>
        <w:rPr>
          <w:rFonts w:hint="eastAsia" w:ascii="Times New Roman" w:hAnsi="Times New Roman"/>
          <w:lang w:val="en-US" w:eastAsia="zh-CN"/>
        </w:rPr>
        <w:t>参考《湖南省财政厅关于印发&lt;湖南省预算支出绩效评价管理办法&gt;的通知》（湘财绩〔2020〕7号）</w:t>
      </w:r>
      <w:r>
        <w:rPr>
          <w:rFonts w:hint="default" w:ascii="Times New Roman" w:hAnsi="Times New Roman"/>
          <w:lang w:val="en-US" w:eastAsia="zh-CN"/>
        </w:rPr>
        <w:t>的要求和相关政策规定，我所按下列步骤开展了绩效评价工作：</w:t>
      </w:r>
    </w:p>
    <w:p>
      <w:pPr>
        <w:numPr>
          <w:ilvl w:val="0"/>
          <w:numId w:val="0"/>
        </w:numPr>
        <w:ind w:firstLine="602"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bCs/>
          <w:sz w:val="30"/>
          <w:szCs w:val="30"/>
          <w:lang w:val="en-US" w:eastAsia="zh-CN"/>
        </w:rPr>
        <w:t>1、前期准备。</w:t>
      </w:r>
      <w:r>
        <w:rPr>
          <w:rFonts w:hint="default" w:ascii="Times New Roman" w:hAnsi="Times New Roman"/>
          <w:lang w:val="en-US" w:eastAsia="zh-CN"/>
        </w:rPr>
        <w:t>专人成立重点绩效评价工作小组，明确了工作职责，制定了现场评价方案，并设计了相关表格，通过联系相关单位，确定了绩效评价的实施时间。</w:t>
      </w:r>
    </w:p>
    <w:p>
      <w:pPr>
        <w:numPr>
          <w:ilvl w:val="0"/>
          <w:numId w:val="0"/>
        </w:numPr>
        <w:ind w:firstLine="602" w:firstLineChars="200"/>
        <w:jc w:val="both"/>
        <w:rPr>
          <w:rFonts w:hint="default" w:ascii="Times New Roman" w:hAnsi="Times New Roman"/>
          <w:lang w:val="en-US" w:eastAsia="zh-CN"/>
        </w:rPr>
      </w:pPr>
      <w:r>
        <w:rPr>
          <w:rFonts w:hint="default" w:ascii="Times New Roman Regular" w:hAnsi="Times New Roman Regular" w:eastAsia="仿宋" w:cs="Times New Roman Regular"/>
          <w:b/>
          <w:bCs/>
          <w:sz w:val="30"/>
          <w:szCs w:val="30"/>
          <w:lang w:val="en-US" w:eastAsia="zh-CN"/>
        </w:rPr>
        <w:t>2、具体实施。</w:t>
      </w:r>
      <w:r>
        <w:rPr>
          <w:rFonts w:hint="default" w:ascii="Times New Roman" w:hAnsi="Times New Roman"/>
          <w:lang w:val="en-US" w:eastAsia="zh-CN"/>
        </w:rPr>
        <w:t>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通关与相关负责人员面对面交谈、现场查看区</w:t>
      </w:r>
      <w:r>
        <w:rPr>
          <w:rFonts w:hint="eastAsia" w:ascii="Times New Roman" w:hAnsi="Times New Roman"/>
          <w:lang w:val="en-US" w:eastAsia="zh-CN"/>
        </w:rPr>
        <w:t>特色文化服务业发展中心</w:t>
      </w:r>
      <w:r>
        <w:rPr>
          <w:rFonts w:hint="default" w:ascii="Times New Roman" w:hAnsi="Times New Roman"/>
          <w:lang w:val="en-US" w:eastAsia="zh-CN"/>
        </w:rPr>
        <w:t>单位专项项目实施等方式，采集了相关数据，核查了资金使用、相关制度落实等情况；三是形成评价报告。通过对相关资料进行综合分析，按照确定的评价指标和标准，结合现场评价情况，得出评价结论，形成绩效评价报告。</w:t>
      </w:r>
    </w:p>
    <w:p>
      <w:pPr>
        <w:numPr>
          <w:ilvl w:val="0"/>
          <w:numId w:val="0"/>
        </w:numPr>
        <w:ind w:firstLine="643" w:firstLineChars="200"/>
        <w:jc w:val="both"/>
        <w:outlineLvl w:val="0"/>
        <w:rPr>
          <w:rFonts w:hint="default" w:ascii="Times New Roman" w:hAnsi="Times New Roman" w:eastAsia="黑体" w:cstheme="minorBidi"/>
          <w:b/>
          <w:kern w:val="44"/>
          <w:sz w:val="32"/>
          <w:szCs w:val="24"/>
          <w:lang w:val="en-US" w:eastAsia="zh-CN" w:bidi="ar-SA"/>
        </w:rPr>
      </w:pPr>
      <w:bookmarkStart w:id="45" w:name="_Toc13440"/>
      <w:bookmarkStart w:id="46" w:name="_Toc27345"/>
      <w:r>
        <w:rPr>
          <w:rFonts w:hint="default" w:ascii="Times New Roman" w:hAnsi="Times New Roman" w:eastAsia="黑体" w:cstheme="minorBidi"/>
          <w:b/>
          <w:kern w:val="44"/>
          <w:sz w:val="32"/>
          <w:szCs w:val="24"/>
          <w:lang w:val="en-US" w:eastAsia="zh-CN" w:bidi="ar-SA"/>
        </w:rPr>
        <w:t>五、部门整体支出绩效情况</w:t>
      </w:r>
      <w:bookmarkEnd w:id="45"/>
      <w:bookmarkEnd w:id="46"/>
    </w:p>
    <w:p>
      <w:pPr>
        <w:numPr>
          <w:ilvl w:val="0"/>
          <w:numId w:val="0"/>
        </w:numPr>
        <w:ind w:firstLine="643" w:firstLineChars="200"/>
        <w:jc w:val="both"/>
        <w:outlineLvl w:val="1"/>
        <w:rPr>
          <w:rFonts w:hint="default" w:ascii="Times New Roman Regular" w:hAnsi="Times New Roman Regular" w:eastAsia="仿宋" w:cs="Times New Roman Regular"/>
          <w:b w:val="0"/>
          <w:bCs w:val="0"/>
          <w:sz w:val="31"/>
          <w:szCs w:val="31"/>
          <w:lang w:val="en-US" w:eastAsia="zh-CN"/>
        </w:rPr>
      </w:pPr>
      <w:bookmarkStart w:id="47" w:name="_Toc21733"/>
      <w:bookmarkStart w:id="48" w:name="_Toc12408"/>
      <w:r>
        <w:rPr>
          <w:rFonts w:hint="default" w:ascii="Arial" w:hAnsi="Arial" w:eastAsia="楷体" w:cstheme="minorBidi"/>
          <w:b/>
          <w:kern w:val="2"/>
          <w:sz w:val="32"/>
          <w:szCs w:val="24"/>
          <w:lang w:val="en-US" w:eastAsia="zh-CN" w:bidi="ar-SA"/>
        </w:rPr>
        <w:t>（一）部门整体实际产出情况</w:t>
      </w:r>
      <w:bookmarkEnd w:id="47"/>
      <w:bookmarkEnd w:id="48"/>
    </w:p>
    <w:p>
      <w:pPr>
        <w:bidi w:val="0"/>
        <w:rPr>
          <w:rFonts w:hint="eastAsia"/>
          <w:lang w:val="en-US" w:eastAsia="zh-CN"/>
        </w:rPr>
      </w:pPr>
      <w:r>
        <w:rPr>
          <w:rFonts w:hint="eastAsia"/>
          <w:lang w:val="en-US" w:eastAsia="zh-CN"/>
        </w:rPr>
        <w:t>1、外出调研1次，学习先进的现代服务业产业发展基本情况。</w:t>
      </w:r>
    </w:p>
    <w:p>
      <w:pPr>
        <w:bidi w:val="0"/>
        <w:rPr>
          <w:rFonts w:hint="eastAsia"/>
          <w:lang w:val="en-US" w:eastAsia="zh-CN"/>
        </w:rPr>
      </w:pPr>
      <w:r>
        <w:rPr>
          <w:rFonts w:hint="eastAsia"/>
          <w:lang w:val="en-US" w:eastAsia="zh-CN"/>
        </w:rPr>
        <w:t>2、做好广厦文创园推介；摸底企业，建立数据库；</w:t>
      </w:r>
    </w:p>
    <w:p>
      <w:pPr>
        <w:bidi w:val="0"/>
        <w:rPr>
          <w:rFonts w:hint="eastAsia"/>
          <w:lang w:val="en-US" w:eastAsia="zh-CN"/>
        </w:rPr>
      </w:pPr>
      <w:r>
        <w:rPr>
          <w:rFonts w:hint="eastAsia"/>
          <w:lang w:val="en-US" w:eastAsia="zh-CN"/>
        </w:rPr>
        <w:t>3、重点工作办结率100%。</w:t>
      </w:r>
    </w:p>
    <w:p>
      <w:pPr>
        <w:bidi w:val="0"/>
        <w:rPr>
          <w:rFonts w:hint="eastAsia"/>
          <w:lang w:val="en-US" w:eastAsia="zh-CN"/>
        </w:rPr>
      </w:pPr>
      <w:r>
        <w:rPr>
          <w:rFonts w:hint="eastAsia"/>
          <w:lang w:val="en-US" w:eastAsia="zh-CN"/>
        </w:rPr>
        <w:t>4、各项业务经费未超出预算，未超支审批。</w:t>
      </w:r>
    </w:p>
    <w:p>
      <w:pPr>
        <w:numPr>
          <w:ilvl w:val="0"/>
          <w:numId w:val="0"/>
        </w:numPr>
        <w:ind w:firstLine="643" w:firstLineChars="200"/>
        <w:outlineLvl w:val="1"/>
        <w:rPr>
          <w:rFonts w:hint="default" w:ascii="Arial" w:hAnsi="Arial" w:eastAsia="楷体" w:cstheme="minorBidi"/>
          <w:b/>
          <w:kern w:val="2"/>
          <w:sz w:val="32"/>
          <w:szCs w:val="24"/>
          <w:lang w:val="en-US" w:eastAsia="zh-CN" w:bidi="ar-SA"/>
        </w:rPr>
      </w:pPr>
      <w:bookmarkStart w:id="49" w:name="_Toc25915"/>
      <w:r>
        <w:rPr>
          <w:rFonts w:hint="eastAsia" w:ascii="Arial" w:hAnsi="Arial" w:eastAsia="楷体" w:cstheme="minorBidi"/>
          <w:b/>
          <w:kern w:val="2"/>
          <w:sz w:val="32"/>
          <w:szCs w:val="24"/>
          <w:lang w:val="en-US" w:eastAsia="zh-CN" w:bidi="ar-SA"/>
        </w:rPr>
        <w:t>（二）</w:t>
      </w:r>
      <w:r>
        <w:rPr>
          <w:rFonts w:hint="default" w:ascii="Arial" w:hAnsi="Arial" w:eastAsia="楷体" w:cstheme="minorBidi"/>
          <w:b/>
          <w:kern w:val="2"/>
          <w:sz w:val="32"/>
          <w:szCs w:val="24"/>
          <w:lang w:val="en-US" w:eastAsia="zh-CN" w:bidi="ar-SA"/>
        </w:rPr>
        <w:t>部门整体效益情况</w:t>
      </w:r>
      <w:bookmarkEnd w:id="49"/>
    </w:p>
    <w:p>
      <w:pPr>
        <w:bidi w:val="0"/>
        <w:rPr>
          <w:rFonts w:hint="eastAsia"/>
          <w:lang w:val="en-US" w:eastAsia="zh-CN"/>
        </w:rPr>
      </w:pPr>
      <w:r>
        <w:rPr>
          <w:rFonts w:hint="eastAsia"/>
          <w:lang w:val="en-US" w:eastAsia="zh-CN"/>
        </w:rPr>
        <w:t>1、助力广厦文创园顺利推进。广厦文创园于5月29日开始试营业，我中心负责人随区委常委、宣传部部长朱祥国、副区长区可馨一行先实地考察了园区营业状况，后与企业负责人面对面洽谈交流， 点对点了解商户入驻面临的实际困难，根据实际问题针对性的实行助企方案。6月18日，广厦文创园正式开园。</w:t>
      </w:r>
    </w:p>
    <w:p>
      <w:pPr>
        <w:bidi w:val="0"/>
        <w:rPr>
          <w:rFonts w:hint="default"/>
          <w:lang w:val="en-US" w:eastAsia="zh-CN"/>
        </w:rPr>
      </w:pPr>
      <w:r>
        <w:rPr>
          <w:rFonts w:hint="eastAsia"/>
          <w:lang w:val="en-US" w:eastAsia="zh-CN"/>
        </w:rPr>
        <w:t>2、制定帮扶政策，助力北塔服务业发展。一是为发挥现代服务业在“四区二城”战略中的作用，构建“高增值、强辐射、广就业”的现代服务业体系，实现现代服务业增加值快速增长，起草《2022年度北塔区现代服务业发展奖补资金申报管理办法（初稿）》。二是通过策划公司对产业园的发展条件、发展意义、总体思路、规划布局和保障措施进行了详细的调研，形成了《邵阳市北塔区发展现代服务业集聚区可行性分析报告》（讨论初稿）。</w:t>
      </w:r>
    </w:p>
    <w:p>
      <w:pPr>
        <w:numPr>
          <w:ilvl w:val="0"/>
          <w:numId w:val="0"/>
        </w:numPr>
        <w:ind w:firstLine="643" w:firstLineChars="200"/>
        <w:jc w:val="both"/>
        <w:outlineLvl w:val="1"/>
        <w:rPr>
          <w:rFonts w:hint="default" w:ascii="Arial" w:hAnsi="Arial" w:eastAsia="楷体" w:cstheme="minorBidi"/>
          <w:b/>
          <w:kern w:val="2"/>
          <w:sz w:val="32"/>
          <w:szCs w:val="24"/>
          <w:lang w:val="en-US" w:eastAsia="zh-CN" w:bidi="ar-SA"/>
        </w:rPr>
      </w:pPr>
      <w:bookmarkStart w:id="50" w:name="_Toc655"/>
      <w:bookmarkStart w:id="51" w:name="_Toc30330"/>
      <w:r>
        <w:rPr>
          <w:rFonts w:hint="default" w:ascii="Arial" w:hAnsi="Arial" w:eastAsia="楷体" w:cstheme="minorBidi"/>
          <w:b/>
          <w:kern w:val="2"/>
          <w:sz w:val="32"/>
          <w:szCs w:val="24"/>
          <w:lang w:val="en-US" w:eastAsia="zh-CN" w:bidi="ar-SA"/>
        </w:rPr>
        <w:t>（</w:t>
      </w:r>
      <w:r>
        <w:rPr>
          <w:rFonts w:hint="eastAsia" w:ascii="Arial" w:hAnsi="Arial" w:eastAsia="楷体" w:cstheme="minorBidi"/>
          <w:b/>
          <w:kern w:val="2"/>
          <w:sz w:val="32"/>
          <w:szCs w:val="24"/>
          <w:lang w:val="en-US" w:eastAsia="zh-CN" w:bidi="ar-SA"/>
        </w:rPr>
        <w:t>三</w:t>
      </w:r>
      <w:r>
        <w:rPr>
          <w:rFonts w:hint="default" w:ascii="Arial" w:hAnsi="Arial" w:eastAsia="楷体" w:cstheme="minorBidi"/>
          <w:b/>
          <w:kern w:val="2"/>
          <w:sz w:val="32"/>
          <w:szCs w:val="24"/>
          <w:lang w:val="en-US" w:eastAsia="zh-CN" w:bidi="ar-SA"/>
        </w:rPr>
        <w:t>）部门整体满意度</w:t>
      </w:r>
      <w:bookmarkEnd w:id="50"/>
      <w:bookmarkEnd w:id="51"/>
    </w:p>
    <w:p>
      <w:pPr>
        <w:bidi w:val="0"/>
        <w:rPr>
          <w:rFonts w:hint="default"/>
          <w:highlight w:val="none"/>
          <w:lang w:val="en-US" w:eastAsia="zh-CN"/>
        </w:rPr>
      </w:pPr>
      <w:r>
        <w:rPr>
          <w:rFonts w:hint="default"/>
          <w:lang w:val="en-US" w:eastAsia="zh-CN"/>
        </w:rPr>
        <w:t>绩效评价小组针对</w:t>
      </w:r>
      <w:r>
        <w:rPr>
          <w:rFonts w:hint="eastAsia"/>
          <w:lang w:val="en-US" w:eastAsia="zh-CN"/>
        </w:rPr>
        <w:t>邵阳</w:t>
      </w:r>
      <w:r>
        <w:rPr>
          <w:rFonts w:hint="default"/>
          <w:lang w:val="en-US" w:eastAsia="zh-CN"/>
        </w:rPr>
        <w:t>市</w:t>
      </w:r>
      <w:r>
        <w:rPr>
          <w:rFonts w:hint="eastAsia"/>
          <w:lang w:val="en-US" w:eastAsia="zh-CN"/>
        </w:rPr>
        <w:t>北塔</w:t>
      </w:r>
      <w:r>
        <w:rPr>
          <w:rFonts w:hint="default"/>
          <w:lang w:val="en-US" w:eastAsia="zh-CN"/>
        </w:rPr>
        <w:t>区</w:t>
      </w:r>
      <w:r>
        <w:rPr>
          <w:rFonts w:hint="eastAsia"/>
          <w:lang w:val="en-US" w:eastAsia="zh-CN"/>
        </w:rPr>
        <w:t>特色文化服务业发展中心</w:t>
      </w:r>
      <w:r>
        <w:rPr>
          <w:rFonts w:hint="default"/>
          <w:lang w:val="en-US" w:eastAsia="zh-CN"/>
        </w:rPr>
        <w:t>整体情况通过现场向管理人员、群众发放问卷进行满意度调查，共收集有效问卷</w:t>
      </w:r>
      <w:r>
        <w:rPr>
          <w:rFonts w:hint="eastAsia"/>
          <w:highlight w:val="none"/>
          <w:lang w:val="en-US" w:eastAsia="zh-CN"/>
        </w:rPr>
        <w:t>30</w:t>
      </w:r>
      <w:r>
        <w:rPr>
          <w:rFonts w:hint="default"/>
          <w:highlight w:val="none"/>
          <w:lang w:val="en-US" w:eastAsia="zh-CN"/>
        </w:rPr>
        <w:t>份。经统计，2022年</w:t>
      </w:r>
      <w:r>
        <w:rPr>
          <w:rFonts w:hint="eastAsia"/>
          <w:highlight w:val="none"/>
          <w:lang w:val="en-US" w:eastAsia="zh-CN"/>
        </w:rPr>
        <w:t>邵阳</w:t>
      </w:r>
      <w:r>
        <w:rPr>
          <w:rFonts w:hint="default"/>
          <w:highlight w:val="none"/>
          <w:lang w:val="en-US" w:eastAsia="zh-CN"/>
        </w:rPr>
        <w:t>市</w:t>
      </w:r>
      <w:r>
        <w:rPr>
          <w:rFonts w:hint="eastAsia"/>
          <w:highlight w:val="none"/>
          <w:lang w:val="en-US" w:eastAsia="zh-CN"/>
        </w:rPr>
        <w:t>北塔</w:t>
      </w:r>
      <w:r>
        <w:rPr>
          <w:rFonts w:hint="default"/>
          <w:highlight w:val="none"/>
          <w:lang w:val="en-US" w:eastAsia="zh-CN"/>
        </w:rPr>
        <w:t>区</w:t>
      </w:r>
      <w:r>
        <w:rPr>
          <w:rFonts w:hint="eastAsia"/>
          <w:highlight w:val="none"/>
          <w:lang w:val="en-US" w:eastAsia="zh-CN"/>
        </w:rPr>
        <w:t>特色文化服务业发展中心</w:t>
      </w:r>
      <w:r>
        <w:rPr>
          <w:rFonts w:hint="default"/>
          <w:highlight w:val="none"/>
          <w:lang w:val="en-US" w:eastAsia="zh-CN"/>
        </w:rPr>
        <w:t>整体满意度为</w:t>
      </w:r>
      <w:r>
        <w:rPr>
          <w:rFonts w:hint="eastAsia"/>
          <w:highlight w:val="none"/>
          <w:lang w:val="en-US" w:eastAsia="zh-CN"/>
        </w:rPr>
        <w:t>100.00</w:t>
      </w:r>
      <w:r>
        <w:rPr>
          <w:rFonts w:hint="default"/>
          <w:highlight w:val="none"/>
          <w:lang w:val="en-US" w:eastAsia="zh-CN"/>
        </w:rPr>
        <w:t>%。</w:t>
      </w:r>
    </w:p>
    <w:p>
      <w:pPr>
        <w:numPr>
          <w:ilvl w:val="0"/>
          <w:numId w:val="0"/>
        </w:numPr>
        <w:ind w:firstLine="643" w:firstLineChars="200"/>
        <w:jc w:val="both"/>
        <w:outlineLvl w:val="0"/>
        <w:rPr>
          <w:rFonts w:hint="default" w:ascii="Times New Roman" w:hAnsi="Times New Roman" w:eastAsia="黑体" w:cstheme="minorBidi"/>
          <w:b/>
          <w:kern w:val="44"/>
          <w:sz w:val="32"/>
          <w:szCs w:val="24"/>
          <w:lang w:val="en-US" w:eastAsia="zh-CN" w:bidi="ar-SA"/>
        </w:rPr>
      </w:pPr>
      <w:bookmarkStart w:id="52" w:name="_Toc12823"/>
      <w:bookmarkStart w:id="53" w:name="_Toc11462"/>
      <w:r>
        <w:rPr>
          <w:rFonts w:hint="default" w:ascii="Times New Roman" w:hAnsi="Times New Roman" w:eastAsia="黑体" w:cstheme="minorBidi"/>
          <w:b/>
          <w:kern w:val="44"/>
          <w:sz w:val="32"/>
          <w:szCs w:val="24"/>
          <w:lang w:val="en-US" w:eastAsia="zh-CN" w:bidi="ar-SA"/>
        </w:rPr>
        <w:t>六、综合评价情况及评价结论</w:t>
      </w:r>
      <w:bookmarkEnd w:id="52"/>
      <w:bookmarkEnd w:id="53"/>
    </w:p>
    <w:p>
      <w:pPr>
        <w:numPr>
          <w:ilvl w:val="0"/>
          <w:numId w:val="0"/>
        </w:numPr>
        <w:ind w:firstLine="640" w:firstLineChars="200"/>
        <w:jc w:val="both"/>
        <w:outlineLvl w:val="1"/>
        <w:rPr>
          <w:rFonts w:hint="eastAsia" w:ascii="Times New Roman Regular" w:hAnsi="Times New Roman Regular" w:eastAsia="仿宋" w:cs="Times New Roman Regular"/>
          <w:b w:val="0"/>
          <w:bCs w:val="0"/>
          <w:sz w:val="32"/>
          <w:szCs w:val="32"/>
          <w:highlight w:val="none"/>
          <w:lang w:val="en-US" w:eastAsia="zh-CN"/>
        </w:rPr>
      </w:pPr>
      <w:bookmarkStart w:id="54" w:name="_Toc30558"/>
      <w:r>
        <w:rPr>
          <w:rFonts w:hint="eastAsia" w:ascii="Times New Roman Regular" w:hAnsi="Times New Roman Regular" w:eastAsia="仿宋" w:cs="Times New Roman Regular"/>
          <w:b w:val="0"/>
          <w:bCs w:val="0"/>
          <w:sz w:val="32"/>
          <w:szCs w:val="32"/>
          <w:lang w:val="en-US" w:eastAsia="zh-CN"/>
        </w:rPr>
        <w:t>根据资金绩效评价指标体系和绩效检查情况，邵阳市北塔区特色文化服务业发展中心2022年度部门整体支出重点绩效评价分值100分，从部门决策、部门预算、内部制度管理、部门产出、部门效益等方面总体评价，</w:t>
      </w:r>
      <w:r>
        <w:rPr>
          <w:rFonts w:hint="eastAsia" w:ascii="Times New Roman Regular" w:hAnsi="Times New Roman Regular" w:eastAsia="仿宋" w:cs="Times New Roman Regular"/>
          <w:b w:val="0"/>
          <w:bCs w:val="0"/>
          <w:sz w:val="32"/>
          <w:szCs w:val="32"/>
          <w:highlight w:val="none"/>
          <w:lang w:val="en-US" w:eastAsia="zh-CN"/>
        </w:rPr>
        <w:t>实得</w:t>
      </w:r>
      <w:r>
        <w:rPr>
          <w:rFonts w:hint="eastAsia" w:ascii="Times New Roman Regular" w:hAnsi="Times New Roman Regular" w:cs="Times New Roman Regular"/>
          <w:b w:val="0"/>
          <w:bCs w:val="0"/>
          <w:sz w:val="32"/>
          <w:szCs w:val="32"/>
          <w:highlight w:val="none"/>
          <w:lang w:val="en-US" w:eastAsia="zh-CN"/>
        </w:rPr>
        <w:t>96.00</w:t>
      </w:r>
      <w:r>
        <w:rPr>
          <w:rFonts w:hint="eastAsia" w:ascii="Times New Roman Regular" w:hAnsi="Times New Roman Regular" w:eastAsia="仿宋" w:cs="Times New Roman Regular"/>
          <w:b w:val="0"/>
          <w:bCs w:val="0"/>
          <w:sz w:val="32"/>
          <w:szCs w:val="32"/>
          <w:highlight w:val="none"/>
          <w:lang w:val="en-US" w:eastAsia="zh-CN"/>
        </w:rPr>
        <w:t>分，被评为“</w:t>
      </w:r>
      <w:r>
        <w:rPr>
          <w:rFonts w:hint="eastAsia" w:ascii="Times New Roman Regular" w:hAnsi="Times New Roman Regular" w:cs="Times New Roman Regular"/>
          <w:b w:val="0"/>
          <w:bCs w:val="0"/>
          <w:sz w:val="32"/>
          <w:szCs w:val="32"/>
          <w:highlight w:val="none"/>
          <w:lang w:val="en-US" w:eastAsia="zh-CN"/>
        </w:rPr>
        <w:t>优</w:t>
      </w:r>
      <w:r>
        <w:rPr>
          <w:rFonts w:hint="eastAsia" w:ascii="Times New Roman Regular" w:hAnsi="Times New Roman Regular" w:eastAsia="仿宋" w:cs="Times New Roman Regular"/>
          <w:b w:val="0"/>
          <w:bCs w:val="0"/>
          <w:sz w:val="32"/>
          <w:szCs w:val="32"/>
          <w:highlight w:val="none"/>
          <w:lang w:val="en-US" w:eastAsia="zh-CN"/>
        </w:rPr>
        <w:t>”等级</w:t>
      </w:r>
      <w:r>
        <w:rPr>
          <w:rFonts w:hint="eastAsia" w:ascii="Times New Roman Regular" w:hAnsi="Times New Roman Regular"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详见附件</w:t>
      </w:r>
      <w:r>
        <w:rPr>
          <w:rFonts w:hint="eastAsia" w:ascii="Times New Roman Regular" w:hAnsi="Times New Roman Regular"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w:t>
      </w:r>
      <w:bookmarkEnd w:id="54"/>
    </w:p>
    <w:p>
      <w:pPr>
        <w:numPr>
          <w:ilvl w:val="0"/>
          <w:numId w:val="0"/>
        </w:numPr>
        <w:ind w:firstLine="643" w:firstLineChars="200"/>
        <w:jc w:val="both"/>
        <w:outlineLvl w:val="0"/>
        <w:rPr>
          <w:rFonts w:hint="default" w:ascii="Arial" w:hAnsi="Arial" w:eastAsia="楷体" w:cstheme="minorBidi"/>
          <w:b/>
          <w:kern w:val="2"/>
          <w:sz w:val="32"/>
          <w:szCs w:val="24"/>
          <w:lang w:val="en-US" w:eastAsia="zh-CN" w:bidi="ar-SA"/>
        </w:rPr>
      </w:pPr>
      <w:bookmarkStart w:id="55" w:name="_Toc11429"/>
      <w:bookmarkStart w:id="56" w:name="_Toc459"/>
      <w:r>
        <w:rPr>
          <w:rFonts w:hint="default" w:ascii="Times New Roman" w:hAnsi="Times New Roman" w:eastAsia="黑体" w:cstheme="minorBidi"/>
          <w:b/>
          <w:kern w:val="44"/>
          <w:sz w:val="32"/>
          <w:szCs w:val="24"/>
          <w:lang w:val="en-US" w:eastAsia="zh-CN" w:bidi="ar-SA"/>
        </w:rPr>
        <w:t>七、存在的主要问题</w:t>
      </w:r>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Arial" w:hAnsi="Arial" w:eastAsia="楷体" w:cstheme="minorBidi"/>
          <w:b/>
          <w:kern w:val="2"/>
          <w:sz w:val="32"/>
          <w:szCs w:val="24"/>
          <w:lang w:val="en-US" w:eastAsia="zh-CN" w:bidi="ar-SA"/>
        </w:rPr>
      </w:pPr>
      <w:bookmarkStart w:id="57" w:name="_Toc16044"/>
      <w:bookmarkStart w:id="58" w:name="_Toc9046"/>
      <w:r>
        <w:rPr>
          <w:rFonts w:hint="default" w:ascii="Arial" w:hAnsi="Arial" w:eastAsia="楷体" w:cstheme="minorBidi"/>
          <w:b/>
          <w:kern w:val="2"/>
          <w:sz w:val="32"/>
          <w:szCs w:val="24"/>
          <w:lang w:val="en-US" w:eastAsia="zh-CN" w:bidi="ar-SA"/>
        </w:rPr>
        <w:t>（</w:t>
      </w:r>
      <w:r>
        <w:rPr>
          <w:rFonts w:hint="eastAsia" w:ascii="Arial" w:hAnsi="Arial" w:eastAsia="楷体" w:cstheme="minorBidi"/>
          <w:b/>
          <w:kern w:val="2"/>
          <w:sz w:val="32"/>
          <w:szCs w:val="24"/>
          <w:lang w:val="en-US" w:eastAsia="zh-CN" w:bidi="ar-SA"/>
        </w:rPr>
        <w:t>一</w:t>
      </w:r>
      <w:r>
        <w:rPr>
          <w:rFonts w:hint="default" w:ascii="Arial" w:hAnsi="Arial" w:eastAsia="楷体" w:cstheme="minorBidi"/>
          <w:b/>
          <w:kern w:val="2"/>
          <w:sz w:val="32"/>
          <w:szCs w:val="24"/>
          <w:lang w:val="en-US" w:eastAsia="zh-CN" w:bidi="ar-SA"/>
        </w:rPr>
        <w:t>）</w:t>
      </w:r>
      <w:r>
        <w:rPr>
          <w:rFonts w:hint="eastAsia" w:ascii="Arial" w:hAnsi="Arial" w:eastAsia="楷体" w:cstheme="minorBidi"/>
          <w:b/>
          <w:kern w:val="2"/>
          <w:sz w:val="32"/>
          <w:szCs w:val="24"/>
          <w:lang w:val="en-US" w:eastAsia="zh-CN" w:bidi="ar-SA"/>
        </w:rPr>
        <w:t>财务</w:t>
      </w:r>
      <w:r>
        <w:rPr>
          <w:rFonts w:hint="default" w:ascii="Arial" w:hAnsi="Arial" w:eastAsia="楷体" w:cstheme="minorBidi"/>
          <w:b/>
          <w:kern w:val="2"/>
          <w:sz w:val="32"/>
          <w:szCs w:val="24"/>
          <w:lang w:val="en-US" w:eastAsia="zh-CN" w:bidi="ar-SA"/>
        </w:rPr>
        <w:t>管理方面</w:t>
      </w:r>
      <w:bookmarkEnd w:id="57"/>
      <w:bookmarkEnd w:id="58"/>
    </w:p>
    <w:p>
      <w:pPr>
        <w:numPr>
          <w:ilvl w:val="0"/>
          <w:numId w:val="0"/>
        </w:numPr>
        <w:ind w:firstLine="643" w:firstLineChars="200"/>
        <w:jc w:val="both"/>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bCs/>
          <w:sz w:val="32"/>
          <w:szCs w:val="32"/>
          <w:lang w:val="en-US" w:eastAsia="zh-CN"/>
        </w:rPr>
        <w:t>跨期报账</w:t>
      </w:r>
      <w:r>
        <w:rPr>
          <w:rFonts w:hint="eastAsia" w:ascii="Times New Roman Regular" w:hAnsi="Times New Roman Regular" w:cs="Times New Roman Regular"/>
          <w:b/>
          <w:bCs/>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经查看特色文化服务业发展中心2022年1月6#凭证，付装饰装修设计施工费3.37万元，附件中发票日期为2021年11月，该笔款项于2022年1月21日支付。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Arial" w:hAnsi="Arial" w:eastAsia="楷体" w:cstheme="minorBidi"/>
          <w:b/>
          <w:kern w:val="2"/>
          <w:sz w:val="32"/>
          <w:szCs w:val="24"/>
          <w:lang w:val="en-US" w:eastAsia="zh-CN" w:bidi="ar-SA"/>
        </w:rPr>
      </w:pPr>
      <w:bookmarkStart w:id="59" w:name="_Toc21436"/>
      <w:r>
        <w:rPr>
          <w:rFonts w:hint="eastAsia" w:ascii="Arial" w:hAnsi="Arial" w:eastAsia="楷体" w:cstheme="minorBidi"/>
          <w:b/>
          <w:kern w:val="2"/>
          <w:sz w:val="32"/>
          <w:szCs w:val="24"/>
          <w:lang w:val="en-US" w:eastAsia="zh-CN" w:bidi="ar-SA"/>
        </w:rPr>
        <w:t>（二）资产管理方面</w:t>
      </w:r>
      <w:bookmarkEnd w:id="59"/>
    </w:p>
    <w:p>
      <w:pPr>
        <w:bidi w:val="0"/>
        <w:rPr>
          <w:rFonts w:hint="default"/>
          <w:lang w:val="en-US" w:eastAsia="zh-CN"/>
        </w:rPr>
      </w:pPr>
      <w:r>
        <w:rPr>
          <w:rFonts w:hint="eastAsia"/>
          <w:b/>
          <w:bCs/>
          <w:lang w:val="en-US" w:eastAsia="zh-CN"/>
        </w:rPr>
        <w:t>资产管理不规范。</w:t>
      </w:r>
      <w:r>
        <w:rPr>
          <w:rFonts w:hint="eastAsia"/>
          <w:lang w:val="en-US" w:eastAsia="zh-CN"/>
        </w:rPr>
        <w:t>经现场检查单位资产，一是资产均未贴标，且大部分资产在资产卡片列表中未写明资产存放位置，不利于单位资产管理；二是由于管理不善原因导致2个书柜丢失，三是未对资产进行分类。</w:t>
      </w:r>
    </w:p>
    <w:p>
      <w:pPr>
        <w:numPr>
          <w:ilvl w:val="0"/>
          <w:numId w:val="0"/>
        </w:numPr>
        <w:ind w:firstLine="643" w:firstLineChars="200"/>
        <w:jc w:val="both"/>
        <w:outlineLvl w:val="0"/>
        <w:rPr>
          <w:rFonts w:hint="default" w:ascii="Times New Roman" w:hAnsi="Times New Roman" w:eastAsia="黑体" w:cstheme="minorBidi"/>
          <w:b/>
          <w:kern w:val="44"/>
          <w:sz w:val="32"/>
          <w:szCs w:val="24"/>
          <w:lang w:val="en-US" w:eastAsia="zh-CN" w:bidi="ar-SA"/>
        </w:rPr>
      </w:pPr>
      <w:bookmarkStart w:id="60" w:name="_Toc5667"/>
      <w:bookmarkStart w:id="61" w:name="_Toc10967"/>
      <w:r>
        <w:rPr>
          <w:rFonts w:hint="eastAsia" w:ascii="Times New Roman" w:hAnsi="Times New Roman" w:eastAsia="黑体" w:cstheme="minorBidi"/>
          <w:b/>
          <w:kern w:val="44"/>
          <w:sz w:val="32"/>
          <w:szCs w:val="24"/>
          <w:lang w:val="en-US" w:eastAsia="zh-CN" w:bidi="ar-SA"/>
        </w:rPr>
        <w:t>八、</w:t>
      </w:r>
      <w:r>
        <w:rPr>
          <w:rFonts w:hint="default" w:ascii="Times New Roman" w:hAnsi="Times New Roman" w:eastAsia="黑体" w:cstheme="minorBidi"/>
          <w:b/>
          <w:kern w:val="44"/>
          <w:sz w:val="32"/>
          <w:szCs w:val="24"/>
          <w:lang w:val="en-US" w:eastAsia="zh-CN" w:bidi="ar-SA"/>
        </w:rPr>
        <w:t>相关建议</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Arial" w:hAnsi="Arial" w:eastAsia="楷体" w:cstheme="minorBidi"/>
          <w:b/>
          <w:kern w:val="2"/>
          <w:sz w:val="32"/>
          <w:szCs w:val="24"/>
          <w:lang w:val="en-US" w:eastAsia="zh-CN" w:bidi="ar-SA"/>
        </w:rPr>
      </w:pPr>
      <w:bookmarkStart w:id="62" w:name="_Toc28578"/>
      <w:r>
        <w:rPr>
          <w:rFonts w:hint="eastAsia" w:ascii="Arial" w:hAnsi="Arial" w:eastAsia="楷体" w:cstheme="minorBidi"/>
          <w:b/>
          <w:kern w:val="2"/>
          <w:sz w:val="32"/>
          <w:szCs w:val="24"/>
          <w:lang w:val="en-US" w:eastAsia="zh-CN" w:bidi="ar-SA"/>
        </w:rPr>
        <w:t>（一）加强资金支付管理</w:t>
      </w:r>
      <w:bookmarkEnd w:id="62"/>
    </w:p>
    <w:p>
      <w:pPr>
        <w:pStyle w:val="10"/>
        <w:spacing w:line="600" w:lineRule="exact"/>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建议</w:t>
      </w:r>
      <w:r>
        <w:rPr>
          <w:rFonts w:hint="eastAsia" w:ascii="Times New Roman" w:hAnsi="Times New Roman" w:eastAsia="仿宋_GB2312"/>
          <w:sz w:val="32"/>
          <w:szCs w:val="32"/>
          <w:lang w:val="en-US" w:eastAsia="zh-CN"/>
        </w:rPr>
        <w:t>单位进一步规范报账流程，如确定报账的时限，设定每月或每季度的报账截止日期，对于迟交报账的人员，应及时予以通知，确保按期报账，如实反映单位当期费用发生情况</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Arial" w:hAnsi="Arial" w:eastAsia="楷体" w:cstheme="minorBidi"/>
          <w:b/>
          <w:kern w:val="2"/>
          <w:sz w:val="32"/>
          <w:szCs w:val="24"/>
          <w:lang w:val="en-US" w:eastAsia="zh-CN" w:bidi="ar-SA"/>
        </w:rPr>
      </w:pPr>
      <w:bookmarkStart w:id="63" w:name="_Toc3969"/>
      <w:bookmarkStart w:id="64" w:name="_Toc7594"/>
      <w:r>
        <w:rPr>
          <w:rFonts w:hint="eastAsia" w:ascii="Arial" w:hAnsi="Arial" w:eastAsia="楷体" w:cstheme="minorBidi"/>
          <w:b/>
          <w:kern w:val="2"/>
          <w:sz w:val="32"/>
          <w:szCs w:val="24"/>
          <w:lang w:val="en-US" w:eastAsia="zh-CN" w:bidi="ar-SA"/>
        </w:rPr>
        <w:t>（二）规范资产管理</w:t>
      </w:r>
      <w:bookmarkEnd w:id="63"/>
    </w:p>
    <w:p>
      <w:pPr>
        <w:bidi w:val="0"/>
        <w:ind w:firstLine="420"/>
        <w:rPr>
          <w:rFonts w:hint="default" w:ascii="Times New Roman" w:hAnsi="Times New Roman"/>
          <w:lang w:val="en-US" w:eastAsia="zh-CN"/>
        </w:rPr>
      </w:pPr>
      <w:r>
        <w:rPr>
          <w:rFonts w:hint="default" w:ascii="Times New Roman" w:hAnsi="Times New Roman"/>
          <w:lang w:val="en-US" w:eastAsia="zh-CN"/>
        </w:rPr>
        <w:t>建议</w:t>
      </w:r>
      <w:r>
        <w:rPr>
          <w:rFonts w:hint="eastAsia" w:ascii="Times New Roman" w:hAnsi="Times New Roman"/>
          <w:lang w:val="en-US" w:eastAsia="zh-CN"/>
        </w:rPr>
        <w:t>单位进一步</w:t>
      </w:r>
      <w:r>
        <w:rPr>
          <w:rFonts w:hint="default" w:ascii="Times New Roman" w:hAnsi="Times New Roman"/>
          <w:lang w:val="en-US" w:eastAsia="zh-CN"/>
        </w:rPr>
        <w:t>规范实物资产的管理，对</w:t>
      </w:r>
      <w:r>
        <w:rPr>
          <w:rFonts w:hint="eastAsia" w:ascii="Times New Roman" w:hAnsi="Times New Roman"/>
          <w:lang w:val="en-US" w:eastAsia="zh-CN"/>
        </w:rPr>
        <w:t>实物</w:t>
      </w:r>
      <w:r>
        <w:rPr>
          <w:rFonts w:hint="default" w:ascii="Times New Roman" w:hAnsi="Times New Roman"/>
          <w:lang w:val="en-US" w:eastAsia="zh-CN"/>
        </w:rPr>
        <w:t>资产进行定期或不定期的盘点，</w:t>
      </w:r>
      <w:r>
        <w:rPr>
          <w:rFonts w:hint="eastAsia" w:ascii="Times New Roman" w:hAnsi="Times New Roman"/>
          <w:lang w:val="en-US" w:eastAsia="zh-CN"/>
        </w:rPr>
        <w:t>对于资产分类、资产品牌、规格型号等资产信息录入错误的情况及时更正，</w:t>
      </w:r>
      <w:r>
        <w:rPr>
          <w:rFonts w:hint="default" w:ascii="Times New Roman" w:hAnsi="Times New Roman"/>
          <w:lang w:val="en-US" w:eastAsia="zh-CN"/>
        </w:rPr>
        <w:t>确保固定资产账实相符，对固定资产实行卡片管理，</w:t>
      </w:r>
      <w:r>
        <w:rPr>
          <w:rFonts w:hint="eastAsia" w:ascii="Times New Roman" w:hAnsi="Times New Roman"/>
          <w:lang w:val="en-US" w:eastAsia="zh-CN"/>
        </w:rPr>
        <w:t>每一个固定资产进行贴标，</w:t>
      </w:r>
      <w:r>
        <w:rPr>
          <w:rFonts w:hint="default" w:ascii="Times New Roman" w:hAnsi="Times New Roman"/>
          <w:lang w:val="en-US" w:eastAsia="zh-CN"/>
        </w:rPr>
        <w:t>明确使用部门及责任，确保国有资产的安全、完整。</w:t>
      </w:r>
    </w:p>
    <w:bookmarkEnd w:id="64"/>
    <w:p>
      <w:pPr>
        <w:numPr>
          <w:ilvl w:val="0"/>
          <w:numId w:val="0"/>
        </w:numPr>
        <w:ind w:firstLine="643" w:firstLineChars="200"/>
        <w:jc w:val="both"/>
        <w:outlineLvl w:val="0"/>
        <w:rPr>
          <w:rFonts w:hint="default" w:ascii="Times New Roman" w:hAnsi="Times New Roman" w:eastAsia="黑体" w:cstheme="minorBidi"/>
          <w:b/>
          <w:kern w:val="44"/>
          <w:sz w:val="32"/>
          <w:szCs w:val="24"/>
          <w:lang w:val="en-US" w:eastAsia="zh-CN" w:bidi="ar-SA"/>
        </w:rPr>
      </w:pPr>
      <w:bookmarkStart w:id="65" w:name="_Toc32752"/>
      <w:bookmarkStart w:id="66" w:name="_Toc1811"/>
      <w:r>
        <w:rPr>
          <w:rFonts w:hint="default" w:ascii="Times New Roman" w:hAnsi="Times New Roman" w:eastAsia="黑体" w:cstheme="minorBidi"/>
          <w:b/>
          <w:kern w:val="44"/>
          <w:sz w:val="32"/>
          <w:szCs w:val="24"/>
          <w:lang w:val="en-US" w:eastAsia="zh-CN" w:bidi="ar-SA"/>
        </w:rPr>
        <w:t>九、报告使用情况说明</w:t>
      </w:r>
      <w:bookmarkEnd w:id="65"/>
      <w:bookmarkEnd w:id="66"/>
    </w:p>
    <w:p>
      <w:pPr>
        <w:bidi w:val="0"/>
        <w:ind w:firstLine="420"/>
        <w:rPr>
          <w:rFonts w:hint="default" w:ascii="Times New Roman" w:hAnsi="Times New Roman"/>
          <w:lang w:val="en-US" w:eastAsia="zh-CN"/>
        </w:rPr>
      </w:pPr>
      <w:r>
        <w:rPr>
          <w:rFonts w:hint="default" w:ascii="Times New Roman" w:hAnsi="Times New Roman"/>
          <w:lang w:val="en-US" w:eastAsia="zh-CN"/>
        </w:rPr>
        <w:t>本报告仅供委托方了解部门整体支出绩效情况使用，亦可供</w:t>
      </w:r>
      <w:r>
        <w:rPr>
          <w:rFonts w:hint="eastAsia" w:ascii="Times New Roman" w:hAnsi="Times New Roman"/>
          <w:lang w:val="en-US" w:eastAsia="zh-CN"/>
        </w:rPr>
        <w:t>邵阳市北塔</w:t>
      </w:r>
      <w:r>
        <w:rPr>
          <w:rFonts w:hint="default" w:ascii="Times New Roman" w:hAnsi="Times New Roman"/>
          <w:lang w:val="en-US" w:eastAsia="zh-CN"/>
        </w:rPr>
        <w:t>区</w:t>
      </w:r>
      <w:r>
        <w:rPr>
          <w:rFonts w:hint="eastAsia" w:ascii="Times New Roman" w:hAnsi="Times New Roman"/>
          <w:lang w:val="en-US" w:eastAsia="zh-CN"/>
        </w:rPr>
        <w:t>特色文化服务业发展中心</w:t>
      </w:r>
      <w:r>
        <w:rPr>
          <w:rFonts w:hint="default" w:ascii="Times New Roman" w:hAnsi="Times New Roman"/>
          <w:lang w:val="en-US" w:eastAsia="zh-CN"/>
        </w:rPr>
        <w:t>加强部门整体绩效管理参考使用，非经委托方和本所许可，不得用于其他目的。</w:t>
      </w: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r>
        <w:rPr>
          <w:rFonts w:hint="default" w:ascii="Times New Roman" w:hAnsi="Times New Roman"/>
          <w:lang w:val="en-US" w:eastAsia="zh-CN"/>
        </w:rPr>
        <w:t>附件</w:t>
      </w:r>
      <w:r>
        <w:rPr>
          <w:rFonts w:hint="eastAsia"/>
          <w:lang w:val="en-US" w:eastAsia="zh-CN"/>
        </w:rPr>
        <w:t>1</w:t>
      </w:r>
      <w:r>
        <w:rPr>
          <w:rFonts w:hint="default" w:ascii="Times New Roman" w:hAnsi="Times New Roman"/>
          <w:lang w:val="en-US" w:eastAsia="zh-CN"/>
        </w:rPr>
        <w:t>：2022年度</w:t>
      </w:r>
      <w:r>
        <w:rPr>
          <w:rFonts w:hint="eastAsia" w:ascii="Times New Roman" w:hAnsi="Times New Roman"/>
          <w:lang w:val="en-US" w:eastAsia="zh-CN"/>
        </w:rPr>
        <w:t>邵阳</w:t>
      </w:r>
      <w:r>
        <w:rPr>
          <w:rFonts w:hint="default" w:ascii="Times New Roman" w:hAnsi="Times New Roman"/>
          <w:lang w:val="en-US" w:eastAsia="zh-CN"/>
        </w:rPr>
        <w:t>市</w:t>
      </w:r>
      <w:r>
        <w:rPr>
          <w:rFonts w:hint="eastAsia" w:ascii="Times New Roman" w:hAnsi="Times New Roman"/>
          <w:lang w:val="en-US" w:eastAsia="zh-CN"/>
        </w:rPr>
        <w:t>北塔</w:t>
      </w:r>
      <w:r>
        <w:rPr>
          <w:rFonts w:hint="default" w:ascii="Times New Roman" w:hAnsi="Times New Roman"/>
          <w:lang w:val="en-US" w:eastAsia="zh-CN"/>
        </w:rPr>
        <w:t>区</w:t>
      </w:r>
      <w:r>
        <w:rPr>
          <w:rFonts w:hint="eastAsia" w:ascii="Times New Roman" w:hAnsi="Times New Roman"/>
          <w:lang w:val="en-US" w:eastAsia="zh-CN"/>
        </w:rPr>
        <w:t>特色文化服务业发展中心</w:t>
      </w:r>
      <w:r>
        <w:rPr>
          <w:rFonts w:hint="default" w:ascii="Times New Roman" w:hAnsi="Times New Roman"/>
          <w:lang w:val="en-US" w:eastAsia="zh-CN"/>
        </w:rPr>
        <w:t>部门整体支出绩效评价指标表</w:t>
      </w:r>
    </w:p>
    <w:p>
      <w:pPr>
        <w:bidi w:val="0"/>
        <w:ind w:left="0" w:leftChars="0" w:firstLine="0" w:firstLineChars="0"/>
        <w:rPr>
          <w:rFonts w:hint="default" w:ascii="Times New Roman" w:hAnsi="Times New Roman"/>
          <w:lang w:val="en-US" w:eastAsia="zh-CN"/>
        </w:rPr>
      </w:pPr>
      <w:r>
        <w:rPr>
          <w:rFonts w:hint="default" w:ascii="Times New Roman" w:hAnsi="Times New Roman"/>
          <w:lang w:val="en-US" w:eastAsia="zh-CN"/>
        </w:rPr>
        <w:t>附件</w:t>
      </w:r>
      <w:r>
        <w:rPr>
          <w:rFonts w:hint="eastAsia"/>
          <w:lang w:val="en-US" w:eastAsia="zh-CN"/>
        </w:rPr>
        <w:t>2</w:t>
      </w:r>
      <w:r>
        <w:rPr>
          <w:rFonts w:hint="default" w:ascii="Times New Roman" w:hAnsi="Times New Roman"/>
          <w:lang w:val="en-US" w:eastAsia="zh-CN"/>
        </w:rPr>
        <w:t>：2022年度</w:t>
      </w:r>
      <w:r>
        <w:rPr>
          <w:rFonts w:hint="eastAsia" w:ascii="Times New Roman" w:hAnsi="Times New Roman"/>
          <w:lang w:val="en-US" w:eastAsia="zh-CN"/>
        </w:rPr>
        <w:t>邵阳</w:t>
      </w:r>
      <w:r>
        <w:rPr>
          <w:rFonts w:hint="default" w:ascii="Times New Roman" w:hAnsi="Times New Roman"/>
          <w:lang w:val="en-US" w:eastAsia="zh-CN"/>
        </w:rPr>
        <w:t>市</w:t>
      </w:r>
      <w:r>
        <w:rPr>
          <w:rFonts w:hint="eastAsia" w:ascii="Times New Roman" w:hAnsi="Times New Roman"/>
          <w:lang w:val="en-US" w:eastAsia="zh-CN"/>
        </w:rPr>
        <w:t>北塔</w:t>
      </w:r>
      <w:r>
        <w:rPr>
          <w:rFonts w:hint="default" w:ascii="Times New Roman" w:hAnsi="Times New Roman"/>
          <w:lang w:val="en-US" w:eastAsia="zh-CN"/>
        </w:rPr>
        <w:t>区</w:t>
      </w:r>
      <w:r>
        <w:rPr>
          <w:rFonts w:hint="eastAsia" w:ascii="Times New Roman" w:hAnsi="Times New Roman"/>
          <w:lang w:val="en-US" w:eastAsia="zh-CN"/>
        </w:rPr>
        <w:t>特色文化服务业发展中心</w:t>
      </w:r>
      <w:r>
        <w:rPr>
          <w:rFonts w:hint="default" w:ascii="Times New Roman" w:hAnsi="Times New Roman"/>
          <w:lang w:val="en-US" w:eastAsia="zh-CN"/>
        </w:rPr>
        <w:t>部门整体支出</w:t>
      </w:r>
      <w:r>
        <w:rPr>
          <w:rFonts w:hint="eastAsia"/>
          <w:lang w:val="en-US" w:eastAsia="zh-CN"/>
        </w:rPr>
        <w:t>基础数据表</w:t>
      </w:r>
    </w:p>
    <w:p>
      <w:pPr>
        <w:bidi w:val="0"/>
        <w:ind w:left="0" w:leftChars="0" w:firstLine="0" w:firstLineChars="0"/>
        <w:rPr>
          <w:rFonts w:hint="default" w:ascii="Times New Roman" w:hAnsi="Times New Roman"/>
          <w:lang w:val="en-US" w:eastAsia="zh-CN"/>
        </w:rPr>
      </w:pPr>
      <w:r>
        <w:rPr>
          <w:rFonts w:hint="default" w:ascii="Times New Roman" w:hAnsi="Times New Roman"/>
          <w:lang w:val="en-US" w:eastAsia="zh-CN"/>
        </w:rPr>
        <w:t>附件</w:t>
      </w:r>
      <w:r>
        <w:rPr>
          <w:rFonts w:hint="eastAsia"/>
          <w:lang w:val="en-US" w:eastAsia="zh-CN"/>
        </w:rPr>
        <w:t>3</w:t>
      </w:r>
      <w:r>
        <w:rPr>
          <w:rFonts w:hint="default" w:ascii="Times New Roman" w:hAnsi="Times New Roman"/>
          <w:lang w:val="en-US" w:eastAsia="zh-CN"/>
        </w:rPr>
        <w:t>：2022年度</w:t>
      </w:r>
      <w:r>
        <w:rPr>
          <w:rFonts w:hint="eastAsia" w:ascii="Times New Roman" w:hAnsi="Times New Roman"/>
          <w:lang w:val="en-US" w:eastAsia="zh-CN"/>
        </w:rPr>
        <w:t>邵阳</w:t>
      </w:r>
      <w:r>
        <w:rPr>
          <w:rFonts w:hint="default" w:ascii="Times New Roman" w:hAnsi="Times New Roman"/>
          <w:lang w:val="en-US" w:eastAsia="zh-CN"/>
        </w:rPr>
        <w:t>市</w:t>
      </w:r>
      <w:r>
        <w:rPr>
          <w:rFonts w:hint="eastAsia" w:ascii="Times New Roman" w:hAnsi="Times New Roman"/>
          <w:lang w:val="en-US" w:eastAsia="zh-CN"/>
        </w:rPr>
        <w:t>北塔</w:t>
      </w:r>
      <w:r>
        <w:rPr>
          <w:rFonts w:hint="default" w:ascii="Times New Roman" w:hAnsi="Times New Roman"/>
          <w:lang w:val="en-US" w:eastAsia="zh-CN"/>
        </w:rPr>
        <w:t>区</w:t>
      </w:r>
      <w:r>
        <w:rPr>
          <w:rFonts w:hint="eastAsia" w:ascii="Times New Roman" w:hAnsi="Times New Roman"/>
          <w:lang w:val="en-US" w:eastAsia="zh-CN"/>
        </w:rPr>
        <w:t>特色文化服务业发展中心</w:t>
      </w:r>
      <w:r>
        <w:rPr>
          <w:rFonts w:hint="default" w:ascii="Times New Roman" w:hAnsi="Times New Roman"/>
          <w:lang w:val="en-US" w:eastAsia="zh-CN"/>
        </w:rPr>
        <w:t>部门整体支出绩效</w:t>
      </w:r>
      <w:r>
        <w:rPr>
          <w:rFonts w:hint="eastAsia"/>
          <w:lang w:val="en-US" w:eastAsia="zh-CN"/>
        </w:rPr>
        <w:t>自评表</w:t>
      </w:r>
    </w:p>
    <w:p>
      <w:pPr>
        <w:pStyle w:val="9"/>
        <w:ind w:firstLine="0" w:firstLineChars="0"/>
        <w:rPr>
          <w:rFonts w:hint="default" w:ascii="Times New Roman Regular" w:hAnsi="Times New Roman Regular" w:eastAsia="楷体" w:cs="Times New Roman Regular"/>
          <w:sz w:val="30"/>
          <w:szCs w:val="30"/>
          <w:lang w:val="en-US" w:eastAsia="zh-CN"/>
        </w:rPr>
      </w:pPr>
    </w:p>
    <w:p>
      <w:pPr>
        <w:rPr>
          <w:rFonts w:hint="default" w:ascii="Times New Roman Regular" w:hAnsi="Times New Roman Regular" w:eastAsia="楷体" w:cs="Times New Roman Regular"/>
          <w:sz w:val="30"/>
          <w:szCs w:val="30"/>
          <w:lang w:val="en-US" w:eastAsia="zh-CN"/>
        </w:rPr>
      </w:pPr>
    </w:p>
    <w:p>
      <w:pPr>
        <w:pStyle w:val="4"/>
        <w:rPr>
          <w:rFonts w:hint="default" w:ascii="Times New Roman Regular" w:hAnsi="Times New Roman Regular" w:eastAsia="楷体" w:cs="Times New Roman Regular"/>
          <w:sz w:val="30"/>
          <w:szCs w:val="30"/>
          <w:lang w:val="en-US" w:eastAsia="zh-CN"/>
        </w:rPr>
      </w:pPr>
    </w:p>
    <w:p>
      <w:pPr>
        <w:pStyle w:val="4"/>
        <w:rPr>
          <w:rFonts w:hint="default" w:ascii="Times New Roman Regular" w:hAnsi="Times New Roman Regular" w:eastAsia="楷体" w:cs="Times New Roman Regular"/>
          <w:sz w:val="30"/>
          <w:szCs w:val="30"/>
          <w:lang w:val="en-US" w:eastAsia="zh-CN"/>
        </w:rPr>
      </w:pPr>
    </w:p>
    <w:p>
      <w:pPr>
        <w:pStyle w:val="9"/>
        <w:ind w:firstLine="0" w:firstLineChars="0"/>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eastAsia" w:ascii="Times New Roman Regular" w:hAnsi="Times New Roman Regular" w:cs="Times New Roman Regular"/>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9"/>
        <w:ind w:left="0" w:leftChars="0" w:firstLine="0" w:firstLineChars="0"/>
        <w:rPr>
          <w:rFonts w:hint="default" w:ascii="Times New Roman Regular" w:hAnsi="Times New Roman Regular" w:cs="Times New Roman Regular"/>
          <w:lang w:val="en-US" w:eastAsia="zh-CN"/>
        </w:rPr>
      </w:pPr>
    </w:p>
    <w:p>
      <w:pPr>
        <w:pStyle w:val="9"/>
        <w:ind w:firstLine="8640" w:firstLineChars="2700"/>
        <w:rPr>
          <w:rFonts w:hint="default" w:ascii="Times New Roman Regular" w:hAnsi="Times New Roman Regular" w:cs="Times New Roman Regular"/>
          <w:lang w:val="en-US" w:eastAsia="zh-CN"/>
        </w:rPr>
      </w:pPr>
    </w:p>
    <w:p>
      <w:pPr>
        <w:pStyle w:val="9"/>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9"/>
        <w:ind w:firstLine="5890" w:firstLineChars="1900"/>
        <w:rPr>
          <w:rFonts w:hint="default" w:ascii="Times New Roman Regular" w:hAnsi="Times New Roman Regular" w:eastAsia="仿宋" w:cs="Times New Roman Regular"/>
          <w:b w:val="0"/>
          <w:bCs w:val="0"/>
          <w:sz w:val="31"/>
          <w:szCs w:val="31"/>
          <w:lang w:val="en-US" w:eastAsia="zh-CN"/>
        </w:rPr>
        <w:sectPr>
          <w:headerReference r:id="rId6" w:type="default"/>
          <w:pgSz w:w="11906" w:h="16838"/>
          <w:pgMar w:top="1440" w:right="1757" w:bottom="1440" w:left="175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0" w:firstLine="0" w:firstLineChars="0"/>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snapToGrid w:val="0"/>
          <w:color w:val="000000"/>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邵阳</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市</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北塔</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特色文化服务业发展中心</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部门整体支出绩效评价指标表</w:t>
      </w:r>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4"/>
        <w:gridCol w:w="1089"/>
        <w:gridCol w:w="1578"/>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一级指标</w:t>
            </w:r>
          </w:p>
        </w:tc>
        <w:tc>
          <w:tcPr>
            <w:tcW w:w="36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二级指标</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三级指标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标准分值</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评价标准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评价得分</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6"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投入</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（15分）</w:t>
            </w: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目标设定（6分）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绩效目标合理性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绩效指标明确性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是否</w:t>
            </w:r>
            <w:r>
              <w:rPr>
                <w:rFonts w:hint="default" w:ascii="Times New Roman" w:hAnsi="Times New Roman" w:eastAsia="宋体" w:cs="Times New Roman"/>
                <w:color w:val="000000"/>
                <w:sz w:val="18"/>
                <w:szCs w:val="18"/>
              </w:rPr>
              <w:t>将部门整体的绩效目标细化分解为具体的工作任务；通过清晰、可衡量的指标值予以体现。与部门年度的任务数或计划数相对应；与本年度部门预算资金相匹配。</w:t>
            </w:r>
            <w:r>
              <w:rPr>
                <w:rFonts w:hint="default" w:ascii="Times New Roman" w:hAnsi="Times New Roman" w:eastAsia="宋体" w:cs="Times New Roman"/>
                <w:color w:val="000000"/>
                <w:sz w:val="18"/>
                <w:szCs w:val="18"/>
                <w:lang w:val="en-US" w:eastAsia="zh-CN"/>
              </w:rPr>
              <w:t>每发现一项不符扣1分，</w:t>
            </w:r>
            <w:r>
              <w:rPr>
                <w:rFonts w:hint="default" w:ascii="Times New Roman" w:hAnsi="Times New Roman" w:eastAsia="宋体" w:cs="Times New Roman"/>
                <w:color w:val="000000"/>
                <w:sz w:val="18"/>
                <w:szCs w:val="18"/>
              </w:rPr>
              <w:t>本项扣完为止。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预算配置（9分）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在职</w:t>
            </w:r>
            <w:r>
              <w:rPr>
                <w:rFonts w:hint="default" w:ascii="Times New Roman" w:hAnsi="Times New Roman" w:eastAsia="宋体" w:cs="Times New Roman"/>
                <w:color w:val="000000"/>
                <w:sz w:val="18"/>
                <w:szCs w:val="18"/>
              </w:rPr>
              <w:t>人员</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控制率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以100%为标准，在职人员控制率=（在职人员数/编制数）×100%。</w:t>
            </w:r>
            <w:r>
              <w:rPr>
                <w:rFonts w:hint="default" w:ascii="Times New Roman" w:hAnsi="Times New Roman" w:eastAsia="宋体" w:cs="Times New Roman"/>
                <w:color w:val="000000"/>
                <w:sz w:val="18"/>
                <w:szCs w:val="18"/>
                <w:lang w:val="en-US" w:eastAsia="zh-CN"/>
              </w:rPr>
              <w:t>在职人员</w:t>
            </w:r>
            <w:r>
              <w:rPr>
                <w:rFonts w:hint="default" w:ascii="Times New Roman" w:hAnsi="Times New Roman" w:eastAsia="宋体" w:cs="Times New Roman"/>
                <w:color w:val="000000"/>
                <w:sz w:val="18"/>
                <w:szCs w:val="18"/>
              </w:rPr>
              <w:t>控制率≦100%，计3分，每超过1%，扣0.3分，扣完为止。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重点支出安排率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重点支出安排率≥90%，计6分；每少10%扣1.5分；低于60%不得分。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重点支出安排率=（重点预算支出/预算总支出）×100%。</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过程</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（25分）</w:t>
            </w: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预算执行（10分）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预算执行率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以100%为标准。预算执行率每下降一个百分点扣0.1分，扣完为止。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支出进度</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每发现一个项目未完成进度要求，完成资金下达的扣0.2分，扣完为止。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结转结余率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无结余，2分；有结余但不超过上年结转，1分；每超过上年结转1个百分点扣0.1分，扣完为止。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“三公经费”</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控制率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以100%为标准。控制率≤100%，计2分；每超过一个百分点扣0.4分。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政府采购执行率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100%计满分，每低于1个百分点扣0.2分。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预算管理（12分）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管理制度健全性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eastAsia="zh-CN"/>
              </w:rPr>
            </w:pPr>
            <w:r>
              <w:rPr>
                <w:rFonts w:hint="eastAsia" w:eastAsia="宋体" w:cs="Times New Roman"/>
                <w:color w:val="000000"/>
                <w:sz w:val="18"/>
                <w:szCs w:val="18"/>
                <w:lang w:val="en-US" w:eastAsia="zh-CN"/>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存在制度未有效执行的情况，扣1分。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资金使用合规性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②资金拨付有完整的审批程序和手续，1分；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③项目支出按规定经过评估论证，1分；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④支出符合部门预算批复的用途，1分。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c>
          <w:tcPr>
            <w:tcW w:w="1008" w:type="pct"/>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存在跨期报账的情况，扣1分。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预决算信息</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①按规定内容公开预决算信息，计1分；②按规定时限公开预决算信息，计1分。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基础信息完善性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①基础数据信息和会计信息资料真实，计1分；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②基础数据信息和会计信息资料完整、准确，计1分。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资产管理（3分）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资产管理安全性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①资产保存完整，计0.5分；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②资产配置合理，计0.5分；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③资产配置规范，计0.5分；</w:t>
            </w:r>
          </w:p>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④资产账务管理合规，账实相符，计0.5分。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一是资产未贴标；二是存在资产未分类、资产丢失情况</w:t>
            </w: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酌情</w:t>
            </w:r>
            <w:r>
              <w:rPr>
                <w:rFonts w:hint="default" w:ascii="Times New Roman" w:hAnsi="Times New Roman" w:eastAsia="宋体" w:cs="Times New Roman"/>
                <w:color w:val="000000"/>
                <w:sz w:val="18"/>
                <w:szCs w:val="18"/>
              </w:rPr>
              <w:t>扣</w:t>
            </w:r>
            <w:r>
              <w:rPr>
                <w:rFonts w:hint="eastAsia" w:eastAsia="宋体" w:cs="Times New Roman"/>
                <w:color w:val="000000"/>
                <w:sz w:val="18"/>
                <w:szCs w:val="18"/>
                <w:lang w:val="en-US" w:eastAsia="zh-CN"/>
              </w:rPr>
              <w:t>2</w:t>
            </w:r>
            <w:r>
              <w:rPr>
                <w:rFonts w:hint="default" w:ascii="Times New Roman" w:hAnsi="Times New Roman" w:eastAsia="宋体" w:cs="Times New Roman"/>
                <w:color w:val="000000"/>
                <w:sz w:val="18"/>
                <w:szCs w:val="18"/>
                <w:lang w:val="en-US" w:eastAsia="zh-CN"/>
              </w:rPr>
              <w:t>分</w:t>
            </w:r>
            <w:r>
              <w:rPr>
                <w:rFonts w:hint="default" w:ascii="Times New Roman" w:hAnsi="Times New Roman" w:eastAsia="宋体" w:cs="Times New Roman"/>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固定资产利用率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每低于100%一个百分点扣0.1分，扣完为止。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职责履行（</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部门单位履职、运转</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单位履职、运转正常，计</w:t>
            </w:r>
            <w:r>
              <w:rPr>
                <w:rFonts w:hint="eastAsia"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6"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工作完成</w:t>
            </w:r>
            <w:r>
              <w:rPr>
                <w:rFonts w:hint="default" w:ascii="Times New Roman" w:hAnsi="Times New Roman" w:eastAsia="宋体" w:cs="Times New Roman"/>
                <w:color w:val="000000"/>
                <w:sz w:val="18"/>
                <w:szCs w:val="18"/>
              </w:rPr>
              <w:t>及时性</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在计划时间内</w:t>
            </w:r>
            <w:r>
              <w:rPr>
                <w:rFonts w:hint="default" w:ascii="Times New Roman" w:hAnsi="Times New Roman" w:eastAsia="宋体" w:cs="Times New Roman"/>
                <w:color w:val="000000"/>
                <w:sz w:val="18"/>
                <w:szCs w:val="18"/>
                <w:lang w:val="en-US" w:eastAsia="zh-CN"/>
              </w:rPr>
              <w:t>完成工作</w:t>
            </w:r>
            <w:r>
              <w:rPr>
                <w:rFonts w:hint="default" w:ascii="Times New Roman" w:hAnsi="Times New Roman" w:eastAsia="宋体" w:cs="Times New Roman"/>
                <w:color w:val="000000"/>
                <w:sz w:val="18"/>
                <w:szCs w:val="18"/>
              </w:rPr>
              <w:t>，得</w:t>
            </w:r>
            <w:r>
              <w:rPr>
                <w:rFonts w:hint="eastAsia" w:ascii="Times New Roman" w:hAnsi="Times New Roman" w:eastAsia="宋体" w:cs="Times New Roman"/>
                <w:color w:val="000000"/>
                <w:sz w:val="18"/>
                <w:szCs w:val="18"/>
                <w:lang w:eastAsia="zh-CN"/>
              </w:rPr>
              <w:t>1</w:t>
            </w:r>
            <w:r>
              <w:rPr>
                <w:rFonts w:hint="eastAsia" w:ascii="Times New Roman" w:hAnsi="Times New Roman" w:eastAsia="宋体" w:cs="Times New Roman"/>
                <w:color w:val="000000"/>
                <w:sz w:val="18"/>
                <w:szCs w:val="18"/>
                <w:lang w:val="en-US" w:eastAsia="zh-CN"/>
              </w:rPr>
              <w:t>0</w:t>
            </w:r>
            <w:r>
              <w:rPr>
                <w:rFonts w:hint="default" w:ascii="Times New Roman" w:hAnsi="Times New Roman" w:eastAsia="宋体" w:cs="Times New Roman"/>
                <w:color w:val="000000"/>
                <w:sz w:val="18"/>
                <w:szCs w:val="18"/>
              </w:rPr>
              <w:t>分，未按时</w:t>
            </w:r>
            <w:r>
              <w:rPr>
                <w:rFonts w:hint="default" w:ascii="Times New Roman" w:hAnsi="Times New Roman" w:eastAsia="宋体" w:cs="Times New Roman"/>
                <w:color w:val="000000"/>
                <w:sz w:val="18"/>
                <w:szCs w:val="18"/>
                <w:lang w:val="en-US" w:eastAsia="zh-CN"/>
              </w:rPr>
              <w:t>完成</w:t>
            </w:r>
            <w:r>
              <w:rPr>
                <w:rFonts w:hint="default" w:ascii="Times New Roman" w:hAnsi="Times New Roman" w:eastAsia="宋体" w:cs="Times New Roman"/>
                <w:color w:val="000000"/>
                <w:sz w:val="18"/>
                <w:szCs w:val="18"/>
              </w:rPr>
              <w:t>，根据</w:t>
            </w:r>
            <w:r>
              <w:rPr>
                <w:rFonts w:hint="default" w:ascii="Times New Roman" w:hAnsi="Times New Roman" w:eastAsia="宋体" w:cs="Times New Roman"/>
                <w:color w:val="000000"/>
                <w:sz w:val="18"/>
                <w:szCs w:val="18"/>
                <w:lang w:val="en-US" w:eastAsia="zh-CN"/>
              </w:rPr>
              <w:t>完成</w:t>
            </w:r>
            <w:r>
              <w:rPr>
                <w:rFonts w:hint="default" w:ascii="Times New Roman" w:hAnsi="Times New Roman" w:eastAsia="宋体" w:cs="Times New Roman"/>
                <w:color w:val="000000"/>
                <w:sz w:val="18"/>
                <w:szCs w:val="18"/>
              </w:rPr>
              <w:t>时间酌情扣分。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各项工作</w:t>
            </w:r>
            <w:r>
              <w:rPr>
                <w:rFonts w:hint="default" w:ascii="Times New Roman" w:hAnsi="Times New Roman" w:eastAsia="宋体" w:cs="Times New Roman"/>
                <w:color w:val="000000"/>
                <w:sz w:val="18"/>
                <w:szCs w:val="18"/>
              </w:rPr>
              <w:t>成本节约率</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成本节约率=[（计划成本-实际成本）/计划成本]×100%。成本节约率</w:t>
            </w:r>
            <w:r>
              <w:rPr>
                <w:rFonts w:hint="eastAsia" w:ascii="Times New Roman" w:hAns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rPr>
              <w:t>%（不含）以上，得</w:t>
            </w:r>
            <w:r>
              <w:rPr>
                <w:rFonts w:hint="eastAsia" w:ascii="Times New Roman" w:hAnsi="Times New Roman" w:eastAsia="宋体" w:cs="Times New Roman"/>
                <w:color w:val="000000"/>
                <w:sz w:val="18"/>
                <w:szCs w:val="18"/>
                <w:lang w:eastAsia="zh-CN"/>
              </w:rPr>
              <w:t>1</w:t>
            </w:r>
            <w:r>
              <w:rPr>
                <w:rFonts w:hint="eastAsia" w:ascii="Times New Roman" w:hAnsi="Times New Roman" w:eastAsia="宋体" w:cs="Times New Roman"/>
                <w:color w:val="000000"/>
                <w:sz w:val="18"/>
                <w:szCs w:val="18"/>
                <w:lang w:val="en-US" w:eastAsia="zh-CN"/>
              </w:rPr>
              <w:t>0</w:t>
            </w:r>
            <w:r>
              <w:rPr>
                <w:rFonts w:hint="default" w:ascii="Times New Roman" w:hAnsi="Times New Roman" w:eastAsia="宋体" w:cs="Times New Roman"/>
                <w:color w:val="000000"/>
                <w:sz w:val="18"/>
                <w:szCs w:val="18"/>
              </w:rPr>
              <w:t>分；</w:t>
            </w:r>
            <w:r>
              <w:rPr>
                <w:rFonts w:hint="eastAsia" w:ascii="Times New Roman" w:hAnsi="Times New Roman" w:eastAsia="宋体" w:cs="Times New Roman"/>
                <w:color w:val="000000"/>
                <w:sz w:val="18"/>
                <w:szCs w:val="18"/>
                <w:lang w:val="en-US" w:eastAsia="zh-CN"/>
              </w:rPr>
              <w:t>每下降1%扣1分。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396"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效果</w:t>
            </w:r>
          </w:p>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361"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职责效益（</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可持续影响</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考核单位工作的开展是否能降能节耗，制止资源浪费，有效利用资源，节约财政资金，提升服务质量，</w:t>
            </w:r>
            <w:r>
              <w:rPr>
                <w:rFonts w:hint="default" w:ascii="Times New Roman" w:hAnsi="Times New Roman" w:eastAsia="宋体" w:cs="Times New Roman"/>
                <w:color w:val="000000"/>
                <w:sz w:val="18"/>
                <w:szCs w:val="18"/>
              </w:rPr>
              <w:t>根据问卷调查统计结果，</w:t>
            </w:r>
            <w:r>
              <w:rPr>
                <w:rFonts w:hint="default" w:ascii="Times New Roman" w:hAnsi="Times New Roman" w:eastAsia="宋体" w:cs="Times New Roman"/>
                <w:color w:val="000000"/>
                <w:sz w:val="18"/>
                <w:szCs w:val="18"/>
                <w:lang w:val="en-US" w:eastAsia="zh-CN"/>
              </w:rPr>
              <w:t>结合单位工作开展情况</w:t>
            </w:r>
            <w:r>
              <w:rPr>
                <w:rFonts w:hint="default" w:ascii="Times New Roman" w:hAnsi="Times New Roman" w:eastAsia="宋体" w:cs="Times New Roman"/>
                <w:color w:val="000000"/>
                <w:sz w:val="18"/>
                <w:szCs w:val="18"/>
              </w:rPr>
              <w:t>，90%的</w:t>
            </w:r>
            <w:r>
              <w:rPr>
                <w:rFonts w:hint="default" w:ascii="Times New Roman" w:hAnsi="Times New Roman" w:eastAsia="宋体" w:cs="Times New Roman"/>
                <w:color w:val="000000"/>
                <w:sz w:val="18"/>
                <w:szCs w:val="18"/>
                <w:lang w:val="en-US" w:eastAsia="zh-CN"/>
              </w:rPr>
              <w:t>受益</w:t>
            </w:r>
            <w:r>
              <w:rPr>
                <w:rFonts w:hint="default" w:ascii="Times New Roman" w:hAnsi="Times New Roman" w:eastAsia="宋体" w:cs="Times New Roman"/>
                <w:color w:val="000000"/>
                <w:sz w:val="18"/>
                <w:szCs w:val="18"/>
              </w:rPr>
              <w:t>群众觉得效果显著得</w:t>
            </w:r>
            <w:r>
              <w:rPr>
                <w:rFonts w:hint="default"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分。则每下降5%，扣1分，扣完为止。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社会效益</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考核单位工作的开展是否能显著优化环境提升全区形象，</w:t>
            </w:r>
            <w:r>
              <w:rPr>
                <w:rFonts w:hint="default" w:ascii="Times New Roman" w:hAnsi="Times New Roman" w:eastAsia="宋体" w:cs="Times New Roman"/>
                <w:color w:val="000000"/>
                <w:sz w:val="18"/>
                <w:szCs w:val="18"/>
              </w:rPr>
              <w:t>根据问卷调查统计结果，</w:t>
            </w:r>
            <w:r>
              <w:rPr>
                <w:rFonts w:hint="default" w:ascii="Times New Roman" w:hAnsi="Times New Roman" w:eastAsia="宋体" w:cs="Times New Roman"/>
                <w:color w:val="000000"/>
                <w:sz w:val="18"/>
                <w:szCs w:val="18"/>
                <w:lang w:val="en-US" w:eastAsia="zh-CN"/>
              </w:rPr>
              <w:t>结合单位工作开展情况</w:t>
            </w:r>
            <w:r>
              <w:rPr>
                <w:rFonts w:hint="default" w:ascii="Times New Roman" w:hAnsi="Times New Roman" w:eastAsia="宋体" w:cs="Times New Roman"/>
                <w:color w:val="000000"/>
                <w:sz w:val="18"/>
                <w:szCs w:val="18"/>
              </w:rPr>
              <w:t>，90%的群众觉得效果显著得</w:t>
            </w:r>
            <w:r>
              <w:rPr>
                <w:rFonts w:hint="default"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分。则每下降5%，扣1分，扣完为止。</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6"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361"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color w:val="000000"/>
                <w:sz w:val="18"/>
                <w:szCs w:val="18"/>
              </w:rPr>
            </w:pP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单位职工</w:t>
            </w:r>
            <w:r>
              <w:rPr>
                <w:rFonts w:hint="default" w:ascii="Times New Roman" w:hAnsi="Times New Roman" w:eastAsia="宋体" w:cs="Times New Roman"/>
                <w:color w:val="000000"/>
                <w:sz w:val="18"/>
                <w:szCs w:val="18"/>
                <w:lang w:val="en-US" w:eastAsia="zh-CN"/>
              </w:rPr>
              <w:t>及受益群众</w:t>
            </w:r>
            <w:r>
              <w:rPr>
                <w:rFonts w:hint="default" w:ascii="Times New Roman" w:hAnsi="Times New Roman" w:eastAsia="宋体" w:cs="Times New Roman"/>
                <w:color w:val="000000"/>
                <w:sz w:val="18"/>
                <w:szCs w:val="18"/>
              </w:rPr>
              <w:t>满意度</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以调查问卷为依据。</w:t>
            </w:r>
            <w:r>
              <w:rPr>
                <w:rFonts w:hint="default" w:ascii="Times New Roman" w:hAnsi="Times New Roman" w:eastAsia="宋体" w:cs="Times New Roman"/>
                <w:color w:val="000000"/>
                <w:sz w:val="18"/>
                <w:szCs w:val="18"/>
                <w:lang w:val="en-US" w:eastAsia="zh-CN"/>
              </w:rPr>
              <w:t>单位职工及受益对象</w:t>
            </w:r>
            <w:r>
              <w:rPr>
                <w:rFonts w:hint="default" w:ascii="Times New Roman" w:hAnsi="Times New Roman" w:eastAsia="宋体" w:cs="Times New Roman"/>
                <w:color w:val="000000"/>
                <w:sz w:val="18"/>
                <w:szCs w:val="18"/>
              </w:rPr>
              <w:t>满意度≥95%计</w:t>
            </w:r>
            <w:r>
              <w:rPr>
                <w:rFonts w:hint="eastAsia"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分：每低5%扣1分。满意度＜75%计0分。</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合计</w:t>
            </w:r>
          </w:p>
        </w:tc>
        <w:tc>
          <w:tcPr>
            <w:tcW w:w="3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100</w:t>
            </w:r>
          </w:p>
        </w:tc>
        <w:tc>
          <w:tcPr>
            <w:tcW w:w="2053"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331"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96.00</w:t>
            </w:r>
          </w:p>
        </w:tc>
        <w:tc>
          <w:tcPr>
            <w:tcW w:w="100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Times New Roman" w:hAnsi="Times New Roman"/>
          <w:lang w:val="en-US" w:eastAsia="zh-CN"/>
        </w:rPr>
        <w:sectPr>
          <w:headerReference r:id="rId7" w:type="default"/>
          <w:footerReference r:id="rId8" w:type="default"/>
          <w:pgSz w:w="16838" w:h="11906" w:orient="landscape"/>
          <w:pgMar w:top="1389" w:right="986" w:bottom="1389" w:left="986" w:header="624"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Regular" w:hAnsi="Times New Roman Regular" w:cs="Times New Roman Regular"/>
          <w:b w:val="0"/>
          <w:bCs w:val="0"/>
          <w:sz w:val="31"/>
          <w:szCs w:val="31"/>
          <w:lang w:val="en-US" w:eastAsia="zh-CN"/>
        </w:rPr>
        <w:t>、</w:t>
      </w:r>
    </w:p>
    <w:p>
      <w:pPr>
        <w:bidi w:val="0"/>
        <w:ind w:left="0" w:leftChars="0" w:firstLine="0" w:firstLineChars="0"/>
        <w:rPr>
          <w:rFonts w:hint="default" w:ascii="Times New Roman" w:hAnsi="Times New Roman"/>
          <w:lang w:val="en-US" w:eastAsia="zh-CN"/>
        </w:rPr>
      </w:pPr>
      <w:r>
        <w:rPr>
          <w:rFonts w:hint="default" w:ascii="Times New Roman" w:hAnsi="Times New Roman"/>
          <w:lang w:val="en-US" w:eastAsia="zh-CN"/>
        </w:rPr>
        <w:t>附件</w:t>
      </w:r>
      <w:r>
        <w:rPr>
          <w:rFonts w:hint="eastAsia"/>
          <w:lang w:val="en-US" w:eastAsia="zh-CN"/>
        </w:rPr>
        <w:t>2</w:t>
      </w:r>
      <w:r>
        <w:rPr>
          <w:rFonts w:hint="default" w:ascii="Times New Roman" w:hAnsi="Times New Roman"/>
          <w:lang w:val="en-US" w:eastAsia="zh-CN"/>
        </w:rPr>
        <w:t>：</w:t>
      </w:r>
    </w:p>
    <w:p>
      <w:pPr>
        <w:bidi w:val="0"/>
        <w:ind w:left="0" w:leftChars="0" w:firstLine="0" w:firstLineChars="0"/>
        <w:rPr>
          <w:rFonts w:hint="default" w:ascii="Times New Roman" w:hAnsi="Times New Roman" w:eastAsia="方正小标宋_GBK" w:cs="Times New Roman"/>
          <w:sz w:val="28"/>
          <w:szCs w:val="22"/>
          <w:lang w:val="en-US" w:eastAsia="zh-CN"/>
        </w:rPr>
      </w:pPr>
      <w:r>
        <w:rPr>
          <w:rFonts w:hint="default" w:ascii="Times New Roman" w:hAnsi="Times New Roman" w:eastAsia="方正小标宋_GBK" w:cs="Times New Roman"/>
          <w:sz w:val="28"/>
          <w:szCs w:val="22"/>
          <w:lang w:val="en-US" w:eastAsia="zh-CN"/>
        </w:rPr>
        <w:t>2022年度邵阳市北塔区特色文化服务业发展中心部门整体支出基础数据表</w:t>
      </w:r>
    </w:p>
    <w:tbl>
      <w:tblPr>
        <w:tblStyle w:val="13"/>
        <w:tblW w:w="9111" w:type="dxa"/>
        <w:jc w:val="center"/>
        <w:tblLayout w:type="fixed"/>
        <w:tblCellMar>
          <w:top w:w="0" w:type="dxa"/>
          <w:left w:w="108" w:type="dxa"/>
          <w:bottom w:w="0" w:type="dxa"/>
          <w:right w:w="108" w:type="dxa"/>
        </w:tblCellMar>
      </w:tblPr>
      <w:tblGrid>
        <w:gridCol w:w="3354"/>
        <w:gridCol w:w="1709"/>
        <w:gridCol w:w="2329"/>
        <w:gridCol w:w="1719"/>
      </w:tblGrid>
      <w:tr>
        <w:tblPrEx>
          <w:tblCellMar>
            <w:top w:w="0" w:type="dxa"/>
            <w:left w:w="108" w:type="dxa"/>
            <w:bottom w:w="0" w:type="dxa"/>
            <w:right w:w="108" w:type="dxa"/>
          </w:tblCellMar>
        </w:tblPrEx>
        <w:trPr>
          <w:trHeight w:val="56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编制数</w:t>
            </w:r>
          </w:p>
        </w:tc>
        <w:tc>
          <w:tcPr>
            <w:tcW w:w="2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控制率</w:t>
            </w:r>
          </w:p>
        </w:tc>
      </w:tr>
      <w:tr>
        <w:tblPrEx>
          <w:tblCellMar>
            <w:top w:w="0" w:type="dxa"/>
            <w:left w:w="108" w:type="dxa"/>
            <w:bottom w:w="0" w:type="dxa"/>
            <w:right w:w="108" w:type="dxa"/>
          </w:tblCellMar>
        </w:tblPrEx>
        <w:trPr>
          <w:trHeight w:val="56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w:t>
            </w:r>
          </w:p>
        </w:tc>
        <w:tc>
          <w:tcPr>
            <w:tcW w:w="2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133%</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当年决算数</w:t>
            </w: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上年决算数</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0"/>
                <w:sz w:val="21"/>
                <w:szCs w:val="21"/>
                <w:lang w:val="en-US" w:eastAsia="zh-CN"/>
              </w:rPr>
            </w:pPr>
            <w:r>
              <w:rPr>
                <w:rFonts w:hint="default" w:ascii="Times New Roman" w:hAnsi="Times New Roman" w:cs="Times New Roman" w:eastAsiaTheme="minorEastAsia"/>
                <w:b w:val="0"/>
                <w:bCs w:val="0"/>
                <w:i w:val="0"/>
                <w:iCs w:val="0"/>
                <w:caps w:val="0"/>
                <w:color w:val="1E1E1E"/>
                <w:spacing w:val="0"/>
                <w:sz w:val="21"/>
                <w:szCs w:val="21"/>
                <w:shd w:val="clear" w:fill="FFFFFF"/>
              </w:rPr>
              <w:t>98.14</w:t>
            </w:r>
            <w:r>
              <w:rPr>
                <w:rFonts w:hint="default" w:ascii="Times New Roman" w:hAnsi="Times New Roman" w:cs="Times New Roman" w:eastAsiaTheme="minorEastAsia"/>
                <w:b w:val="0"/>
                <w:bCs w:val="0"/>
                <w:i w:val="0"/>
                <w:iCs w:val="0"/>
                <w:caps w:val="0"/>
                <w:color w:val="1E1E1E"/>
                <w:spacing w:val="0"/>
                <w:sz w:val="21"/>
                <w:szCs w:val="21"/>
                <w:shd w:val="clear" w:fill="FFFFFF"/>
                <w:lang w:eastAsia="zh-CN"/>
              </w:rPr>
              <w:t>万元</w:t>
            </w: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0"/>
                <w:sz w:val="21"/>
                <w:szCs w:val="21"/>
                <w:lang w:val="en-US" w:eastAsia="zh-CN"/>
              </w:rPr>
            </w:pPr>
            <w:r>
              <w:rPr>
                <w:rFonts w:hint="default" w:ascii="Times New Roman" w:hAnsi="Times New Roman" w:cs="Times New Roman" w:eastAsiaTheme="minorEastAsia"/>
                <w:b w:val="0"/>
                <w:bCs w:val="0"/>
                <w:i w:val="0"/>
                <w:iCs w:val="0"/>
                <w:caps w:val="0"/>
                <w:color w:val="1E1E1E"/>
                <w:spacing w:val="0"/>
                <w:sz w:val="21"/>
                <w:szCs w:val="21"/>
                <w:shd w:val="clear" w:fill="FFFFFF"/>
              </w:rPr>
              <w:t>98.14</w:t>
            </w:r>
            <w:r>
              <w:rPr>
                <w:rFonts w:hint="default" w:ascii="Times New Roman" w:hAnsi="Times New Roman" w:cs="Times New Roman" w:eastAsiaTheme="minorEastAsia"/>
                <w:b w:val="0"/>
                <w:bCs w:val="0"/>
                <w:i w:val="0"/>
                <w:iCs w:val="0"/>
                <w:caps w:val="0"/>
                <w:color w:val="1E1E1E"/>
                <w:spacing w:val="0"/>
                <w:sz w:val="21"/>
                <w:szCs w:val="21"/>
                <w:shd w:val="clear" w:fill="FFFFFF"/>
                <w:lang w:eastAsia="zh-CN"/>
              </w:rPr>
              <w:t>万元</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189.13万元</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其中：1、压缩一般性支出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2、三公经费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其中：公车购置</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公车运行维护</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bidi="ar-SA"/>
              </w:rPr>
            </w:pP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bidi="ar-SA"/>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公务接待</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0</w:t>
            </w:r>
          </w:p>
        </w:tc>
        <w:tc>
          <w:tcPr>
            <w:tcW w:w="23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tabs>
                <w:tab w:val="left" w:pos="1703"/>
              </w:tabs>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ab/>
            </w:r>
            <w:r>
              <w:rPr>
                <w:rFonts w:hint="default" w:ascii="Times New Roman" w:hAnsi="Times New Roman" w:cs="Times New Roman" w:eastAsiaTheme="minorEastAsia"/>
                <w:kern w:val="0"/>
                <w:sz w:val="21"/>
                <w:szCs w:val="21"/>
                <w:lang w:val="en-US" w:eastAsia="zh-CN"/>
              </w:rPr>
              <w:t>严格控制三公经费支出</w:t>
            </w:r>
            <w:r>
              <w:rPr>
                <w:rFonts w:hint="default" w:ascii="Times New Roman" w:hAnsi="Times New Roman" w:cs="Times New Roman" w:eastAsiaTheme="minorEastAsia"/>
                <w:kern w:val="0"/>
                <w:sz w:val="21"/>
                <w:szCs w:val="21"/>
              </w:rPr>
              <w:t>　　</w:t>
            </w:r>
          </w:p>
        </w:tc>
      </w:tr>
    </w:tbl>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p>
    <w:p>
      <w:pPr>
        <w:bidi w:val="0"/>
        <w:ind w:left="0" w:leftChars="0" w:firstLine="0" w:firstLineChars="0"/>
        <w:rPr>
          <w:rFonts w:hint="default" w:ascii="Times New Roman" w:hAnsi="Times New Roman"/>
          <w:lang w:val="en-US" w:eastAsia="zh-CN"/>
        </w:rPr>
      </w:pPr>
      <w:r>
        <w:rPr>
          <w:rFonts w:hint="default" w:ascii="Times New Roman" w:hAnsi="Times New Roman"/>
          <w:lang w:val="en-US" w:eastAsia="zh-CN"/>
        </w:rPr>
        <w:t>附件</w:t>
      </w:r>
      <w:r>
        <w:rPr>
          <w:rFonts w:hint="eastAsia"/>
          <w:lang w:val="en-US" w:eastAsia="zh-CN"/>
        </w:rPr>
        <w:t>3</w:t>
      </w:r>
      <w:r>
        <w:rPr>
          <w:rFonts w:hint="default" w:ascii="Times New Roman" w:hAnsi="Times New Roman"/>
          <w:lang w:val="en-US" w:eastAsia="zh-CN"/>
        </w:rPr>
        <w:t>：</w:t>
      </w:r>
    </w:p>
    <w:p>
      <w:pPr>
        <w:bidi w:val="0"/>
        <w:ind w:left="0" w:leftChars="0" w:firstLine="0" w:firstLineChars="0"/>
        <w:rPr>
          <w:rFonts w:hint="default" w:ascii="Times New Roman" w:hAnsi="Times New Roman" w:eastAsia="方正小标宋_GBK" w:cs="Times New Roman"/>
          <w:sz w:val="28"/>
          <w:szCs w:val="22"/>
          <w:lang w:val="en-US" w:eastAsia="zh-CN"/>
        </w:rPr>
      </w:pPr>
      <w:r>
        <w:rPr>
          <w:rFonts w:hint="default" w:ascii="Times New Roman" w:hAnsi="Times New Roman" w:eastAsia="方正小标宋_GBK" w:cs="Times New Roman"/>
          <w:sz w:val="28"/>
          <w:szCs w:val="22"/>
          <w:lang w:val="en-US" w:eastAsia="zh-CN"/>
        </w:rPr>
        <w:t>2022年度邵阳市北塔区特色文化服务业发展中心部门整体支出绩效自评表</w:t>
      </w:r>
    </w:p>
    <w:tbl>
      <w:tblPr>
        <w:tblStyle w:val="1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95"/>
        <w:gridCol w:w="1282"/>
        <w:gridCol w:w="1705"/>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部门资金（万元）</w:t>
            </w: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全年预算数</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全年执行数</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预算执行率</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59.14</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97.81</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165.95%</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4650" w:type="dxa"/>
            <w:gridSpan w:val="4"/>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按收入性质分类</w:t>
            </w:r>
          </w:p>
        </w:tc>
        <w:tc>
          <w:tcPr>
            <w:tcW w:w="4650" w:type="dxa"/>
            <w:gridSpan w:val="4"/>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一般公共预算拨款</w:t>
            </w: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97.81</w:t>
            </w:r>
          </w:p>
        </w:tc>
        <w:tc>
          <w:tcPr>
            <w:tcW w:w="2987"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基本支出</w:t>
            </w:r>
          </w:p>
        </w:tc>
        <w:tc>
          <w:tcPr>
            <w:tcW w:w="1663"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eastAsiaTheme="minorEastAsia"/>
                <w:color w:val="000000"/>
                <w:kern w:val="0"/>
                <w:sz w:val="21"/>
                <w:szCs w:val="21"/>
                <w:lang w:val="en-US" w:eastAsia="zh-CN"/>
              </w:rPr>
              <w:t>98.14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政府性基金拨款</w:t>
            </w: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p>
        </w:tc>
        <w:tc>
          <w:tcPr>
            <w:tcW w:w="2987"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1.人员经费</w:t>
            </w:r>
          </w:p>
        </w:tc>
        <w:tc>
          <w:tcPr>
            <w:tcW w:w="1663"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eastAsiaTheme="minorEastAsia"/>
                <w:color w:val="000000"/>
                <w:kern w:val="0"/>
                <w:sz w:val="21"/>
                <w:szCs w:val="21"/>
                <w:lang w:val="en-US" w:eastAsia="zh-CN"/>
              </w:rPr>
              <w:t>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纳入管理的非税收入拨款</w:t>
            </w: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87"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2.公用经费</w:t>
            </w:r>
          </w:p>
        </w:tc>
        <w:tc>
          <w:tcPr>
            <w:tcW w:w="1663"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eastAsiaTheme="minorEastAsia"/>
                <w:color w:val="000000"/>
                <w:kern w:val="0"/>
                <w:sz w:val="21"/>
                <w:szCs w:val="21"/>
                <w:lang w:val="en-US" w:eastAsia="zh-CN"/>
              </w:rPr>
              <w:t>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eastAsiaTheme="minorEastAsia"/>
                <w:color w:val="000000"/>
                <w:kern w:val="0"/>
                <w:sz w:val="21"/>
                <w:szCs w:val="21"/>
                <w:lang w:val="en-US" w:eastAsia="zh-CN"/>
              </w:rPr>
              <w:t>其他收入</w:t>
            </w: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eastAsiaTheme="minorEastAsia"/>
                <w:color w:val="000000"/>
                <w:kern w:val="0"/>
                <w:sz w:val="21"/>
                <w:szCs w:val="21"/>
                <w:lang w:val="en-US" w:eastAsia="zh-CN"/>
              </w:rPr>
              <w:t>0.33</w:t>
            </w:r>
          </w:p>
        </w:tc>
        <w:tc>
          <w:tcPr>
            <w:tcW w:w="2987"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其中：三公经费</w:t>
            </w:r>
          </w:p>
        </w:tc>
        <w:tc>
          <w:tcPr>
            <w:tcW w:w="1663"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169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87"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项目支出</w:t>
            </w:r>
          </w:p>
        </w:tc>
        <w:tc>
          <w:tcPr>
            <w:tcW w:w="1663"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eastAsiaTheme="minorEastAsia"/>
                <w:color w:val="000000"/>
                <w:kern w:val="0"/>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4650" w:type="dxa"/>
            <w:gridSpan w:val="4"/>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年初预期（设定）目标　</w:t>
            </w:r>
          </w:p>
        </w:tc>
        <w:tc>
          <w:tcPr>
            <w:tcW w:w="4650" w:type="dxa"/>
            <w:gridSpan w:val="4"/>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4650" w:type="dxa"/>
            <w:gridSpan w:val="4"/>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在本年度收支预算内，确保完成以下整体目标：</w:t>
            </w:r>
          </w:p>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目标1：人员经费按照相关政策及时发放到位</w:t>
            </w:r>
          </w:p>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目标2：严格控制三公经费，确保机关正常运行</w:t>
            </w:r>
          </w:p>
          <w:p>
            <w:pPr>
              <w:pageBreakBefore w:val="0"/>
              <w:widowControl/>
              <w:kinsoku/>
              <w:wordWrap/>
              <w:overflowPunct/>
              <w:topLinePunct w:val="0"/>
              <w:autoSpaceDE/>
              <w:autoSpaceDN/>
              <w:bidi w:val="0"/>
              <w:spacing w:line="240" w:lineRule="auto"/>
              <w:ind w:left="0" w:right="0" w:firstLine="0" w:firstLineChars="0"/>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目标3：做好社会保障工作</w:t>
            </w:r>
          </w:p>
        </w:tc>
        <w:tc>
          <w:tcPr>
            <w:tcW w:w="4650" w:type="dxa"/>
            <w:gridSpan w:val="4"/>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按照财政预算，严控三公经费，2022年本单位正常运行，人员相关经费按照政策及时发放到位。</w:t>
            </w:r>
            <w:r>
              <w:rPr>
                <w:rFonts w:hint="default" w:ascii="Times New Roman" w:hAnsi="Times New Roman" w:cs="Times New Roman" w:eastAsiaTheme="minorEastAsia"/>
                <w:color w:val="000000"/>
                <w:kern w:val="0"/>
                <w:sz w:val="21"/>
                <w:szCs w:val="21"/>
              </w:rPr>
              <w:t>　</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7" w:hRule="exact"/>
          <w:jc w:val="center"/>
        </w:trPr>
        <w:tc>
          <w:tcPr>
            <w:tcW w:w="612" w:type="dxa"/>
            <w:vMerge w:val="restart"/>
            <w:noWrap w:val="0"/>
            <w:textDirection w:val="tbRlV"/>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105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　</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年度指标值</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restart"/>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（50分）</w:t>
            </w:r>
          </w:p>
        </w:tc>
        <w:tc>
          <w:tcPr>
            <w:tcW w:w="105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eastAsia="zh-CN"/>
              </w:rPr>
              <w:t>外出调研考察，探寻新方法</w:t>
            </w:r>
          </w:p>
        </w:tc>
        <w:tc>
          <w:tcPr>
            <w:tcW w:w="1282"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1</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1</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16</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vMerge w:val="restart"/>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eastAsia="zh-CN"/>
              </w:rPr>
              <w:t>助力广厦文创园顺利开园</w:t>
            </w:r>
          </w:p>
        </w:tc>
        <w:tc>
          <w:tcPr>
            <w:tcW w:w="1282"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顺利开园</w:t>
            </w:r>
          </w:p>
        </w:tc>
        <w:tc>
          <w:tcPr>
            <w:tcW w:w="1705"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eastAsia="zh-CN"/>
              </w:rPr>
              <w:t>顺利开园</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摸底企业，建立数据库</w:t>
            </w:r>
          </w:p>
        </w:tc>
        <w:tc>
          <w:tcPr>
            <w:tcW w:w="1282"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完成摸底</w:t>
            </w:r>
          </w:p>
        </w:tc>
        <w:tc>
          <w:tcPr>
            <w:tcW w:w="1705"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完成摸底</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重点工作办结率</w:t>
            </w:r>
          </w:p>
        </w:tc>
        <w:tc>
          <w:tcPr>
            <w:tcW w:w="1282"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按时办结100%</w:t>
            </w:r>
          </w:p>
        </w:tc>
        <w:tc>
          <w:tcPr>
            <w:tcW w:w="1705"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按时办</w:t>
            </w:r>
            <w:r>
              <w:rPr>
                <w:rFonts w:hint="default" w:ascii="Times New Roman" w:hAnsi="Times New Roman" w:cs="Times New Roman" w:eastAsiaTheme="minorEastAsia"/>
                <w:color w:val="000000"/>
                <w:sz w:val="21"/>
                <w:szCs w:val="21"/>
                <w:lang w:val="en-US" w:eastAsia="zh-CN"/>
              </w:rPr>
              <w:t>结</w:t>
            </w:r>
            <w:r>
              <w:rPr>
                <w:rFonts w:hint="default" w:ascii="Times New Roman" w:hAnsi="Times New Roman" w:cs="Times New Roman" w:eastAsiaTheme="minorEastAsia"/>
                <w:color w:val="000000"/>
                <w:sz w:val="21"/>
                <w:szCs w:val="21"/>
              </w:rPr>
              <w:t>100%</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79" w:hRule="exact"/>
          <w:jc w:val="center"/>
        </w:trPr>
        <w:tc>
          <w:tcPr>
            <w:tcW w:w="612" w:type="dxa"/>
            <w:vMerge w:val="continue"/>
            <w:tcBorders>
              <w:top w:val="nil"/>
            </w:tcBorders>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tcBorders>
              <w:top w:val="nil"/>
            </w:tcBorders>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各项业务经费不超出预算，超支审批</w:t>
            </w:r>
          </w:p>
        </w:tc>
        <w:tc>
          <w:tcPr>
            <w:tcW w:w="1282"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705" w:type="dxa"/>
            <w:noWrap w:val="0"/>
            <w:vAlign w:val="center"/>
          </w:tcPr>
          <w:p>
            <w:pPr>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19" w:hRule="exact"/>
          <w:jc w:val="center"/>
        </w:trPr>
        <w:tc>
          <w:tcPr>
            <w:tcW w:w="612" w:type="dxa"/>
            <w:vMerge w:val="restart"/>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vMerge w:val="restart"/>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tc>
        <w:tc>
          <w:tcPr>
            <w:tcW w:w="105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经济效益指标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助力广厦文创园顺利推进，提升北塔商业综合体发展</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较上年有所</w:t>
            </w:r>
            <w:r>
              <w:rPr>
                <w:rFonts w:hint="default" w:ascii="Times New Roman" w:hAnsi="Times New Roman" w:cs="Times New Roman" w:eastAsiaTheme="minorEastAsia"/>
                <w:color w:val="000000"/>
                <w:sz w:val="21"/>
                <w:szCs w:val="21"/>
                <w:lang w:eastAsia="zh-CN"/>
              </w:rPr>
              <w:t>上升</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 xml:space="preserve">有所上升 </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99" w:hRule="exact"/>
          <w:jc w:val="center"/>
        </w:trPr>
        <w:tc>
          <w:tcPr>
            <w:tcW w:w="612" w:type="dxa"/>
            <w:vMerge w:val="continue"/>
            <w:noWrap w:val="0"/>
            <w:vAlign w:val="center"/>
          </w:tcPr>
          <w:p>
            <w:pPr>
              <w:pageBreakBefore w:val="0"/>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社会效益指标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制定帮扶政策，助力北塔服务业发展，实现服务业增加值快速增长</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增加值快速增长</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增加值快速增长</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13</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70" w:hRule="exact"/>
          <w:jc w:val="center"/>
        </w:trPr>
        <w:tc>
          <w:tcPr>
            <w:tcW w:w="612" w:type="dxa"/>
            <w:vMerge w:val="continue"/>
            <w:noWrap w:val="0"/>
            <w:vAlign w:val="center"/>
          </w:tcPr>
          <w:p>
            <w:pPr>
              <w:pageBreakBefore w:val="0"/>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生态效益指标</w:t>
            </w:r>
          </w:p>
        </w:tc>
        <w:tc>
          <w:tcPr>
            <w:tcW w:w="2700" w:type="dxa"/>
            <w:gridSpan w:val="2"/>
            <w:noWrap w:val="0"/>
            <w:vAlign w:val="center"/>
          </w:tcPr>
          <w:p>
            <w:pPr>
              <w:pStyle w:val="3"/>
              <w:pageBreakBefore w:val="0"/>
              <w:kinsoku/>
              <w:wordWrap/>
              <w:overflowPunct/>
              <w:topLinePunct w:val="0"/>
              <w:autoSpaceDE/>
              <w:autoSpaceDN/>
              <w:bidi w:val="0"/>
              <w:spacing w:beforeLines="0" w:after="0" w:afterLines="0" w:line="240" w:lineRule="auto"/>
              <w:ind w:left="0" w:leftChars="0" w:right="0" w:rightChars="0" w:firstLine="0" w:firstLineChars="0"/>
              <w:jc w:val="center"/>
              <w:rPr>
                <w:rFonts w:hint="default" w:ascii="Times New Roman" w:hAnsi="Times New Roman" w:cs="Times New Roman" w:eastAsiaTheme="minorEastAsia"/>
                <w:b/>
                <w:kern w:val="44"/>
                <w:sz w:val="21"/>
                <w:szCs w:val="21"/>
                <w:lang w:val="en-US" w:eastAsia="zh-CN" w:bidi="ar"/>
              </w:rPr>
            </w:pPr>
            <w:r>
              <w:rPr>
                <w:rFonts w:hint="default" w:ascii="Times New Roman" w:hAnsi="Times New Roman" w:cs="Times New Roman" w:eastAsiaTheme="minorEastAsia"/>
                <w:b w:val="0"/>
                <w:color w:val="000000"/>
                <w:kern w:val="2"/>
                <w:sz w:val="21"/>
                <w:szCs w:val="21"/>
                <w:lang w:val="en-US" w:eastAsia="zh-CN" w:bidi="ar-SA"/>
              </w:rPr>
              <w:t>生态文明</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加强生态文明建设</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有所提升</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83"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tcBorders>
              <w:top w:val="nil"/>
            </w:tcBorders>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文明环境</w:t>
            </w:r>
          </w:p>
        </w:tc>
        <w:tc>
          <w:tcPr>
            <w:tcW w:w="1282" w:type="dxa"/>
            <w:tcBorders>
              <w:bottom w:val="nil"/>
            </w:tcBorders>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加强文明建设</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民众思想文化素养</w:t>
            </w:r>
            <w:r>
              <w:rPr>
                <w:rFonts w:hint="default" w:ascii="Times New Roman" w:hAnsi="Times New Roman" w:cs="Times New Roman" w:eastAsiaTheme="minorEastAsia"/>
                <w:color w:val="000000"/>
                <w:sz w:val="21"/>
                <w:szCs w:val="21"/>
                <w:lang w:val="en-US" w:eastAsia="zh-CN"/>
              </w:rPr>
              <w:t>提高，文明环境持续加强</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8"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restart"/>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（10分）</w:t>
            </w:r>
          </w:p>
        </w:tc>
        <w:tc>
          <w:tcPr>
            <w:tcW w:w="1050" w:type="dxa"/>
            <w:vMerge w:val="restart"/>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社会公众或服务对象满意度指标</w:t>
            </w: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干部职工满意度</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员工满意度≥95%</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pageBreakBefore w:val="0"/>
              <w:widowControl/>
              <w:kinsoku/>
              <w:wordWrap/>
              <w:overflowPunct/>
              <w:topLinePunct w:val="0"/>
              <w:autoSpaceDE/>
              <w:autoSpaceDN/>
              <w:bidi w:val="0"/>
              <w:spacing w:line="240" w:lineRule="auto"/>
              <w:ind w:left="0" w:right="0" w:firstLine="0" w:firstLineChars="0"/>
              <w:jc w:val="left"/>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w:t>
            </w:r>
            <w:r>
              <w:rPr>
                <w:rFonts w:hint="default" w:ascii="Times New Roman" w:hAnsi="Times New Roman" w:cs="Times New Roman" w:eastAsiaTheme="minorEastAsia"/>
                <w:color w:val="000000"/>
                <w:sz w:val="21"/>
                <w:szCs w:val="21"/>
                <w:lang w:val="en-US" w:eastAsia="zh-CN"/>
              </w:rPr>
              <w:t>或</w:t>
            </w:r>
            <w:r>
              <w:rPr>
                <w:rFonts w:hint="default" w:ascii="Times New Roman" w:hAnsi="Times New Roman" w:cs="Times New Roman" w:eastAsiaTheme="minorEastAsia"/>
                <w:color w:val="000000"/>
                <w:sz w:val="21"/>
                <w:szCs w:val="21"/>
              </w:rPr>
              <w:t>服务对象满意度</w:t>
            </w:r>
          </w:p>
        </w:tc>
        <w:tc>
          <w:tcPr>
            <w:tcW w:w="128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社会公众或服务对象满意度≥95%</w:t>
            </w:r>
          </w:p>
        </w:tc>
        <w:tc>
          <w:tcPr>
            <w:tcW w:w="1705"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732"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bl>
    <w:p>
      <w:pPr>
        <w:pStyle w:val="4"/>
        <w:ind w:left="0" w:leftChars="0" w:firstLine="0" w:firstLineChars="0"/>
        <w:rPr>
          <w:rFonts w:hint="default" w:ascii="Times New Roman Regular" w:hAnsi="Times New Roman Regular" w:eastAsia="仿宋" w:cs="Times New Roman Regular"/>
          <w:b w:val="0"/>
          <w:bCs w:val="0"/>
          <w:sz w:val="31"/>
          <w:szCs w:val="31"/>
          <w:lang w:val="en-US" w:eastAsia="zh-CN"/>
        </w:rPr>
      </w:pPr>
    </w:p>
    <w:sectPr>
      <w:headerReference r:id="rId9" w:type="default"/>
      <w:pgSz w:w="11906" w:h="16838"/>
      <w:pgMar w:top="986" w:right="1389" w:bottom="986" w:left="1389" w:header="113" w:footer="34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9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w:t>
    </w:r>
    <w:r>
      <w:rPr>
        <w:rFonts w:hint="eastAsia" w:ascii="宋体" w:hAnsi="宋体" w:eastAsia="宋体" w:cs="宋体"/>
        <w:b w:val="0"/>
        <w:bCs w:val="0"/>
        <w:i w:val="0"/>
        <w:iCs w:val="0"/>
        <w:sz w:val="16"/>
        <w:szCs w:val="16"/>
        <w:lang w:val="en-US" w:eastAsia="zh-CN"/>
      </w:rPr>
      <w:t xml:space="preserve">  </w:t>
    </w:r>
    <w:r>
      <w:rPr>
        <w:rFonts w:hint="eastAsia" w:ascii="宋体" w:hAnsi="宋体" w:eastAsia="宋体" w:cs="宋体"/>
        <w:b/>
        <w:bCs/>
        <w:i w:val="0"/>
        <w:iCs w:val="0"/>
        <w:sz w:val="16"/>
        <w:szCs w:val="16"/>
        <w:lang w:val="en-US" w:eastAsia="zh-CN"/>
      </w:rPr>
      <w:t>邵阳市北塔区特色文化服务业发展中心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w:t>
    </w:r>
    <w:r>
      <w:rPr>
        <w:rFonts w:hint="eastAsia" w:ascii="宋体" w:hAnsi="宋体" w:eastAsia="宋体" w:cs="宋体"/>
        <w:b w:val="0"/>
        <w:bCs w:val="0"/>
        <w:i w:val="0"/>
        <w:iCs w:val="0"/>
        <w:sz w:val="16"/>
        <w:szCs w:val="16"/>
        <w:lang w:val="en-US" w:eastAsia="zh-CN"/>
      </w:rPr>
      <w:t xml:space="preserve">                                                                                 </w:t>
    </w:r>
    <w:r>
      <w:rPr>
        <w:rFonts w:hint="eastAsia" w:ascii="宋体" w:hAnsi="宋体" w:eastAsia="宋体" w:cs="宋体"/>
        <w:b/>
        <w:bCs/>
        <w:i w:val="0"/>
        <w:iCs w:val="0"/>
        <w:sz w:val="16"/>
        <w:szCs w:val="16"/>
        <w:lang w:val="en-US" w:eastAsia="zh-CN"/>
      </w:rPr>
      <w:t>邵阳市北塔区特色文化服务业发展中心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w:t>
    </w:r>
    <w:r>
      <w:rPr>
        <w:rFonts w:hint="eastAsia" w:ascii="宋体" w:hAnsi="宋体" w:eastAsia="宋体" w:cs="宋体"/>
        <w:b w:val="0"/>
        <w:bCs w:val="0"/>
        <w:i w:val="0"/>
        <w:iCs w:val="0"/>
        <w:sz w:val="16"/>
        <w:szCs w:val="16"/>
        <w:lang w:val="en-US" w:eastAsia="zh-CN"/>
      </w:rPr>
      <w:t xml:space="preserve">           </w:t>
    </w:r>
    <w:r>
      <w:rPr>
        <w:rFonts w:hint="eastAsia" w:ascii="宋体" w:hAnsi="宋体" w:eastAsia="宋体" w:cs="宋体"/>
        <w:b/>
        <w:bCs/>
        <w:i w:val="0"/>
        <w:iCs w:val="0"/>
        <w:sz w:val="16"/>
        <w:szCs w:val="16"/>
        <w:lang w:val="en-US" w:eastAsia="zh-CN"/>
      </w:rPr>
      <w:t>邵阳市北塔区特色文化服务业发展中心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172A27"/>
    <w:rsid w:val="002B06D1"/>
    <w:rsid w:val="00307A95"/>
    <w:rsid w:val="003449EF"/>
    <w:rsid w:val="003D21B2"/>
    <w:rsid w:val="00423C6D"/>
    <w:rsid w:val="00A83AD0"/>
    <w:rsid w:val="00B0507A"/>
    <w:rsid w:val="00B92181"/>
    <w:rsid w:val="00CD5F55"/>
    <w:rsid w:val="00D42B17"/>
    <w:rsid w:val="00D64AE1"/>
    <w:rsid w:val="00FB4547"/>
    <w:rsid w:val="01031033"/>
    <w:rsid w:val="01070A50"/>
    <w:rsid w:val="010D6029"/>
    <w:rsid w:val="01141165"/>
    <w:rsid w:val="01415CD2"/>
    <w:rsid w:val="01491A57"/>
    <w:rsid w:val="015107AC"/>
    <w:rsid w:val="01521C8D"/>
    <w:rsid w:val="01541EA9"/>
    <w:rsid w:val="015D63FC"/>
    <w:rsid w:val="01722330"/>
    <w:rsid w:val="018A1427"/>
    <w:rsid w:val="019138A1"/>
    <w:rsid w:val="0194120E"/>
    <w:rsid w:val="01941529"/>
    <w:rsid w:val="01AC3A93"/>
    <w:rsid w:val="01B54127"/>
    <w:rsid w:val="01DD36AA"/>
    <w:rsid w:val="01DE3C65"/>
    <w:rsid w:val="01E90844"/>
    <w:rsid w:val="01FD29C4"/>
    <w:rsid w:val="01FD7E4B"/>
    <w:rsid w:val="02092C94"/>
    <w:rsid w:val="021653B1"/>
    <w:rsid w:val="024C0DD3"/>
    <w:rsid w:val="02533F0F"/>
    <w:rsid w:val="028C11CF"/>
    <w:rsid w:val="02A767F1"/>
    <w:rsid w:val="02B4470B"/>
    <w:rsid w:val="02B80216"/>
    <w:rsid w:val="02BD79F4"/>
    <w:rsid w:val="02CB7F49"/>
    <w:rsid w:val="02CF7A3A"/>
    <w:rsid w:val="02D3485F"/>
    <w:rsid w:val="030A17AF"/>
    <w:rsid w:val="034C2738"/>
    <w:rsid w:val="035B53EC"/>
    <w:rsid w:val="037B7F18"/>
    <w:rsid w:val="039E5752"/>
    <w:rsid w:val="03A04F32"/>
    <w:rsid w:val="03CD3298"/>
    <w:rsid w:val="0486237A"/>
    <w:rsid w:val="049329AF"/>
    <w:rsid w:val="049F51EA"/>
    <w:rsid w:val="04A44EF6"/>
    <w:rsid w:val="04CB4231"/>
    <w:rsid w:val="04D46306"/>
    <w:rsid w:val="04EF3743"/>
    <w:rsid w:val="04F33A06"/>
    <w:rsid w:val="05310411"/>
    <w:rsid w:val="054F4E62"/>
    <w:rsid w:val="05A16753"/>
    <w:rsid w:val="05AF3B52"/>
    <w:rsid w:val="05DC421B"/>
    <w:rsid w:val="05E30782"/>
    <w:rsid w:val="05FD4158"/>
    <w:rsid w:val="06021276"/>
    <w:rsid w:val="061D0ABC"/>
    <w:rsid w:val="0627193B"/>
    <w:rsid w:val="064249C6"/>
    <w:rsid w:val="064A6F47"/>
    <w:rsid w:val="06540256"/>
    <w:rsid w:val="0664493D"/>
    <w:rsid w:val="067F3525"/>
    <w:rsid w:val="06BE710D"/>
    <w:rsid w:val="06DC2725"/>
    <w:rsid w:val="06ED486D"/>
    <w:rsid w:val="06F2601B"/>
    <w:rsid w:val="06FA2BAB"/>
    <w:rsid w:val="06FC2DC7"/>
    <w:rsid w:val="06FE6B3F"/>
    <w:rsid w:val="07133C6D"/>
    <w:rsid w:val="07283BBC"/>
    <w:rsid w:val="072B6F49"/>
    <w:rsid w:val="07342561"/>
    <w:rsid w:val="075B5D40"/>
    <w:rsid w:val="0765056A"/>
    <w:rsid w:val="07667BB2"/>
    <w:rsid w:val="07794418"/>
    <w:rsid w:val="078828AD"/>
    <w:rsid w:val="07BE1E2B"/>
    <w:rsid w:val="082223BA"/>
    <w:rsid w:val="08361F61"/>
    <w:rsid w:val="08585DDB"/>
    <w:rsid w:val="087A7807"/>
    <w:rsid w:val="08B33959"/>
    <w:rsid w:val="08DD2784"/>
    <w:rsid w:val="08DF3674"/>
    <w:rsid w:val="08E41D65"/>
    <w:rsid w:val="09102B5A"/>
    <w:rsid w:val="09293C1C"/>
    <w:rsid w:val="098826F0"/>
    <w:rsid w:val="09AF2373"/>
    <w:rsid w:val="09BF1E8A"/>
    <w:rsid w:val="09F935EE"/>
    <w:rsid w:val="0A312D88"/>
    <w:rsid w:val="0A41622F"/>
    <w:rsid w:val="0A4C309B"/>
    <w:rsid w:val="0A560A40"/>
    <w:rsid w:val="0A6C3DC0"/>
    <w:rsid w:val="0A892BC4"/>
    <w:rsid w:val="0AB32F67"/>
    <w:rsid w:val="0AC2018B"/>
    <w:rsid w:val="0AD86622"/>
    <w:rsid w:val="0AEF054D"/>
    <w:rsid w:val="0AFA5870"/>
    <w:rsid w:val="0B440899"/>
    <w:rsid w:val="0B554854"/>
    <w:rsid w:val="0B5E5DFE"/>
    <w:rsid w:val="0B642CE9"/>
    <w:rsid w:val="0B8F4572"/>
    <w:rsid w:val="0B9C06D5"/>
    <w:rsid w:val="0BC33EB3"/>
    <w:rsid w:val="0BC419DA"/>
    <w:rsid w:val="0BD7170D"/>
    <w:rsid w:val="0C3B6140"/>
    <w:rsid w:val="0C476893"/>
    <w:rsid w:val="0C5B40EC"/>
    <w:rsid w:val="0C607954"/>
    <w:rsid w:val="0C61547A"/>
    <w:rsid w:val="0C686809"/>
    <w:rsid w:val="0C8373CF"/>
    <w:rsid w:val="0C9D4705"/>
    <w:rsid w:val="0CB51A76"/>
    <w:rsid w:val="0D05643B"/>
    <w:rsid w:val="0D461552"/>
    <w:rsid w:val="0D464D9C"/>
    <w:rsid w:val="0D614217"/>
    <w:rsid w:val="0DB241E0"/>
    <w:rsid w:val="0DB53CD0"/>
    <w:rsid w:val="0DF57489"/>
    <w:rsid w:val="0DF742E8"/>
    <w:rsid w:val="0E625C06"/>
    <w:rsid w:val="0E83640A"/>
    <w:rsid w:val="0EAE1417"/>
    <w:rsid w:val="0ECE329B"/>
    <w:rsid w:val="0EE505E5"/>
    <w:rsid w:val="0F3E4E43"/>
    <w:rsid w:val="0F566DED"/>
    <w:rsid w:val="0FA1450C"/>
    <w:rsid w:val="0FAF0E26"/>
    <w:rsid w:val="0FD038C7"/>
    <w:rsid w:val="0FDD4B1F"/>
    <w:rsid w:val="0FE64614"/>
    <w:rsid w:val="0FE8038D"/>
    <w:rsid w:val="10262C63"/>
    <w:rsid w:val="103F5AD3"/>
    <w:rsid w:val="105709C9"/>
    <w:rsid w:val="108F0808"/>
    <w:rsid w:val="10B77D5F"/>
    <w:rsid w:val="10BA0895"/>
    <w:rsid w:val="10C84C25"/>
    <w:rsid w:val="10D64689"/>
    <w:rsid w:val="11075191"/>
    <w:rsid w:val="11145517"/>
    <w:rsid w:val="111D5D5A"/>
    <w:rsid w:val="111E1B8C"/>
    <w:rsid w:val="1125116C"/>
    <w:rsid w:val="11405FA6"/>
    <w:rsid w:val="1152547D"/>
    <w:rsid w:val="1162031D"/>
    <w:rsid w:val="119A7465"/>
    <w:rsid w:val="11A036CE"/>
    <w:rsid w:val="11C815CF"/>
    <w:rsid w:val="11CB5870"/>
    <w:rsid w:val="11D02E86"/>
    <w:rsid w:val="123A47A4"/>
    <w:rsid w:val="124E024F"/>
    <w:rsid w:val="125F76F2"/>
    <w:rsid w:val="126D2DCB"/>
    <w:rsid w:val="12962DFA"/>
    <w:rsid w:val="12F47048"/>
    <w:rsid w:val="12FB1166"/>
    <w:rsid w:val="12FE566B"/>
    <w:rsid w:val="133756FE"/>
    <w:rsid w:val="134F2A5F"/>
    <w:rsid w:val="13A30C34"/>
    <w:rsid w:val="13AD711E"/>
    <w:rsid w:val="13E21B19"/>
    <w:rsid w:val="14333BA0"/>
    <w:rsid w:val="144831DD"/>
    <w:rsid w:val="14494352"/>
    <w:rsid w:val="14520243"/>
    <w:rsid w:val="14A867BA"/>
    <w:rsid w:val="14E56EB1"/>
    <w:rsid w:val="14F852D9"/>
    <w:rsid w:val="156644E7"/>
    <w:rsid w:val="157601E9"/>
    <w:rsid w:val="158D5230"/>
    <w:rsid w:val="159927CF"/>
    <w:rsid w:val="15C076B6"/>
    <w:rsid w:val="15D95C1C"/>
    <w:rsid w:val="15DF178B"/>
    <w:rsid w:val="1618304E"/>
    <w:rsid w:val="162D4C24"/>
    <w:rsid w:val="16445B83"/>
    <w:rsid w:val="165A5414"/>
    <w:rsid w:val="165F2A2B"/>
    <w:rsid w:val="166C5148"/>
    <w:rsid w:val="166D0234"/>
    <w:rsid w:val="167D1103"/>
    <w:rsid w:val="16A3500D"/>
    <w:rsid w:val="16C17241"/>
    <w:rsid w:val="16FB6BF7"/>
    <w:rsid w:val="170F4451"/>
    <w:rsid w:val="1720040C"/>
    <w:rsid w:val="17306175"/>
    <w:rsid w:val="174001E4"/>
    <w:rsid w:val="176B182A"/>
    <w:rsid w:val="17740758"/>
    <w:rsid w:val="177D585E"/>
    <w:rsid w:val="179A45B6"/>
    <w:rsid w:val="17A75370"/>
    <w:rsid w:val="17B7378B"/>
    <w:rsid w:val="17BA172D"/>
    <w:rsid w:val="17CA481C"/>
    <w:rsid w:val="17DE3E23"/>
    <w:rsid w:val="17DF2A99"/>
    <w:rsid w:val="17E21B65"/>
    <w:rsid w:val="17F17FFA"/>
    <w:rsid w:val="182E6B59"/>
    <w:rsid w:val="18334F9A"/>
    <w:rsid w:val="18356139"/>
    <w:rsid w:val="183C062F"/>
    <w:rsid w:val="185A5BA0"/>
    <w:rsid w:val="185A794E"/>
    <w:rsid w:val="185C1EE0"/>
    <w:rsid w:val="185E6EB6"/>
    <w:rsid w:val="18AE6DE7"/>
    <w:rsid w:val="18B74DA0"/>
    <w:rsid w:val="18CC15ED"/>
    <w:rsid w:val="18E84F59"/>
    <w:rsid w:val="18FE477D"/>
    <w:rsid w:val="190C4F45"/>
    <w:rsid w:val="19502AFF"/>
    <w:rsid w:val="1969191D"/>
    <w:rsid w:val="196B4518"/>
    <w:rsid w:val="19856C4C"/>
    <w:rsid w:val="198A392A"/>
    <w:rsid w:val="1997072D"/>
    <w:rsid w:val="19A20B4F"/>
    <w:rsid w:val="19AA66B3"/>
    <w:rsid w:val="19B72B7E"/>
    <w:rsid w:val="19C5236C"/>
    <w:rsid w:val="1A00180A"/>
    <w:rsid w:val="1A0A53A3"/>
    <w:rsid w:val="1A516B2E"/>
    <w:rsid w:val="1A756CC1"/>
    <w:rsid w:val="1AB1581F"/>
    <w:rsid w:val="1AC0098C"/>
    <w:rsid w:val="1ACD2659"/>
    <w:rsid w:val="1AFD2812"/>
    <w:rsid w:val="1B0758FD"/>
    <w:rsid w:val="1B204EAB"/>
    <w:rsid w:val="1B5763C6"/>
    <w:rsid w:val="1B6C00C4"/>
    <w:rsid w:val="1B813443"/>
    <w:rsid w:val="1BAC6712"/>
    <w:rsid w:val="1BBD091F"/>
    <w:rsid w:val="1C200EAE"/>
    <w:rsid w:val="1C60574F"/>
    <w:rsid w:val="1C754516"/>
    <w:rsid w:val="1C96585A"/>
    <w:rsid w:val="1CAA0778"/>
    <w:rsid w:val="1CBF4223"/>
    <w:rsid w:val="1CC64099"/>
    <w:rsid w:val="1CE9788F"/>
    <w:rsid w:val="1CFF2872"/>
    <w:rsid w:val="1D496DC2"/>
    <w:rsid w:val="1DD71A40"/>
    <w:rsid w:val="1E073968"/>
    <w:rsid w:val="1E0837BE"/>
    <w:rsid w:val="1E2E729A"/>
    <w:rsid w:val="1E591960"/>
    <w:rsid w:val="1E5D6DE0"/>
    <w:rsid w:val="1E5E4D57"/>
    <w:rsid w:val="1E69544E"/>
    <w:rsid w:val="1E803E86"/>
    <w:rsid w:val="1EC30786"/>
    <w:rsid w:val="1ED16490"/>
    <w:rsid w:val="1EF77EF6"/>
    <w:rsid w:val="1EFF4D1E"/>
    <w:rsid w:val="1F4D78E4"/>
    <w:rsid w:val="1F503DF8"/>
    <w:rsid w:val="1FA228EE"/>
    <w:rsid w:val="1FB5190D"/>
    <w:rsid w:val="1FED554B"/>
    <w:rsid w:val="201725C8"/>
    <w:rsid w:val="20710D0B"/>
    <w:rsid w:val="20745325"/>
    <w:rsid w:val="20937EA1"/>
    <w:rsid w:val="212C3E86"/>
    <w:rsid w:val="21352A19"/>
    <w:rsid w:val="21985D98"/>
    <w:rsid w:val="21A26717"/>
    <w:rsid w:val="21C32917"/>
    <w:rsid w:val="21DA1AFF"/>
    <w:rsid w:val="21F04E7F"/>
    <w:rsid w:val="21FF14CD"/>
    <w:rsid w:val="222608A0"/>
    <w:rsid w:val="223E5BEA"/>
    <w:rsid w:val="22433200"/>
    <w:rsid w:val="22456F79"/>
    <w:rsid w:val="2267625F"/>
    <w:rsid w:val="226C6BFB"/>
    <w:rsid w:val="2298179E"/>
    <w:rsid w:val="22A85759"/>
    <w:rsid w:val="22B42350"/>
    <w:rsid w:val="22E845A7"/>
    <w:rsid w:val="22EA7B20"/>
    <w:rsid w:val="22F10B70"/>
    <w:rsid w:val="2303007B"/>
    <w:rsid w:val="232B2612"/>
    <w:rsid w:val="232E5C5F"/>
    <w:rsid w:val="2338088B"/>
    <w:rsid w:val="233A4603"/>
    <w:rsid w:val="23963804"/>
    <w:rsid w:val="239758BD"/>
    <w:rsid w:val="23AA1D17"/>
    <w:rsid w:val="23AF6E65"/>
    <w:rsid w:val="23E50309"/>
    <w:rsid w:val="24197AF2"/>
    <w:rsid w:val="24233E34"/>
    <w:rsid w:val="243A0633"/>
    <w:rsid w:val="2496290D"/>
    <w:rsid w:val="24B12ABC"/>
    <w:rsid w:val="24B228BF"/>
    <w:rsid w:val="25441520"/>
    <w:rsid w:val="25494FD2"/>
    <w:rsid w:val="254D7F7A"/>
    <w:rsid w:val="25D41548"/>
    <w:rsid w:val="25D66AB7"/>
    <w:rsid w:val="25E371D4"/>
    <w:rsid w:val="26095B77"/>
    <w:rsid w:val="26154EB4"/>
    <w:rsid w:val="264D28A0"/>
    <w:rsid w:val="26521602"/>
    <w:rsid w:val="265C2AE3"/>
    <w:rsid w:val="26A338B2"/>
    <w:rsid w:val="27054078"/>
    <w:rsid w:val="27201D62"/>
    <w:rsid w:val="274A6DDF"/>
    <w:rsid w:val="27612030"/>
    <w:rsid w:val="27624C01"/>
    <w:rsid w:val="276F7F3A"/>
    <w:rsid w:val="277B168E"/>
    <w:rsid w:val="277D5407"/>
    <w:rsid w:val="278E3170"/>
    <w:rsid w:val="279664C8"/>
    <w:rsid w:val="27A110F5"/>
    <w:rsid w:val="27AC7A9A"/>
    <w:rsid w:val="27C70430"/>
    <w:rsid w:val="27D55D47"/>
    <w:rsid w:val="27E15995"/>
    <w:rsid w:val="27F07987"/>
    <w:rsid w:val="27FD4DB1"/>
    <w:rsid w:val="28125B4F"/>
    <w:rsid w:val="281D55C8"/>
    <w:rsid w:val="28926C90"/>
    <w:rsid w:val="28AA222B"/>
    <w:rsid w:val="28CF4308"/>
    <w:rsid w:val="28DD7B11"/>
    <w:rsid w:val="29066720"/>
    <w:rsid w:val="29354D1A"/>
    <w:rsid w:val="293D2493"/>
    <w:rsid w:val="29B641A3"/>
    <w:rsid w:val="29DA269C"/>
    <w:rsid w:val="29E452C9"/>
    <w:rsid w:val="29E928DF"/>
    <w:rsid w:val="29FA2D3E"/>
    <w:rsid w:val="29FD282F"/>
    <w:rsid w:val="2A0732DC"/>
    <w:rsid w:val="2A0E1DA3"/>
    <w:rsid w:val="2A0F07CB"/>
    <w:rsid w:val="2A42251A"/>
    <w:rsid w:val="2A672779"/>
    <w:rsid w:val="2A697EC4"/>
    <w:rsid w:val="2A7C19A5"/>
    <w:rsid w:val="2A9F5694"/>
    <w:rsid w:val="2ACF5971"/>
    <w:rsid w:val="2ADA66CC"/>
    <w:rsid w:val="2AF46052"/>
    <w:rsid w:val="2B0379D1"/>
    <w:rsid w:val="2BBD4024"/>
    <w:rsid w:val="2BC538CE"/>
    <w:rsid w:val="2BC64379"/>
    <w:rsid w:val="2BD903BF"/>
    <w:rsid w:val="2BF0285A"/>
    <w:rsid w:val="2C025EDA"/>
    <w:rsid w:val="2C2B7E03"/>
    <w:rsid w:val="2C6170A5"/>
    <w:rsid w:val="2C817A09"/>
    <w:rsid w:val="2C877DC8"/>
    <w:rsid w:val="2CB573F1"/>
    <w:rsid w:val="2CD8457F"/>
    <w:rsid w:val="2D200D0E"/>
    <w:rsid w:val="2D293ED8"/>
    <w:rsid w:val="2D360531"/>
    <w:rsid w:val="2D4B16D2"/>
    <w:rsid w:val="2D5B3AF4"/>
    <w:rsid w:val="2D727090"/>
    <w:rsid w:val="2D766B80"/>
    <w:rsid w:val="2DD13DB6"/>
    <w:rsid w:val="2DD92C6B"/>
    <w:rsid w:val="2E075A2A"/>
    <w:rsid w:val="2E283646"/>
    <w:rsid w:val="2EB3170E"/>
    <w:rsid w:val="2F0D5D93"/>
    <w:rsid w:val="2F406891"/>
    <w:rsid w:val="2F8E0CE8"/>
    <w:rsid w:val="2FD91648"/>
    <w:rsid w:val="2FE21531"/>
    <w:rsid w:val="2FE91CEC"/>
    <w:rsid w:val="30634296"/>
    <w:rsid w:val="30647164"/>
    <w:rsid w:val="306E0B42"/>
    <w:rsid w:val="307B199E"/>
    <w:rsid w:val="30A36FF1"/>
    <w:rsid w:val="30BC4A8F"/>
    <w:rsid w:val="30C23098"/>
    <w:rsid w:val="30EB45DA"/>
    <w:rsid w:val="30FF1132"/>
    <w:rsid w:val="30FF63EF"/>
    <w:rsid w:val="310D4304"/>
    <w:rsid w:val="312525F7"/>
    <w:rsid w:val="312F7772"/>
    <w:rsid w:val="31353353"/>
    <w:rsid w:val="314D2F38"/>
    <w:rsid w:val="3150593A"/>
    <w:rsid w:val="316A69FC"/>
    <w:rsid w:val="317E24A7"/>
    <w:rsid w:val="31952DD6"/>
    <w:rsid w:val="31AF08B2"/>
    <w:rsid w:val="31B732C3"/>
    <w:rsid w:val="31CC4FC0"/>
    <w:rsid w:val="31F7433A"/>
    <w:rsid w:val="325131C7"/>
    <w:rsid w:val="3253409F"/>
    <w:rsid w:val="325D20BC"/>
    <w:rsid w:val="325E6415"/>
    <w:rsid w:val="32803FFD"/>
    <w:rsid w:val="328A4FE6"/>
    <w:rsid w:val="32953ED5"/>
    <w:rsid w:val="32C75788"/>
    <w:rsid w:val="32D57EA5"/>
    <w:rsid w:val="32E20814"/>
    <w:rsid w:val="330C18FB"/>
    <w:rsid w:val="33185FE3"/>
    <w:rsid w:val="3321758E"/>
    <w:rsid w:val="3355548A"/>
    <w:rsid w:val="335A65FC"/>
    <w:rsid w:val="337369E5"/>
    <w:rsid w:val="33900270"/>
    <w:rsid w:val="33916868"/>
    <w:rsid w:val="33BB353F"/>
    <w:rsid w:val="33CB74FA"/>
    <w:rsid w:val="342C0ACC"/>
    <w:rsid w:val="342C7F98"/>
    <w:rsid w:val="344D7F0F"/>
    <w:rsid w:val="345E3ECA"/>
    <w:rsid w:val="346F60D7"/>
    <w:rsid w:val="34894BBA"/>
    <w:rsid w:val="34A02734"/>
    <w:rsid w:val="34B044FD"/>
    <w:rsid w:val="34CE5611"/>
    <w:rsid w:val="34F82570"/>
    <w:rsid w:val="352300D8"/>
    <w:rsid w:val="3546372A"/>
    <w:rsid w:val="35571045"/>
    <w:rsid w:val="35586B6B"/>
    <w:rsid w:val="355E0625"/>
    <w:rsid w:val="35B20971"/>
    <w:rsid w:val="35B71AE4"/>
    <w:rsid w:val="35BE2E72"/>
    <w:rsid w:val="35D8677A"/>
    <w:rsid w:val="36054F45"/>
    <w:rsid w:val="360B0496"/>
    <w:rsid w:val="361231BE"/>
    <w:rsid w:val="362058DB"/>
    <w:rsid w:val="36211653"/>
    <w:rsid w:val="36780E50"/>
    <w:rsid w:val="36BF4B72"/>
    <w:rsid w:val="36C62378"/>
    <w:rsid w:val="36E355FB"/>
    <w:rsid w:val="36E91C82"/>
    <w:rsid w:val="36F92F47"/>
    <w:rsid w:val="374675C3"/>
    <w:rsid w:val="376A752C"/>
    <w:rsid w:val="37CE75B8"/>
    <w:rsid w:val="3801173C"/>
    <w:rsid w:val="38031EDD"/>
    <w:rsid w:val="38033923"/>
    <w:rsid w:val="38051BB9"/>
    <w:rsid w:val="38080D1C"/>
    <w:rsid w:val="3819279E"/>
    <w:rsid w:val="38194CD8"/>
    <w:rsid w:val="38366EFB"/>
    <w:rsid w:val="383E029A"/>
    <w:rsid w:val="384B29B7"/>
    <w:rsid w:val="385555E4"/>
    <w:rsid w:val="38637D01"/>
    <w:rsid w:val="38AE3672"/>
    <w:rsid w:val="38BC1BDC"/>
    <w:rsid w:val="38E87BBB"/>
    <w:rsid w:val="38ED3A6E"/>
    <w:rsid w:val="390239BE"/>
    <w:rsid w:val="390E32F6"/>
    <w:rsid w:val="3914549F"/>
    <w:rsid w:val="392D1322"/>
    <w:rsid w:val="393B2A2C"/>
    <w:rsid w:val="3962620A"/>
    <w:rsid w:val="39AB434B"/>
    <w:rsid w:val="39B4157B"/>
    <w:rsid w:val="39BD44BE"/>
    <w:rsid w:val="39E41149"/>
    <w:rsid w:val="39EB26A4"/>
    <w:rsid w:val="39FC6ECE"/>
    <w:rsid w:val="3A3F654C"/>
    <w:rsid w:val="3A5A25A6"/>
    <w:rsid w:val="3A726921"/>
    <w:rsid w:val="3AA50AA5"/>
    <w:rsid w:val="3AB962FE"/>
    <w:rsid w:val="3ACF5B21"/>
    <w:rsid w:val="3AD575DA"/>
    <w:rsid w:val="3AEE41FA"/>
    <w:rsid w:val="3AF85078"/>
    <w:rsid w:val="3B516536"/>
    <w:rsid w:val="3B7010B2"/>
    <w:rsid w:val="3B9A612F"/>
    <w:rsid w:val="3BAF0C04"/>
    <w:rsid w:val="3BB30F9F"/>
    <w:rsid w:val="3BCE5DD9"/>
    <w:rsid w:val="3C030EA1"/>
    <w:rsid w:val="3C073192"/>
    <w:rsid w:val="3C0B0DDB"/>
    <w:rsid w:val="3C0B3260"/>
    <w:rsid w:val="3C26744A"/>
    <w:rsid w:val="3C2C3893"/>
    <w:rsid w:val="3C430575"/>
    <w:rsid w:val="3C4349FB"/>
    <w:rsid w:val="3C5B6705"/>
    <w:rsid w:val="3CB472A8"/>
    <w:rsid w:val="3CC1149A"/>
    <w:rsid w:val="3CDC62D4"/>
    <w:rsid w:val="3CE44D6B"/>
    <w:rsid w:val="3D0D1C09"/>
    <w:rsid w:val="3D101FEB"/>
    <w:rsid w:val="3D1141CF"/>
    <w:rsid w:val="3D136199"/>
    <w:rsid w:val="3D1B75AF"/>
    <w:rsid w:val="3D251A29"/>
    <w:rsid w:val="3D5A3DC8"/>
    <w:rsid w:val="3D9A2417"/>
    <w:rsid w:val="3DE96EFA"/>
    <w:rsid w:val="3E1C107E"/>
    <w:rsid w:val="3E626DED"/>
    <w:rsid w:val="3E653A0F"/>
    <w:rsid w:val="3EA370A9"/>
    <w:rsid w:val="3EB9054F"/>
    <w:rsid w:val="3EC86B10"/>
    <w:rsid w:val="3ED41E38"/>
    <w:rsid w:val="3EED2A1A"/>
    <w:rsid w:val="3EEECE1A"/>
    <w:rsid w:val="3F3C0E6A"/>
    <w:rsid w:val="3F4F0FDF"/>
    <w:rsid w:val="3F9904AC"/>
    <w:rsid w:val="3FC714BD"/>
    <w:rsid w:val="3FF35426"/>
    <w:rsid w:val="40560AE5"/>
    <w:rsid w:val="409E1999"/>
    <w:rsid w:val="40CD48B8"/>
    <w:rsid w:val="40E340D5"/>
    <w:rsid w:val="40F005A0"/>
    <w:rsid w:val="41063629"/>
    <w:rsid w:val="414C1C7A"/>
    <w:rsid w:val="41582048"/>
    <w:rsid w:val="41653AC2"/>
    <w:rsid w:val="41A25F3E"/>
    <w:rsid w:val="41AC70DE"/>
    <w:rsid w:val="41B0748D"/>
    <w:rsid w:val="41C51A2C"/>
    <w:rsid w:val="41DA54D8"/>
    <w:rsid w:val="41EE0F83"/>
    <w:rsid w:val="41F2582A"/>
    <w:rsid w:val="41FF4F3E"/>
    <w:rsid w:val="42375938"/>
    <w:rsid w:val="424F7AFC"/>
    <w:rsid w:val="42AC04F6"/>
    <w:rsid w:val="42EF1C2D"/>
    <w:rsid w:val="430640AA"/>
    <w:rsid w:val="432B3B11"/>
    <w:rsid w:val="43503F67"/>
    <w:rsid w:val="43807133"/>
    <w:rsid w:val="43827BD5"/>
    <w:rsid w:val="438644B5"/>
    <w:rsid w:val="438A4CDB"/>
    <w:rsid w:val="43B753A5"/>
    <w:rsid w:val="44153056"/>
    <w:rsid w:val="44544A76"/>
    <w:rsid w:val="448E1010"/>
    <w:rsid w:val="44D73F50"/>
    <w:rsid w:val="44E4666D"/>
    <w:rsid w:val="45A007E6"/>
    <w:rsid w:val="45AC0F39"/>
    <w:rsid w:val="45AC4E6E"/>
    <w:rsid w:val="45B20519"/>
    <w:rsid w:val="45F90867"/>
    <w:rsid w:val="460C7193"/>
    <w:rsid w:val="462907DC"/>
    <w:rsid w:val="4642189D"/>
    <w:rsid w:val="46805F22"/>
    <w:rsid w:val="4682613E"/>
    <w:rsid w:val="4683047E"/>
    <w:rsid w:val="47541888"/>
    <w:rsid w:val="475C698F"/>
    <w:rsid w:val="47661AC2"/>
    <w:rsid w:val="476A2C72"/>
    <w:rsid w:val="479A2668"/>
    <w:rsid w:val="47AA2B40"/>
    <w:rsid w:val="47AC326C"/>
    <w:rsid w:val="47AC3472"/>
    <w:rsid w:val="47C415B1"/>
    <w:rsid w:val="47D93B3C"/>
    <w:rsid w:val="47F646ED"/>
    <w:rsid w:val="481132D5"/>
    <w:rsid w:val="481D611E"/>
    <w:rsid w:val="48335942"/>
    <w:rsid w:val="487815A6"/>
    <w:rsid w:val="48C20A74"/>
    <w:rsid w:val="48DF33D4"/>
    <w:rsid w:val="492F31C0"/>
    <w:rsid w:val="49301E81"/>
    <w:rsid w:val="494557C4"/>
    <w:rsid w:val="4972249A"/>
    <w:rsid w:val="49830203"/>
    <w:rsid w:val="49966F85"/>
    <w:rsid w:val="49A563CB"/>
    <w:rsid w:val="49C8593B"/>
    <w:rsid w:val="4A110D60"/>
    <w:rsid w:val="4A5E2A1E"/>
    <w:rsid w:val="4A6873F9"/>
    <w:rsid w:val="4A7D10F6"/>
    <w:rsid w:val="4AAC42E7"/>
    <w:rsid w:val="4ACE54AE"/>
    <w:rsid w:val="4AD221CC"/>
    <w:rsid w:val="4AD64F49"/>
    <w:rsid w:val="4B076C12"/>
    <w:rsid w:val="4B2E0642"/>
    <w:rsid w:val="4B983D0E"/>
    <w:rsid w:val="4B9934BC"/>
    <w:rsid w:val="4BA234C7"/>
    <w:rsid w:val="4BAF428B"/>
    <w:rsid w:val="4BE62CCB"/>
    <w:rsid w:val="4BEF12BE"/>
    <w:rsid w:val="4C1E2465"/>
    <w:rsid w:val="4C2F01CE"/>
    <w:rsid w:val="4C34368B"/>
    <w:rsid w:val="4C567E51"/>
    <w:rsid w:val="4C5E0AB3"/>
    <w:rsid w:val="4C6D0CF6"/>
    <w:rsid w:val="4C8C5620"/>
    <w:rsid w:val="4CA706AC"/>
    <w:rsid w:val="4CB701C3"/>
    <w:rsid w:val="4CBE72DA"/>
    <w:rsid w:val="4CCA7EF7"/>
    <w:rsid w:val="4CD314A1"/>
    <w:rsid w:val="4CDB65A8"/>
    <w:rsid w:val="4CDD7C2A"/>
    <w:rsid w:val="4CF542D3"/>
    <w:rsid w:val="4D021D86"/>
    <w:rsid w:val="4D066599"/>
    <w:rsid w:val="4D387556"/>
    <w:rsid w:val="4D9218E1"/>
    <w:rsid w:val="4DC64B62"/>
    <w:rsid w:val="4DC95567"/>
    <w:rsid w:val="4DD42A2F"/>
    <w:rsid w:val="4DDD3C5A"/>
    <w:rsid w:val="4E125FF9"/>
    <w:rsid w:val="4E2078E8"/>
    <w:rsid w:val="4E4C6AC5"/>
    <w:rsid w:val="4E5E7C38"/>
    <w:rsid w:val="4E5F44A6"/>
    <w:rsid w:val="4E685B94"/>
    <w:rsid w:val="4E8005CA"/>
    <w:rsid w:val="4EA03605"/>
    <w:rsid w:val="4EA74993"/>
    <w:rsid w:val="4EA824BA"/>
    <w:rsid w:val="4EF92D15"/>
    <w:rsid w:val="4F1B0EDE"/>
    <w:rsid w:val="4F226D6F"/>
    <w:rsid w:val="4F6E725F"/>
    <w:rsid w:val="4FC43C9F"/>
    <w:rsid w:val="4FCD4416"/>
    <w:rsid w:val="4FD176D0"/>
    <w:rsid w:val="4FE51205"/>
    <w:rsid w:val="4FF43314"/>
    <w:rsid w:val="5026374E"/>
    <w:rsid w:val="505910FD"/>
    <w:rsid w:val="505C75EA"/>
    <w:rsid w:val="505D1E8E"/>
    <w:rsid w:val="507E55A3"/>
    <w:rsid w:val="50877CF3"/>
    <w:rsid w:val="508D5E0B"/>
    <w:rsid w:val="509B1CB1"/>
    <w:rsid w:val="50B11AF9"/>
    <w:rsid w:val="50B37D27"/>
    <w:rsid w:val="50BE1397"/>
    <w:rsid w:val="50C03AEB"/>
    <w:rsid w:val="50C40DD7"/>
    <w:rsid w:val="50C64E79"/>
    <w:rsid w:val="50EA2AF2"/>
    <w:rsid w:val="512322CB"/>
    <w:rsid w:val="51493AE0"/>
    <w:rsid w:val="51532BB1"/>
    <w:rsid w:val="515D758B"/>
    <w:rsid w:val="518A2886"/>
    <w:rsid w:val="518C1C1F"/>
    <w:rsid w:val="519A258E"/>
    <w:rsid w:val="51B57672"/>
    <w:rsid w:val="51EE6435"/>
    <w:rsid w:val="51F17743"/>
    <w:rsid w:val="521045FE"/>
    <w:rsid w:val="5237602E"/>
    <w:rsid w:val="5273781C"/>
    <w:rsid w:val="528D62B1"/>
    <w:rsid w:val="52F925D0"/>
    <w:rsid w:val="532E399E"/>
    <w:rsid w:val="53364538"/>
    <w:rsid w:val="53446C55"/>
    <w:rsid w:val="537665AA"/>
    <w:rsid w:val="53782DBB"/>
    <w:rsid w:val="54024923"/>
    <w:rsid w:val="5474356A"/>
    <w:rsid w:val="547E6196"/>
    <w:rsid w:val="54931516"/>
    <w:rsid w:val="54C54DE0"/>
    <w:rsid w:val="54DB5397"/>
    <w:rsid w:val="54F503EE"/>
    <w:rsid w:val="54FB1595"/>
    <w:rsid w:val="55173EF5"/>
    <w:rsid w:val="55364B38"/>
    <w:rsid w:val="555313D1"/>
    <w:rsid w:val="559534D4"/>
    <w:rsid w:val="55A84374"/>
    <w:rsid w:val="55AB1785"/>
    <w:rsid w:val="55E04545"/>
    <w:rsid w:val="55EA5046"/>
    <w:rsid w:val="55FE64BD"/>
    <w:rsid w:val="561D19DF"/>
    <w:rsid w:val="56200FBF"/>
    <w:rsid w:val="564E37C5"/>
    <w:rsid w:val="568832FC"/>
    <w:rsid w:val="56A44031"/>
    <w:rsid w:val="56A85AB0"/>
    <w:rsid w:val="56B714EC"/>
    <w:rsid w:val="56DC53F6"/>
    <w:rsid w:val="56FC2A7A"/>
    <w:rsid w:val="57047689"/>
    <w:rsid w:val="57212E09"/>
    <w:rsid w:val="572333E8"/>
    <w:rsid w:val="57713D91"/>
    <w:rsid w:val="579E28D1"/>
    <w:rsid w:val="57F77651"/>
    <w:rsid w:val="584056FE"/>
    <w:rsid w:val="584766AC"/>
    <w:rsid w:val="58580AAD"/>
    <w:rsid w:val="58675193"/>
    <w:rsid w:val="58887411"/>
    <w:rsid w:val="58F632BA"/>
    <w:rsid w:val="590D7AE9"/>
    <w:rsid w:val="5915699E"/>
    <w:rsid w:val="594B0611"/>
    <w:rsid w:val="59653481"/>
    <w:rsid w:val="5975743C"/>
    <w:rsid w:val="59C44A38"/>
    <w:rsid w:val="59D16D68"/>
    <w:rsid w:val="59DD570D"/>
    <w:rsid w:val="59EF5441"/>
    <w:rsid w:val="59F64A21"/>
    <w:rsid w:val="59FA694D"/>
    <w:rsid w:val="5A113609"/>
    <w:rsid w:val="5A2C0443"/>
    <w:rsid w:val="5A461504"/>
    <w:rsid w:val="5A4E660B"/>
    <w:rsid w:val="5A8C6946"/>
    <w:rsid w:val="5AC73CC7"/>
    <w:rsid w:val="5AD85ED5"/>
    <w:rsid w:val="5AEB5C08"/>
    <w:rsid w:val="5AFB5A70"/>
    <w:rsid w:val="5B043B8C"/>
    <w:rsid w:val="5B1A64ED"/>
    <w:rsid w:val="5B647A38"/>
    <w:rsid w:val="5B700A53"/>
    <w:rsid w:val="5B914A01"/>
    <w:rsid w:val="5B9F1014"/>
    <w:rsid w:val="5BF27270"/>
    <w:rsid w:val="5C0E0752"/>
    <w:rsid w:val="5C0F4C20"/>
    <w:rsid w:val="5C164F06"/>
    <w:rsid w:val="5C2238AB"/>
    <w:rsid w:val="5C383A38"/>
    <w:rsid w:val="5C855BE8"/>
    <w:rsid w:val="5C983B6D"/>
    <w:rsid w:val="5CC02802"/>
    <w:rsid w:val="5CD21F84"/>
    <w:rsid w:val="5D0E613A"/>
    <w:rsid w:val="5D177188"/>
    <w:rsid w:val="5D373386"/>
    <w:rsid w:val="5D4635C9"/>
    <w:rsid w:val="5D535CE6"/>
    <w:rsid w:val="5D791FAA"/>
    <w:rsid w:val="5DAE574E"/>
    <w:rsid w:val="5DEA2501"/>
    <w:rsid w:val="5DEC200B"/>
    <w:rsid w:val="5DEF5A0F"/>
    <w:rsid w:val="5E331DA0"/>
    <w:rsid w:val="5E4D76A5"/>
    <w:rsid w:val="5E5166CA"/>
    <w:rsid w:val="5E780E5B"/>
    <w:rsid w:val="5EB50A07"/>
    <w:rsid w:val="5EC2182D"/>
    <w:rsid w:val="5EDE387F"/>
    <w:rsid w:val="5EE412EC"/>
    <w:rsid w:val="5EE94600"/>
    <w:rsid w:val="5EEC1F4F"/>
    <w:rsid w:val="5EF3152F"/>
    <w:rsid w:val="5F0B6879"/>
    <w:rsid w:val="5F36141C"/>
    <w:rsid w:val="5F447FDD"/>
    <w:rsid w:val="5F60062F"/>
    <w:rsid w:val="5F70492E"/>
    <w:rsid w:val="5F721217"/>
    <w:rsid w:val="5F8B1768"/>
    <w:rsid w:val="5F985888"/>
    <w:rsid w:val="5FC34395"/>
    <w:rsid w:val="5FF94923"/>
    <w:rsid w:val="60212886"/>
    <w:rsid w:val="602337DF"/>
    <w:rsid w:val="602C2F4B"/>
    <w:rsid w:val="60681AA9"/>
    <w:rsid w:val="60827C2A"/>
    <w:rsid w:val="60CA4515"/>
    <w:rsid w:val="61110B23"/>
    <w:rsid w:val="61164429"/>
    <w:rsid w:val="614C4F26"/>
    <w:rsid w:val="614C769B"/>
    <w:rsid w:val="616D0E9D"/>
    <w:rsid w:val="6181227D"/>
    <w:rsid w:val="61AD1E69"/>
    <w:rsid w:val="61D95824"/>
    <w:rsid w:val="61DA0784"/>
    <w:rsid w:val="61DF4F25"/>
    <w:rsid w:val="61F72758"/>
    <w:rsid w:val="622639C9"/>
    <w:rsid w:val="62347E94"/>
    <w:rsid w:val="623615CA"/>
    <w:rsid w:val="6239194F"/>
    <w:rsid w:val="623B528F"/>
    <w:rsid w:val="62436329"/>
    <w:rsid w:val="624E2A9B"/>
    <w:rsid w:val="62824F6D"/>
    <w:rsid w:val="62AF7F3F"/>
    <w:rsid w:val="62B337E3"/>
    <w:rsid w:val="62CF7BBD"/>
    <w:rsid w:val="630272DB"/>
    <w:rsid w:val="63302D52"/>
    <w:rsid w:val="634702E2"/>
    <w:rsid w:val="63617B43"/>
    <w:rsid w:val="636522D0"/>
    <w:rsid w:val="63857C95"/>
    <w:rsid w:val="63A76BDA"/>
    <w:rsid w:val="63DF02D4"/>
    <w:rsid w:val="641E63C8"/>
    <w:rsid w:val="64790B19"/>
    <w:rsid w:val="649102B0"/>
    <w:rsid w:val="64AC6408"/>
    <w:rsid w:val="64AD2180"/>
    <w:rsid w:val="64AF5EF8"/>
    <w:rsid w:val="64BA66CA"/>
    <w:rsid w:val="64C34049"/>
    <w:rsid w:val="64D15E6F"/>
    <w:rsid w:val="65200BA4"/>
    <w:rsid w:val="65401246"/>
    <w:rsid w:val="654A5C21"/>
    <w:rsid w:val="65513A47"/>
    <w:rsid w:val="658E038D"/>
    <w:rsid w:val="659C3ABC"/>
    <w:rsid w:val="659F2386"/>
    <w:rsid w:val="65FA13F5"/>
    <w:rsid w:val="66065FEC"/>
    <w:rsid w:val="661F2C0A"/>
    <w:rsid w:val="661F4759"/>
    <w:rsid w:val="66402BC6"/>
    <w:rsid w:val="66417024"/>
    <w:rsid w:val="664D7777"/>
    <w:rsid w:val="667E3DD4"/>
    <w:rsid w:val="66835660"/>
    <w:rsid w:val="66D86EEC"/>
    <w:rsid w:val="67034F8B"/>
    <w:rsid w:val="67332E10"/>
    <w:rsid w:val="67691A21"/>
    <w:rsid w:val="677B6565"/>
    <w:rsid w:val="678C0773"/>
    <w:rsid w:val="678E6299"/>
    <w:rsid w:val="6795184E"/>
    <w:rsid w:val="679F2254"/>
    <w:rsid w:val="67A51EC1"/>
    <w:rsid w:val="67B35CFF"/>
    <w:rsid w:val="67D320AA"/>
    <w:rsid w:val="68150176"/>
    <w:rsid w:val="68307350"/>
    <w:rsid w:val="683913C9"/>
    <w:rsid w:val="683A27FC"/>
    <w:rsid w:val="6861575B"/>
    <w:rsid w:val="686D2352"/>
    <w:rsid w:val="68B27D65"/>
    <w:rsid w:val="68B41D2F"/>
    <w:rsid w:val="68EB3277"/>
    <w:rsid w:val="693E5A9D"/>
    <w:rsid w:val="694C261D"/>
    <w:rsid w:val="695B664F"/>
    <w:rsid w:val="69C2588F"/>
    <w:rsid w:val="69DF38CB"/>
    <w:rsid w:val="69FC6B39"/>
    <w:rsid w:val="6A0C7949"/>
    <w:rsid w:val="6A190855"/>
    <w:rsid w:val="6A1D029D"/>
    <w:rsid w:val="6A1F142A"/>
    <w:rsid w:val="6A2309CD"/>
    <w:rsid w:val="6A2B4273"/>
    <w:rsid w:val="6A2C3B47"/>
    <w:rsid w:val="6A582B8E"/>
    <w:rsid w:val="6A615EE7"/>
    <w:rsid w:val="6A701C86"/>
    <w:rsid w:val="6A8E65B0"/>
    <w:rsid w:val="6AA933EA"/>
    <w:rsid w:val="6AB13288"/>
    <w:rsid w:val="6B303DC0"/>
    <w:rsid w:val="6B476E8A"/>
    <w:rsid w:val="6B4A697B"/>
    <w:rsid w:val="6B5748D8"/>
    <w:rsid w:val="6B5C38F4"/>
    <w:rsid w:val="6B7B6B34"/>
    <w:rsid w:val="6B881251"/>
    <w:rsid w:val="6B916DF5"/>
    <w:rsid w:val="6BC229B5"/>
    <w:rsid w:val="6BD10E4A"/>
    <w:rsid w:val="6C103720"/>
    <w:rsid w:val="6C1C5489"/>
    <w:rsid w:val="6C2D1001"/>
    <w:rsid w:val="6C2F7E97"/>
    <w:rsid w:val="6C3F5DB4"/>
    <w:rsid w:val="6C5A0E3F"/>
    <w:rsid w:val="6C7F2654"/>
    <w:rsid w:val="6CC0205D"/>
    <w:rsid w:val="6CEC143C"/>
    <w:rsid w:val="6D09032B"/>
    <w:rsid w:val="6D0931DE"/>
    <w:rsid w:val="6D404752"/>
    <w:rsid w:val="6D6668C3"/>
    <w:rsid w:val="6D9051A0"/>
    <w:rsid w:val="6D9914F3"/>
    <w:rsid w:val="6DB279DA"/>
    <w:rsid w:val="6DD24A05"/>
    <w:rsid w:val="6E0F7A08"/>
    <w:rsid w:val="6E393953"/>
    <w:rsid w:val="6E587601"/>
    <w:rsid w:val="6E644211"/>
    <w:rsid w:val="6E95615F"/>
    <w:rsid w:val="6EA21699"/>
    <w:rsid w:val="6ED8604B"/>
    <w:rsid w:val="6F027AF7"/>
    <w:rsid w:val="6F044BF1"/>
    <w:rsid w:val="6F26325B"/>
    <w:rsid w:val="6F6B5112"/>
    <w:rsid w:val="6F6F69B0"/>
    <w:rsid w:val="6F9C351D"/>
    <w:rsid w:val="6FAA0C45"/>
    <w:rsid w:val="6FB940CF"/>
    <w:rsid w:val="6FBB39A3"/>
    <w:rsid w:val="700B6747"/>
    <w:rsid w:val="703A6FBE"/>
    <w:rsid w:val="70801449"/>
    <w:rsid w:val="709F4389"/>
    <w:rsid w:val="70AE65AA"/>
    <w:rsid w:val="70B5428E"/>
    <w:rsid w:val="70D93F49"/>
    <w:rsid w:val="70E128AC"/>
    <w:rsid w:val="70E1634E"/>
    <w:rsid w:val="70F21646"/>
    <w:rsid w:val="70FF2AA0"/>
    <w:rsid w:val="71107D1F"/>
    <w:rsid w:val="71316D8D"/>
    <w:rsid w:val="715C2F64"/>
    <w:rsid w:val="715F4802"/>
    <w:rsid w:val="71654D19"/>
    <w:rsid w:val="71904F75"/>
    <w:rsid w:val="719E17CE"/>
    <w:rsid w:val="71A768D5"/>
    <w:rsid w:val="71E66C33"/>
    <w:rsid w:val="71E76CD1"/>
    <w:rsid w:val="72205CFE"/>
    <w:rsid w:val="72336342"/>
    <w:rsid w:val="72676064"/>
    <w:rsid w:val="72842772"/>
    <w:rsid w:val="72844C7D"/>
    <w:rsid w:val="72A36BE8"/>
    <w:rsid w:val="72AE77EF"/>
    <w:rsid w:val="72D54ABB"/>
    <w:rsid w:val="72DD00D4"/>
    <w:rsid w:val="73193F46"/>
    <w:rsid w:val="731D4975"/>
    <w:rsid w:val="734903DF"/>
    <w:rsid w:val="73AB3D2F"/>
    <w:rsid w:val="73BE7F06"/>
    <w:rsid w:val="73CD3228"/>
    <w:rsid w:val="73E3796C"/>
    <w:rsid w:val="74134DFB"/>
    <w:rsid w:val="742D3D9C"/>
    <w:rsid w:val="7434641A"/>
    <w:rsid w:val="74387CB8"/>
    <w:rsid w:val="74463A57"/>
    <w:rsid w:val="745B25CA"/>
    <w:rsid w:val="74A06616"/>
    <w:rsid w:val="74AE1D28"/>
    <w:rsid w:val="74C55995"/>
    <w:rsid w:val="74FD49B7"/>
    <w:rsid w:val="75840CDB"/>
    <w:rsid w:val="7586788F"/>
    <w:rsid w:val="7589009F"/>
    <w:rsid w:val="75AA6994"/>
    <w:rsid w:val="75C86411"/>
    <w:rsid w:val="76237386"/>
    <w:rsid w:val="762B7F17"/>
    <w:rsid w:val="76317141"/>
    <w:rsid w:val="76377AFB"/>
    <w:rsid w:val="765B1A3C"/>
    <w:rsid w:val="767E397C"/>
    <w:rsid w:val="76A5715B"/>
    <w:rsid w:val="76DB2A57"/>
    <w:rsid w:val="76DD68F5"/>
    <w:rsid w:val="77100A78"/>
    <w:rsid w:val="771147F0"/>
    <w:rsid w:val="783B1B25"/>
    <w:rsid w:val="784328C1"/>
    <w:rsid w:val="78DA1D7B"/>
    <w:rsid w:val="78F13662"/>
    <w:rsid w:val="79091C23"/>
    <w:rsid w:val="793E7C5B"/>
    <w:rsid w:val="7955517B"/>
    <w:rsid w:val="79560DFC"/>
    <w:rsid w:val="79674B9C"/>
    <w:rsid w:val="79905EA0"/>
    <w:rsid w:val="79AC1FDF"/>
    <w:rsid w:val="79BC1425"/>
    <w:rsid w:val="79E24222"/>
    <w:rsid w:val="7A100D8F"/>
    <w:rsid w:val="7A140880"/>
    <w:rsid w:val="7A1C75A3"/>
    <w:rsid w:val="7A1E34AC"/>
    <w:rsid w:val="7A236D15"/>
    <w:rsid w:val="7A2E6992"/>
    <w:rsid w:val="7A394769"/>
    <w:rsid w:val="7A6A4943"/>
    <w:rsid w:val="7ABA2586"/>
    <w:rsid w:val="7ADB75EF"/>
    <w:rsid w:val="7AE71AF0"/>
    <w:rsid w:val="7AFB284B"/>
    <w:rsid w:val="7B413F7E"/>
    <w:rsid w:val="7B6273C9"/>
    <w:rsid w:val="7B735A7A"/>
    <w:rsid w:val="7B885D10"/>
    <w:rsid w:val="7B914152"/>
    <w:rsid w:val="7B9B0B2D"/>
    <w:rsid w:val="7BC02341"/>
    <w:rsid w:val="7BD1454E"/>
    <w:rsid w:val="7BDA78A7"/>
    <w:rsid w:val="7BE74CFC"/>
    <w:rsid w:val="7BEE6B88"/>
    <w:rsid w:val="7BF7570B"/>
    <w:rsid w:val="7C2E345F"/>
    <w:rsid w:val="7C5036C5"/>
    <w:rsid w:val="7C5424A5"/>
    <w:rsid w:val="7C5A2796"/>
    <w:rsid w:val="7C605268"/>
    <w:rsid w:val="7C6A0C2B"/>
    <w:rsid w:val="7CAB42E6"/>
    <w:rsid w:val="7CC320E9"/>
    <w:rsid w:val="7CCA791B"/>
    <w:rsid w:val="7CDE33C7"/>
    <w:rsid w:val="7CF46746"/>
    <w:rsid w:val="7CFA2429"/>
    <w:rsid w:val="7D00333D"/>
    <w:rsid w:val="7D6C2781"/>
    <w:rsid w:val="7D8C4BD1"/>
    <w:rsid w:val="7DA939D5"/>
    <w:rsid w:val="7DB86548"/>
    <w:rsid w:val="7DD00F61"/>
    <w:rsid w:val="7DDA1DE0"/>
    <w:rsid w:val="7DDB3462"/>
    <w:rsid w:val="7DF034F9"/>
    <w:rsid w:val="7E4B05E8"/>
    <w:rsid w:val="7E5D00E7"/>
    <w:rsid w:val="7E9F7825"/>
    <w:rsid w:val="7EB4618D"/>
    <w:rsid w:val="7EE84089"/>
    <w:rsid w:val="7F1E5CFC"/>
    <w:rsid w:val="7F376DBE"/>
    <w:rsid w:val="7F7162F6"/>
    <w:rsid w:val="7F9A7019"/>
    <w:rsid w:val="7FB81CAD"/>
    <w:rsid w:val="7FC85D75"/>
    <w:rsid w:val="7FD5583B"/>
    <w:rsid w:val="7FDE196C"/>
    <w:rsid w:val="7FE138D8"/>
    <w:rsid w:val="7FE31449"/>
    <w:rsid w:val="7FE405C7"/>
    <w:rsid w:val="7FE5681A"/>
    <w:rsid w:val="7FEF736C"/>
    <w:rsid w:val="7FF52F01"/>
    <w:rsid w:val="7FF8479F"/>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4"/>
    <w:next w:val="4"/>
    <w:autoRedefine/>
    <w:qFormat/>
    <w:uiPriority w:val="0"/>
    <w:pPr>
      <w:keepNext/>
      <w:keepLines/>
      <w:spacing w:beforeLines="0" w:beforeAutospacing="0" w:afterLines="0" w:afterAutospacing="0" w:line="600" w:lineRule="exact"/>
      <w:outlineLvl w:val="0"/>
    </w:pPr>
    <w:rPr>
      <w:rFonts w:eastAsia="黑体"/>
      <w:b/>
      <w:kern w:val="44"/>
    </w:rPr>
  </w:style>
  <w:style w:type="paragraph" w:styleId="6">
    <w:name w:val="heading 2"/>
    <w:basedOn w:val="1"/>
    <w:next w:val="1"/>
    <w:autoRedefine/>
    <w:unhideWhenUsed/>
    <w:qFormat/>
    <w:uiPriority w:val="0"/>
    <w:pPr>
      <w:keepNext/>
      <w:keepLines/>
      <w:spacing w:beforeLines="0" w:beforeAutospacing="0" w:afterLines="0" w:afterAutospacing="0" w:line="600" w:lineRule="exact"/>
      <w:outlineLvl w:val="1"/>
    </w:pPr>
    <w:rPr>
      <w:rFonts w:ascii="Arial" w:hAnsi="Arial" w:eastAsia="楷体"/>
      <w:b/>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 w:type="paragraph" w:customStyle="1" w:styleId="20">
    <w:name w:val="List Paragraph"/>
    <w:basedOn w:val="1"/>
    <w:autoRedefine/>
    <w:qFormat/>
    <w:uiPriority w:val="99"/>
    <w:pPr>
      <w:ind w:firstLine="420" w:firstLineChars="200"/>
    </w:pPr>
    <w:rPr>
      <w:rFonts w:ascii="Times New Roman" w:hAnsi="Times New Roman"/>
      <w:szCs w:val="24"/>
    </w:rPr>
  </w:style>
  <w:style w:type="paragraph" w:customStyle="1" w:styleId="21">
    <w:name w:val="WPSOffice手动目录 3"/>
    <w:autoRedefine/>
    <w:qFormat/>
    <w:uiPriority w:val="0"/>
    <w:pPr>
      <w:ind w:leftChars="400"/>
    </w:pPr>
    <w:rPr>
      <w:rFonts w:ascii="Times New Roman" w:hAnsi="Times New Roman" w:eastAsia="宋体" w:cs="Times New Roman"/>
      <w:sz w:val="20"/>
      <w:szCs w:val="20"/>
    </w:rPr>
  </w:style>
  <w:style w:type="character" w:customStyle="1" w:styleId="22">
    <w:name w:val="font21"/>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7268</Words>
  <Characters>7762</Characters>
  <Lines>1</Lines>
  <Paragraphs>1</Paragraphs>
  <TotalTime>9</TotalTime>
  <ScaleCrop>false</ScaleCrop>
  <LinksUpToDate>false</LinksUpToDate>
  <CharactersWithSpaces>8010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DE93A51160994309952032D671EB62C8_13</vt:lpwstr>
  </property>
</Properties>
</file>