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一、部门概况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（一）基本情况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根据《中华人民共和国审计法》及其实施条例和《湖南省审计监督条例》规定，北塔区审计局履行以下主要职责： 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一）主管全区审计工作。负责对全区财政收支和法律法规规定属于审计监督范围的财务收支的真实、合法和效益进行审计监督，对公共资金、国有资产、国有资源和领导干部履行经济责任情况实行审计全覆盖，对领导干部实行自然资源资产离任审计，对中央和省委、省政府，市委、市政府、区委、区政府有关重大政策措施贯彻落实情况进行跟踪审计。对审计、专项审计调查和核查社会审计机构相关审计报告的结果承担责任，并负有督促被审计单位整改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二）贯彻执行中央、省、市关于审计工作的方针、政策和法律法规，拟定我区审计政策，制定审计业务制度并监督执行。制定并组织实施全区专业领域审计工作规划。参与起草全区审计、财政经济有关规定和规范性文件草案。对直接审计、调查和核查的事项依法进行审计评价，作出审计决定或提出审计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三）向区委审计委员会提出年度区级预算执行和其他财政支出情况审计报告。向区政府区长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乡（街道）党工委和政府（管委）通报审计情况和审计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（四）直接审计下列事项，出具审计报告，在法定职权范围内做出审计决定：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1、中央和省委、省政府、市委、市政府、区委、区政府有关重大政策措施贯彻落实情况；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2、区级预算执行情况和其他财政收支，区直各部门（含直属单位）预算执行情况、决算草案和其他财政收支；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3、乡（街道）政府（管委）预算执行情况、决算草案和其他财政收支，中央和省级财政转移支付资金；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4、使用区财政资金的事业单位和社会团体的财务收支；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5、区政府投资和以区政府投资为主的建设项目的预算执行情况和决算，区重大公共工程项目的资金管理使用和建设运营情况；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6、自然资源管理、污染防治和生态保护与修复情况；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7、区属国有企业、区属资本占控股或主导地位企业的资产、负债和损益情况；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8、有关社会保障基金、社会捐赠资金以及其他有关基金、资金的财务收支；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9、国际组织和外国政府援助、贷款项目；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10、法律法规规定的其他事项。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（五）按规定对区管党政主要领导干部及其他单位主要负责人实施经济责任审计和自然资源资产离任审计。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（六）组织实施对国家财经法律法规、规章、政策和宏观调控措施执行情况、财政预算管理及国有资产管理使用等与国家财政收支有关的特定事项进行专项审计调查。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（七）负责审计署、省审计厅、市审计局授权的审计项目和专项审计调查项目的组织实施。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（八）依法检查审计决定执行情况，督促整改审计查出的问题，依法办理被审计单位对审计决定提请行政复议、行政诉讼或区政府裁决中的有关事项。协助配合有关部门查处相关重大案件。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（九）指导和监督内部审计工作，核查社会审计机构对依法属于审计监督对象的单位出具的相关审计报告。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（十）指导和推广信息技术在全区审计系统的应用。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（十一）完成区委、区政府交办的其他任务。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十二）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2.机构情况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局机关内设机构为办公室、经济责任审计股、综合审计股、政府投资审计股。下设1个全额事业单位二级机构为北塔区审计服务中心。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Chars="200" w:right="0" w:rightChars="0"/>
        <w:jc w:val="both"/>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3.</w:t>
      </w:r>
      <w:r>
        <w:rPr>
          <w:rFonts w:hint="eastAsia" w:ascii="宋体" w:hAnsi="宋体" w:eastAsia="宋体" w:cs="宋体"/>
          <w:color w:val="444444"/>
          <w:kern w:val="0"/>
          <w:sz w:val="28"/>
          <w:szCs w:val="28"/>
          <w:shd w:val="clear" w:fill="FFFFFF"/>
        </w:rPr>
        <w:t>人员情况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区审计局行政编制人数4人，机关后勤服务全额拨款事业编制1名（人员只出不进），事业编制2人，临聘2人。实有人数13人，离退休2人，小车编制数0台，实际无。房屋面积100.16平方米。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二、部门整体支出管理及使用情况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（一）基本支出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319.05万元，比上年同口径增加</w:t>
      </w:r>
      <w:r>
        <w:rPr>
          <w:rFonts w:hint="eastAsia" w:ascii="宋体" w:hAnsi="宋体" w:eastAsia="宋体" w:cs="宋体"/>
          <w:color w:val="444444"/>
          <w:kern w:val="0"/>
          <w:sz w:val="28"/>
          <w:szCs w:val="28"/>
          <w:shd w:val="clear" w:fill="FFFFFF"/>
          <w:lang w:val="en-US" w:eastAsia="zh-CN"/>
        </w:rPr>
        <w:t>196.76</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160.90</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172.05</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147</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0.04</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0.04</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人次。2021年“三公”经费实际开支总额比2020年同口径减少</w:t>
      </w:r>
      <w:r>
        <w:rPr>
          <w:rFonts w:hint="eastAsia" w:ascii="宋体" w:hAnsi="宋体" w:eastAsia="宋体" w:cs="宋体"/>
          <w:color w:val="444444"/>
          <w:kern w:val="0"/>
          <w:sz w:val="28"/>
          <w:szCs w:val="28"/>
          <w:shd w:val="clear" w:fill="FFFFFF"/>
          <w:lang w:val="en-US" w:eastAsia="zh-CN"/>
        </w:rPr>
        <w:t>0.05</w:t>
      </w:r>
      <w:r>
        <w:rPr>
          <w:rFonts w:hint="eastAsia" w:ascii="宋体" w:hAnsi="宋体" w:eastAsia="宋体" w:cs="宋体"/>
          <w:color w:val="444444"/>
          <w:kern w:val="0"/>
          <w:sz w:val="28"/>
          <w:szCs w:val="28"/>
          <w:shd w:val="clear" w:fill="FFFFFF"/>
        </w:rPr>
        <w:t>万元，下降</w:t>
      </w:r>
      <w:r>
        <w:rPr>
          <w:rFonts w:hint="eastAsia" w:ascii="宋体" w:hAnsi="宋体" w:eastAsia="宋体" w:cs="宋体"/>
          <w:color w:val="444444"/>
          <w:kern w:val="0"/>
          <w:sz w:val="28"/>
          <w:szCs w:val="28"/>
          <w:shd w:val="clear" w:fill="FFFFFF"/>
          <w:lang w:val="en-US" w:eastAsia="zh-CN"/>
        </w:rPr>
        <w:t>55.56</w:t>
      </w:r>
      <w:r>
        <w:rPr>
          <w:rFonts w:hint="eastAsia" w:ascii="宋体" w:hAnsi="宋体" w:eastAsia="宋体" w:cs="宋体"/>
          <w:color w:val="444444"/>
          <w:kern w:val="0"/>
          <w:sz w:val="28"/>
          <w:szCs w:val="28"/>
          <w:shd w:val="clear" w:fill="FFFFFF"/>
        </w:rPr>
        <w:t>%。原因为</w:t>
      </w:r>
      <w:r>
        <w:rPr>
          <w:rFonts w:hint="eastAsia" w:ascii="宋体" w:hAnsi="宋体" w:eastAsia="宋体" w:cs="宋体"/>
          <w:color w:val="444444"/>
          <w:kern w:val="0"/>
          <w:sz w:val="28"/>
          <w:szCs w:val="28"/>
          <w:shd w:val="clear" w:fill="FFFFFF"/>
          <w:lang w:val="en-US" w:eastAsia="zh-CN"/>
        </w:rPr>
        <w:t>厉行节俭，节约开支。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（二）专项支出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val="en-US" w:eastAsia="zh-CN"/>
        </w:rPr>
        <w:t>审计</w:t>
      </w:r>
      <w:r>
        <w:rPr>
          <w:rFonts w:hint="eastAsia" w:ascii="宋体" w:hAnsi="宋体" w:eastAsia="宋体" w:cs="宋体"/>
          <w:color w:val="444444"/>
          <w:kern w:val="0"/>
          <w:sz w:val="28"/>
          <w:szCs w:val="28"/>
          <w:shd w:val="clear" w:fill="FFFFFF"/>
        </w:rPr>
        <w:t>工作而发生的支出。2021年我局组织实施</w:t>
      </w:r>
      <w:r>
        <w:rPr>
          <w:rFonts w:hint="eastAsia" w:ascii="宋体" w:hAnsi="宋体" w:eastAsia="宋体" w:cs="宋体"/>
          <w:color w:val="444444"/>
          <w:kern w:val="0"/>
          <w:sz w:val="28"/>
          <w:szCs w:val="28"/>
          <w:shd w:val="clear" w:fill="FFFFFF"/>
          <w:lang w:val="en-US" w:eastAsia="zh-CN"/>
        </w:rPr>
        <w:t>政府投资审计</w:t>
      </w:r>
      <w:r>
        <w:rPr>
          <w:rFonts w:hint="eastAsia" w:ascii="宋体" w:hAnsi="宋体" w:eastAsia="宋体" w:cs="宋体"/>
          <w:color w:val="444444"/>
          <w:kern w:val="0"/>
          <w:sz w:val="28"/>
          <w:szCs w:val="28"/>
          <w:shd w:val="clear" w:fill="FFFFFF"/>
        </w:rPr>
        <w:t>专项项目经费</w:t>
      </w:r>
      <w:r>
        <w:rPr>
          <w:rFonts w:hint="eastAsia" w:ascii="宋体" w:hAnsi="宋体" w:eastAsia="宋体" w:cs="宋体"/>
          <w:color w:val="444444"/>
          <w:kern w:val="0"/>
          <w:sz w:val="28"/>
          <w:szCs w:val="28"/>
          <w:shd w:val="clear" w:fill="FFFFFF"/>
          <w:lang w:val="en-US" w:eastAsia="zh-CN"/>
        </w:rPr>
        <w:t>转入基本支出核算。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三、资产管理情况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default" w:ascii="宋体" w:hAnsi="宋体" w:eastAsia="宋体" w:cs="宋体"/>
          <w:color w:val="444444"/>
          <w:kern w:val="0"/>
          <w:sz w:val="28"/>
          <w:szCs w:val="28"/>
          <w:shd w:val="clear" w:fill="FFFFFF"/>
          <w:lang w:val="en-US" w:eastAsia="zh-CN"/>
        </w:rPr>
        <w:t>我局资产管理由办公室负责，资产采购按程序实行报批采购，</w:t>
      </w:r>
      <w:r>
        <w:rPr>
          <w:rFonts w:hint="eastAsia" w:ascii="宋体" w:hAnsi="宋体" w:eastAsia="宋体" w:cs="宋体"/>
          <w:color w:val="444444"/>
          <w:kern w:val="0"/>
          <w:sz w:val="28"/>
          <w:szCs w:val="28"/>
          <w:shd w:val="clear" w:fill="FFFFFF"/>
          <w:lang w:val="en-US" w:eastAsia="zh-CN"/>
        </w:rPr>
        <w:t>统一在政采云平台下单，</w:t>
      </w:r>
      <w:r>
        <w:rPr>
          <w:rFonts w:hint="default" w:ascii="宋体" w:hAnsi="宋体" w:eastAsia="宋体" w:cs="宋体"/>
          <w:color w:val="444444"/>
          <w:kern w:val="0"/>
          <w:sz w:val="28"/>
          <w:szCs w:val="28"/>
          <w:shd w:val="clear" w:fill="FFFFFF"/>
          <w:lang w:val="en-US" w:eastAsia="zh-CN"/>
        </w:rPr>
        <w:t>采购后登记</w:t>
      </w:r>
      <w:r>
        <w:rPr>
          <w:rFonts w:hint="eastAsia" w:ascii="宋体" w:hAnsi="宋体" w:eastAsia="宋体" w:cs="宋体"/>
          <w:color w:val="444444"/>
          <w:kern w:val="0"/>
          <w:sz w:val="28"/>
          <w:szCs w:val="28"/>
          <w:shd w:val="clear" w:fill="FFFFFF"/>
          <w:lang w:val="en-US" w:eastAsia="zh-CN"/>
        </w:rPr>
        <w:t>入账，录入资产信息系统</w:t>
      </w:r>
      <w:r>
        <w:rPr>
          <w:rFonts w:hint="default" w:ascii="宋体" w:hAnsi="宋体" w:eastAsia="宋体" w:cs="宋体"/>
          <w:color w:val="444444"/>
          <w:kern w:val="0"/>
          <w:sz w:val="28"/>
          <w:szCs w:val="28"/>
          <w:shd w:val="clear" w:fill="FFFFFF"/>
          <w:lang w:val="en-US" w:eastAsia="zh-CN"/>
        </w:rPr>
        <w:t>，再派发到相关科室。</w:t>
      </w:r>
      <w:r>
        <w:rPr>
          <w:rFonts w:hint="eastAsia" w:ascii="宋体" w:hAnsi="宋体" w:eastAsia="宋体" w:cs="宋体"/>
          <w:color w:val="444444"/>
          <w:kern w:val="0"/>
          <w:sz w:val="28"/>
          <w:szCs w:val="28"/>
          <w:shd w:val="clear" w:fill="FFFFFF"/>
          <w:lang w:val="en-US" w:eastAsia="zh-CN"/>
        </w:rPr>
        <w:t>一是我局资产管理和使用坚持统一政策、统一领导、分级管理、责任到人、物尽其用的原则。</w:t>
      </w:r>
      <w:r>
        <w:rPr>
          <w:rFonts w:hint="default" w:ascii="宋体" w:hAnsi="宋体" w:eastAsia="宋体" w:cs="宋体"/>
          <w:color w:val="444444"/>
          <w:kern w:val="0"/>
          <w:sz w:val="28"/>
          <w:szCs w:val="28"/>
          <w:shd w:val="clear" w:fill="FFFFFF"/>
          <w:lang w:val="en-US" w:eastAsia="zh-CN"/>
        </w:rPr>
        <w:t>二是运用</w:t>
      </w:r>
      <w:r>
        <w:rPr>
          <w:rFonts w:hint="eastAsia" w:ascii="宋体" w:hAnsi="宋体" w:eastAsia="宋体" w:cs="宋体"/>
          <w:color w:val="444444"/>
          <w:kern w:val="0"/>
          <w:sz w:val="28"/>
          <w:szCs w:val="28"/>
          <w:shd w:val="clear" w:fill="FFFFFF"/>
          <w:lang w:val="en-US" w:eastAsia="zh-CN"/>
        </w:rPr>
        <w:t>资产</w:t>
      </w:r>
      <w:r>
        <w:rPr>
          <w:rFonts w:hint="default" w:ascii="宋体" w:hAnsi="宋体" w:eastAsia="宋体" w:cs="宋体"/>
          <w:color w:val="444444"/>
          <w:kern w:val="0"/>
          <w:sz w:val="28"/>
          <w:szCs w:val="28"/>
          <w:shd w:val="clear" w:fill="FFFFFF"/>
          <w:lang w:val="en-US" w:eastAsia="zh-CN"/>
        </w:rPr>
        <w:t>信息管理系统加强资产管理。</w:t>
      </w:r>
      <w:r>
        <w:rPr>
          <w:rFonts w:hint="eastAsia" w:ascii="宋体" w:hAnsi="宋体" w:eastAsia="宋体" w:cs="宋体"/>
          <w:color w:val="444444"/>
          <w:kern w:val="0"/>
          <w:sz w:val="28"/>
          <w:szCs w:val="28"/>
          <w:shd w:val="clear" w:fill="FFFFFF"/>
          <w:lang w:val="en-US" w:eastAsia="zh-CN"/>
        </w:rPr>
        <w:t>对</w:t>
      </w:r>
      <w:r>
        <w:rPr>
          <w:rFonts w:hint="default" w:ascii="宋体" w:hAnsi="宋体" w:eastAsia="宋体" w:cs="宋体"/>
          <w:color w:val="444444"/>
          <w:kern w:val="0"/>
          <w:sz w:val="28"/>
          <w:szCs w:val="28"/>
          <w:shd w:val="clear" w:fill="FFFFFF"/>
          <w:lang w:val="en-US" w:eastAsia="zh-CN"/>
        </w:rPr>
        <w:t>固定资产分别按使用部门、存放地点和</w:t>
      </w:r>
      <w:r>
        <w:rPr>
          <w:rFonts w:hint="eastAsia" w:ascii="宋体" w:hAnsi="宋体" w:eastAsia="宋体" w:cs="宋体"/>
          <w:color w:val="444444"/>
          <w:kern w:val="0"/>
          <w:sz w:val="28"/>
          <w:szCs w:val="28"/>
          <w:shd w:val="clear" w:fill="FFFFFF"/>
          <w:lang w:val="en-US" w:eastAsia="zh-CN"/>
        </w:rPr>
        <w:t>使用</w:t>
      </w:r>
      <w:r>
        <w:rPr>
          <w:rFonts w:hint="default" w:ascii="宋体" w:hAnsi="宋体" w:eastAsia="宋体" w:cs="宋体"/>
          <w:color w:val="444444"/>
          <w:kern w:val="0"/>
          <w:sz w:val="28"/>
          <w:szCs w:val="28"/>
          <w:shd w:val="clear" w:fill="FFFFFF"/>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宋体" w:hAnsi="宋体" w:eastAsia="宋体" w:cs="宋体"/>
          <w:color w:val="444444"/>
          <w:kern w:val="0"/>
          <w:sz w:val="28"/>
          <w:szCs w:val="28"/>
          <w:shd w:val="clear" w:fill="FFFFFF"/>
          <w:lang w:val="en-US" w:eastAsia="zh-CN"/>
        </w:rPr>
        <w:t>常态</w:t>
      </w:r>
      <w:r>
        <w:rPr>
          <w:rFonts w:hint="default" w:ascii="宋体" w:hAnsi="宋体" w:eastAsia="宋体" w:cs="宋体"/>
          <w:color w:val="444444"/>
          <w:kern w:val="0"/>
          <w:sz w:val="28"/>
          <w:szCs w:val="28"/>
          <w:shd w:val="clear" w:fill="FFFFFF"/>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宋体" w:hAnsi="宋体" w:eastAsia="宋体" w:cs="宋体"/>
          <w:color w:val="444444"/>
          <w:kern w:val="0"/>
          <w:sz w:val="28"/>
          <w:szCs w:val="28"/>
          <w:shd w:val="clear" w:fill="FFFFFF"/>
          <w:lang w:val="en-US" w:eastAsia="zh-CN"/>
        </w:rPr>
        <w:t>，每年编制一次固定资产年报。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截至2021年12月31日，邵阳市北塔区审计局资产总额为37.03万元，主要由以下部分构成：流动资产24.98万元,占资产总额的67.51%,主要为银行存款及其他应收款等;固定资产12.05万元,占资产总额的32.49%，主要包括办公设备、家具等。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0" w:right="0" w:firstLine="560" w:firstLineChars="200"/>
        <w:jc w:val="both"/>
      </w:pPr>
      <w:r>
        <w:rPr>
          <w:rFonts w:hint="eastAsia" w:ascii="宋体" w:hAnsi="宋体" w:eastAsia="宋体" w:cs="宋体"/>
          <w:color w:val="444444"/>
          <w:kern w:val="0"/>
          <w:sz w:val="28"/>
          <w:szCs w:val="28"/>
          <w:shd w:val="clear" w:fill="FFFFFF"/>
        </w:rPr>
        <w:t>四、部门整体支出绩效情况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default" w:eastAsia="宋体"/>
          <w:lang w:val="en-US" w:eastAsia="zh-CN"/>
        </w:rPr>
      </w:pP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（一）党的建设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政治建设。认真贯彻落实习近平总书记重要指示及党中央国务院、省委省政府、市委市政府以及区委区政府重大决策部署，区委常委会和区政府常务工作要点、会议议定事项，区委区政府主要领导指示批示事项；严格贯彻执行《中国共产党重大事项请示报告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思想建设。成立意识形态工作领导小组，严格按照“六个环节”开展11次党组理论学习中心组学习并邀请指导组旁听1次。全面完成党史学习教育各项工作任务。全体党员干部均在“学习强国”平台上积极学习，人均积分3万分以上。在市媒发布新闻稿42篇，区媒发布新闻稿3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3.组织建设。贯彻落实机关基层组织工作条例及省委《关于加强和改进新时代全省机关党的建设的实施意见》，按要求实施党支部“五化”建设提质工程，落实党员教育管理工作。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4.作风建设。全体审计干部职工自觉遵守党政领导干部廉政建设各项规定以及审计“八不准”、“四严禁”工作要求。党组专题研究工作3次，学习传达纠治“四风”工作、关于5起违法中央八项规定精神问题典型案例的通报、《中华人民共和国监察法实施条例》3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5.纪律建设。认真贯彻落实中央《关于加强对“一把手”和领导班子监督的意见》和市委《关于加强对“一把手”监督的十条措施》，全年无被书面通报、约谈、问责处理现象出现。围绕“清廉北塔”建设，继续加强“廉洁单位”创建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6.统战工作。组织干部职工认真学习贯彻《中国共产党统一战线工作条例》，全面准确深刻认识《条例》颁布和实施的重大意义。积极向组织、统战部门推荐党外干部和少数民族干部。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（二）实施“三高四新”“二中心一枢纽”和“四区二城”战略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1.乡村振兴。</w:t>
      </w:r>
      <w:r>
        <w:rPr>
          <w:rFonts w:hint="eastAsia" w:ascii="宋体" w:hAnsi="宋体" w:eastAsia="宋体" w:cs="宋体"/>
          <w:color w:val="444444"/>
          <w:kern w:val="0"/>
          <w:sz w:val="28"/>
          <w:szCs w:val="28"/>
          <w:shd w:val="clear" w:fill="FFFFFF"/>
          <w:lang w:val="zh-TW" w:eastAsia="zh-TW"/>
        </w:rPr>
        <w:t>贯彻落实</w:t>
      </w:r>
      <w:r>
        <w:rPr>
          <w:rFonts w:hint="eastAsia" w:ascii="宋体" w:hAnsi="宋体" w:eastAsia="宋体" w:cs="宋体"/>
          <w:color w:val="444444"/>
          <w:kern w:val="0"/>
          <w:sz w:val="28"/>
          <w:szCs w:val="28"/>
          <w:shd w:val="clear" w:fill="FFFFFF"/>
          <w:lang w:val="en-US" w:eastAsia="zh-CN"/>
        </w:rPr>
        <w:t>区</w:t>
      </w:r>
      <w:r>
        <w:rPr>
          <w:rFonts w:hint="eastAsia" w:ascii="宋体" w:hAnsi="宋体" w:eastAsia="宋体" w:cs="宋体"/>
          <w:color w:val="444444"/>
          <w:kern w:val="0"/>
          <w:sz w:val="28"/>
          <w:szCs w:val="28"/>
          <w:shd w:val="clear" w:fill="FFFFFF"/>
          <w:lang w:val="zh-TW" w:eastAsia="zh-TW"/>
        </w:rPr>
        <w:t>委</w:t>
      </w:r>
      <w:r>
        <w:rPr>
          <w:rFonts w:hint="eastAsia" w:ascii="宋体" w:hAnsi="宋体" w:eastAsia="宋体" w:cs="宋体"/>
          <w:color w:val="444444"/>
          <w:kern w:val="0"/>
          <w:sz w:val="28"/>
          <w:szCs w:val="28"/>
          <w:shd w:val="clear" w:fill="FFFFFF"/>
          <w:lang w:val="en-US" w:eastAsia="zh-CN"/>
        </w:rPr>
        <w:t>区</w:t>
      </w:r>
      <w:r>
        <w:rPr>
          <w:rFonts w:hint="eastAsia" w:ascii="宋体" w:hAnsi="宋体" w:eastAsia="宋体" w:cs="宋体"/>
          <w:color w:val="444444"/>
          <w:kern w:val="0"/>
          <w:sz w:val="28"/>
          <w:szCs w:val="28"/>
          <w:shd w:val="clear" w:fill="FFFFFF"/>
          <w:lang w:val="zh-TW" w:eastAsia="zh-TW"/>
        </w:rPr>
        <w:t>政府《关于巩固拓展脱贫攻坚成果全面推进乡村振兴加快农业农村现代化的实施意见》明确的相关任务</w:t>
      </w:r>
      <w:r>
        <w:rPr>
          <w:rFonts w:hint="eastAsia" w:ascii="宋体" w:hAnsi="宋体" w:eastAsia="宋体" w:cs="宋体"/>
          <w:color w:val="444444"/>
          <w:kern w:val="0"/>
          <w:sz w:val="28"/>
          <w:szCs w:val="28"/>
          <w:shd w:val="clear" w:fill="FFFFFF"/>
          <w:lang w:val="zh-TW" w:eastAsia="zh-CN"/>
        </w:rPr>
        <w:t>，</w:t>
      </w:r>
      <w:r>
        <w:rPr>
          <w:rFonts w:hint="eastAsia" w:ascii="宋体" w:hAnsi="宋体" w:eastAsia="宋体" w:cs="宋体"/>
          <w:color w:val="444444"/>
          <w:kern w:val="0"/>
          <w:sz w:val="28"/>
          <w:szCs w:val="28"/>
          <w:shd w:val="clear" w:fill="FFFFFF"/>
          <w:lang w:val="en-US" w:eastAsia="zh-CN"/>
        </w:rPr>
        <w:t>明确乡村振兴相关领导和责任人，拨款2万元为兴旺村三塘冲片区维修水渠600米；资助5万元给予陈家桥镇光裕村360亩油茶基地管护。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2.创建全国文明城市。扎实开展文明单位常态化创建活动，每月在联点楼栋、社区、路段开展常态化志愿服务活动，弘扬志愿服务精神，提升市民文明交通素养。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落实市、区《政府工作报告》工作任务。严格财政预算制度，强化公共财政管理和国有资产监管。制定禁毒工作方案与无毒单位创建工作方案，按照方案开展禁毒宣传4次。组织党员干部到红色教育基地重温入党誓词,接受党性教育5次。树立“过紧日子”意识，坚决压缩一般性支出，严格执行“三重一大”集体决策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（三）法治建设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1.依法行政。制定了《北塔区审计局2021年度行政执法工作方案》，开展社区普法活动4次，</w:t>
      </w:r>
      <w:r>
        <w:rPr>
          <w:rFonts w:hint="eastAsia" w:ascii="宋体" w:hAnsi="宋体" w:eastAsia="宋体" w:cs="宋体"/>
          <w:color w:val="444444"/>
          <w:kern w:val="0"/>
          <w:sz w:val="28"/>
          <w:szCs w:val="28"/>
          <w:shd w:val="clear" w:fill="FFFFFF"/>
          <w:lang w:val="zh-TW" w:eastAsia="zh-TW"/>
        </w:rPr>
        <w:t>完成普法考试</w:t>
      </w:r>
      <w:r>
        <w:rPr>
          <w:rFonts w:hint="eastAsia" w:ascii="宋体" w:hAnsi="宋体" w:eastAsia="宋体" w:cs="宋体"/>
          <w:color w:val="444444"/>
          <w:kern w:val="0"/>
          <w:sz w:val="28"/>
          <w:szCs w:val="28"/>
          <w:shd w:val="clear" w:fill="FFFFFF"/>
          <w:lang w:val="zh-TW" w:eastAsia="zh-CN"/>
        </w:rPr>
        <w:t>，</w:t>
      </w:r>
      <w:r>
        <w:rPr>
          <w:rFonts w:hint="eastAsia" w:ascii="宋体" w:hAnsi="宋体" w:eastAsia="宋体" w:cs="宋体"/>
          <w:color w:val="444444"/>
          <w:kern w:val="0"/>
          <w:sz w:val="28"/>
          <w:szCs w:val="28"/>
          <w:shd w:val="clear" w:fill="FFFFFF"/>
          <w:lang w:val="zh-TW" w:eastAsia="zh-TW"/>
        </w:rPr>
        <w:t>参考率和合格率</w:t>
      </w:r>
      <w:r>
        <w:rPr>
          <w:rFonts w:hint="eastAsia" w:ascii="宋体" w:hAnsi="宋体" w:eastAsia="宋体" w:cs="宋体"/>
          <w:color w:val="444444"/>
          <w:kern w:val="0"/>
          <w:sz w:val="28"/>
          <w:szCs w:val="28"/>
          <w:shd w:val="clear" w:fill="FFFFFF"/>
          <w:lang w:val="zh-TW" w:eastAsia="zh-CN"/>
        </w:rPr>
        <w:t>达到</w:t>
      </w:r>
      <w:r>
        <w:rPr>
          <w:rFonts w:hint="eastAsia" w:ascii="宋体" w:hAnsi="宋体" w:eastAsia="宋体" w:cs="宋体"/>
          <w:color w:val="444444"/>
          <w:kern w:val="0"/>
          <w:sz w:val="28"/>
          <w:szCs w:val="28"/>
          <w:shd w:val="clear" w:fill="FFFFFF"/>
          <w:lang w:val="zh-TW" w:eastAsia="zh-TW"/>
        </w:rPr>
        <w:t>100%</w:t>
      </w:r>
      <w:r>
        <w:rPr>
          <w:rFonts w:hint="eastAsia" w:ascii="宋体" w:hAnsi="宋体" w:eastAsia="宋体" w:cs="宋体"/>
          <w:color w:val="444444"/>
          <w:kern w:val="0"/>
          <w:sz w:val="28"/>
          <w:szCs w:val="28"/>
          <w:shd w:val="clear" w:fill="FFFFFF"/>
          <w:lang w:val="zh-TW" w:eastAsia="zh-CN"/>
        </w:rPr>
        <w:t>，</w:t>
      </w:r>
      <w:r>
        <w:rPr>
          <w:rFonts w:hint="eastAsia" w:ascii="宋体" w:hAnsi="宋体" w:eastAsia="宋体" w:cs="宋体"/>
          <w:color w:val="444444"/>
          <w:kern w:val="0"/>
          <w:sz w:val="28"/>
          <w:szCs w:val="28"/>
          <w:shd w:val="clear" w:fill="FFFFFF"/>
          <w:lang w:val="en-US" w:eastAsia="zh-CN"/>
        </w:rPr>
        <w:t>不断规范执法行为，努力提高执法水平，大力推动文明执法。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平安建设。开展圆梦微心愿活动3次、召开民情恳谈会2次，收集了民情民意4条，并安排3万元工作经费帮助新渡社区开展环境卫生整治工作、开展民情走访活动2次，走访群众280余户，安装国家反诈中心App80人次，发放电信网络诈骗宣传手册、新冠肺炎疫情防控工作宣传单以及创文宣传资料1000余份、组织开展“4•15全民国家安全教育日”1次、组织参观区国家安全教育展厅1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风险防控。抓好常态化疫情防控，落实各项防控措施，做好本单位的疫情防控工作，6月底，我局干部职工已完成100%新冠疫苗接种。党组履行国家安全主体责任，开展“4·15全民国家安全教育日”学习活动1次，全民国家安全教育日知识竞赛1次。建立健全网络综合治理体系，贯彻落实网络安全意识形态和网络安全工作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（四）2021年审计项目开展情况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1.预算执行审计（3个）。完成了2020年度区本级预算执行审计和茶元头街道办事处2017年8月至2019年12月部门预算执行审计，完成区退役军人事务</w:t>
      </w:r>
      <w:bookmarkStart w:id="1" w:name="_GoBack"/>
      <w:bookmarkEnd w:id="1"/>
      <w:r>
        <w:rPr>
          <w:rFonts w:hint="eastAsia" w:ascii="宋体" w:hAnsi="宋体" w:eastAsia="宋体" w:cs="宋体"/>
          <w:color w:val="444444"/>
          <w:kern w:val="0"/>
          <w:sz w:val="28"/>
          <w:szCs w:val="28"/>
          <w:shd w:val="clear" w:fill="FFFFFF"/>
          <w:lang w:val="en-US" w:eastAsia="zh-CN"/>
        </w:rPr>
        <w:t>局部门预算执行审计。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2.基本建设投资项目审计（31个）。政府投资审计项目完成31个，送审金额5556万元，核减金额852万元，核减率15.33% ，结算虚高现象得到有效控制。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领导干部经济责任审计和领导干部自然资源资产离任（任中）审计（2个）。一是完成田江街道办事处主任刘小武经济责任审计和自然资源资产离任（任中）审计。二是对区司法局党组书记、局长陈富国实施的经济责任审计项目审计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4.专项审计（1个）。完成对北塔区各乡镇卫生院及社区医疗服务中心医保基金使用情况专项审计调查并出具审计报告，审计查出违规金额14.4万元。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五、综合评价情况及评价结论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w:t>
      </w:r>
      <w:r>
        <w:rPr>
          <w:rFonts w:hint="eastAsia" w:ascii="宋体" w:hAnsi="宋体" w:eastAsia="宋体" w:cs="宋体"/>
          <w:color w:val="444444"/>
          <w:kern w:val="0"/>
          <w:sz w:val="28"/>
          <w:szCs w:val="28"/>
          <w:shd w:val="clear" w:fill="FFFFFF"/>
        </w:rPr>
        <w:t>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六、</w:t>
      </w:r>
      <w:r>
        <w:rPr>
          <w:rFonts w:hint="eastAsia" w:ascii="宋体" w:hAnsi="宋体" w:eastAsia="宋体" w:cs="宋体"/>
          <w:color w:val="444444"/>
          <w:kern w:val="0"/>
          <w:sz w:val="28"/>
          <w:szCs w:val="28"/>
          <w:shd w:val="clear" w:fill="FFFFFF"/>
        </w:rPr>
        <w:t>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是审计力量不足、手段有限导致督促整改职能不能有效落实。当前由于审计机关自身审计任务繁重，同时督促整改的手段不多，往往只注重了审计决定的落实，对审计报告中指出的其他问题的整改督促存在不到位的现象。二是超前谋划意识还不够到位，对落实审计全覆盖要求还存在一定差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240" w:lineRule="auto"/>
        <w:ind w:leftChars="200" w:right="0" w:rightChars="0"/>
        <w:jc w:val="both"/>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七、</w:t>
      </w:r>
      <w:r>
        <w:rPr>
          <w:rFonts w:hint="eastAsia" w:ascii="宋体" w:hAnsi="宋体" w:eastAsia="宋体" w:cs="宋体"/>
          <w:color w:val="444444"/>
          <w:kern w:val="0"/>
          <w:sz w:val="28"/>
          <w:szCs w:val="28"/>
          <w:shd w:val="clear" w:fill="FFFFFF"/>
        </w:rPr>
        <w:t>下一步改进措施</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1" w:line="240" w:lineRule="auto"/>
        <w:ind w:left="0" w:right="0" w:firstLine="560" w:firstLineChars="200"/>
        <w:jc w:val="both"/>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（一）进一步加强审计成果运用</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1" w:line="240" w:lineRule="auto"/>
        <w:ind w:left="0" w:right="0" w:firstLine="560" w:firstLineChars="200"/>
        <w:jc w:val="both"/>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落实《北塔区关于进一步加强审计整改工作的实施意见》，做到“审计一点、规范一片”，促进政府完善制度，规范管理，加强行政效能管理，提升政府的行政能力。</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1" w:line="240" w:lineRule="auto"/>
        <w:ind w:left="0" w:right="0" w:firstLine="560" w:firstLineChars="200"/>
        <w:jc w:val="both"/>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（二）进一步提高绩效管理水平</w:t>
      </w:r>
    </w:p>
    <w:p>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1" w:line="240" w:lineRule="auto"/>
        <w:ind w:left="0" w:right="0" w:firstLine="560" w:firstLineChars="200"/>
        <w:jc w:val="both"/>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加强预算执行的准确性，开展好支出绩效管理工作，运用好绩效评价结果，不断提升绩效管理水平。</w:t>
      </w:r>
    </w:p>
    <w:p>
      <w:pPr>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br w:type="page"/>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20</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99.6</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3BF1358"/>
    <w:rsid w:val="053C1A5E"/>
    <w:rsid w:val="083F1E1A"/>
    <w:rsid w:val="0A475B74"/>
    <w:rsid w:val="0BCA7D56"/>
    <w:rsid w:val="0BE47243"/>
    <w:rsid w:val="12962136"/>
    <w:rsid w:val="146124BC"/>
    <w:rsid w:val="17E51E00"/>
    <w:rsid w:val="1EAC476E"/>
    <w:rsid w:val="296B6D7E"/>
    <w:rsid w:val="2ADD0FDF"/>
    <w:rsid w:val="45AD0E01"/>
    <w:rsid w:val="4AE2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Calibri" w:hAnsi="Calibr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autoRedefine/>
    <w:qFormat/>
    <w:uiPriority w:val="0"/>
    <w:rPr>
      <w:sz w:val="24"/>
    </w:rPr>
  </w:style>
  <w:style w:type="character" w:styleId="8">
    <w:name w:val="page number"/>
    <w:basedOn w:val="7"/>
    <w:autoRedefine/>
    <w:qFormat/>
    <w:uiPriority w:val="0"/>
  </w:style>
  <w:style w:type="character" w:styleId="9">
    <w:name w:val="FollowedHyperlink"/>
    <w:basedOn w:val="7"/>
    <w:autoRedefine/>
    <w:qFormat/>
    <w:uiPriority w:val="0"/>
    <w:rPr>
      <w:color w:val="444444"/>
      <w:u w:val="none"/>
    </w:rPr>
  </w:style>
  <w:style w:type="character" w:styleId="10">
    <w:name w:val="Hyperlink"/>
    <w:basedOn w:val="7"/>
    <w:qFormat/>
    <w:uiPriority w:val="0"/>
    <w:rPr>
      <w:color w:val="444444"/>
      <w:u w:val="none"/>
    </w:rPr>
  </w:style>
  <w:style w:type="character" w:customStyle="1" w:styleId="11">
    <w:name w:val="gai"/>
    <w:basedOn w:val="7"/>
    <w:autoRedefine/>
    <w:qFormat/>
    <w:uiPriority w:val="0"/>
  </w:style>
  <w:style w:type="character" w:customStyle="1" w:styleId="12">
    <w:name w:val="gai1"/>
    <w:basedOn w:val="7"/>
    <w:autoRedefine/>
    <w:qFormat/>
    <w:uiPriority w:val="0"/>
  </w:style>
  <w:style w:type="character" w:customStyle="1" w:styleId="13">
    <w:name w:val="gai2"/>
    <w:basedOn w:val="7"/>
    <w:autoRedefine/>
    <w:qFormat/>
    <w:uiPriority w:val="0"/>
  </w:style>
  <w:style w:type="character" w:customStyle="1" w:styleId="14">
    <w:name w:val="gai3"/>
    <w:basedOn w:val="7"/>
    <w:autoRedefine/>
    <w:qFormat/>
    <w:uiPriority w:val="0"/>
  </w:style>
  <w:style w:type="character" w:customStyle="1" w:styleId="15">
    <w:name w:val="gai4"/>
    <w:basedOn w:val="7"/>
    <w:qFormat/>
    <w:uiPriority w:val="0"/>
  </w:style>
  <w:style w:type="character" w:customStyle="1" w:styleId="16">
    <w:name w:val="you"/>
    <w:basedOn w:val="7"/>
    <w:qFormat/>
    <w:uiPriority w:val="0"/>
  </w:style>
  <w:style w:type="character" w:customStyle="1" w:styleId="17">
    <w:name w:val="info-valid"/>
    <w:basedOn w:val="7"/>
    <w:qFormat/>
    <w:uiPriority w:val="0"/>
    <w:rPr>
      <w:color w:val="444444"/>
    </w:rPr>
  </w:style>
  <w:style w:type="character" w:customStyle="1" w:styleId="18">
    <w:name w:val="tit2"/>
    <w:basedOn w:val="7"/>
    <w:autoRedefine/>
    <w:qFormat/>
    <w:uiPriority w:val="0"/>
    <w:rPr>
      <w:color w:val="1D0000"/>
      <w:sz w:val="33"/>
      <w:szCs w:val="33"/>
    </w:rPr>
  </w:style>
  <w:style w:type="character" w:customStyle="1" w:styleId="19">
    <w:name w:val="tianqi"/>
    <w:basedOn w:val="7"/>
    <w:qFormat/>
    <w:uiPriority w:val="0"/>
  </w:style>
  <w:style w:type="character" w:customStyle="1" w:styleId="20">
    <w:name w:val="sjzs"/>
    <w:basedOn w:val="7"/>
    <w:autoRedefine/>
    <w:qFormat/>
    <w:uiPriority w:val="0"/>
    <w:rPr>
      <w:sz w:val="27"/>
      <w:szCs w:val="27"/>
    </w:rPr>
  </w:style>
  <w:style w:type="character" w:customStyle="1" w:styleId="21">
    <w:name w:val="quanp"/>
    <w:basedOn w:val="7"/>
    <w:qFormat/>
    <w:uiPriority w:val="0"/>
    <w:rPr>
      <w:color w:val="FFFFFF"/>
      <w:shd w:val="clear" w:fill="7CB8FE"/>
    </w:rPr>
  </w:style>
  <w:style w:type="character" w:customStyle="1" w:styleId="22">
    <w:name w:val="lname"/>
    <w:basedOn w:val="7"/>
    <w:autoRedefine/>
    <w:qFormat/>
    <w:uiPriority w:val="0"/>
    <w:rPr>
      <w:color w:val="000000"/>
      <w:sz w:val="30"/>
      <w:szCs w:val="30"/>
    </w:rPr>
  </w:style>
  <w:style w:type="character" w:customStyle="1" w:styleId="23">
    <w:name w:val="first-child4"/>
    <w:basedOn w:val="7"/>
    <w:autoRedefine/>
    <w:qFormat/>
    <w:uiPriority w:val="0"/>
    <w:rPr>
      <w:color w:val="BD1B09"/>
    </w:rPr>
  </w:style>
  <w:style w:type="character" w:customStyle="1" w:styleId="24">
    <w:name w:val="first-child5"/>
    <w:basedOn w:val="7"/>
    <w:autoRedefine/>
    <w:qFormat/>
    <w:uiPriority w:val="0"/>
    <w:rPr>
      <w:color w:val="878787"/>
      <w:sz w:val="36"/>
      <w:szCs w:val="36"/>
      <w:shd w:val="clear" w:fill="FFFFFF"/>
    </w:rPr>
  </w:style>
  <w:style w:type="character" w:customStyle="1" w:styleId="25">
    <w:name w:val="ldjs"/>
    <w:basedOn w:val="7"/>
    <w:autoRedefine/>
    <w:qFormat/>
    <w:uiPriority w:val="0"/>
    <w:rPr>
      <w:color w:val="666666"/>
      <w:sz w:val="24"/>
      <w:szCs w:val="24"/>
    </w:rPr>
  </w:style>
  <w:style w:type="character" w:customStyle="1" w:styleId="26">
    <w:name w:val="quanp2"/>
    <w:basedOn w:val="7"/>
    <w:qFormat/>
    <w:uiPriority w:val="0"/>
    <w:rPr>
      <w:color w:val="FFFFFF"/>
      <w:sz w:val="0"/>
      <w:szCs w:val="0"/>
      <w:shd w:val="clear" w:fill="7CB8FE"/>
    </w:rPr>
  </w:style>
  <w:style w:type="character" w:customStyle="1" w:styleId="27">
    <w:name w:val="jiaoluo"/>
    <w:basedOn w:val="7"/>
    <w:qFormat/>
    <w:uiPriority w:val="0"/>
  </w:style>
  <w:style w:type="character" w:customStyle="1" w:styleId="28">
    <w:name w:val="last3"/>
    <w:basedOn w:val="7"/>
    <w:autoRedefine/>
    <w:qFormat/>
    <w:uiPriority w:val="0"/>
  </w:style>
  <w:style w:type="character" w:customStyle="1" w:styleId="29">
    <w:name w:val="last4"/>
    <w:basedOn w:val="7"/>
    <w:autoRedefine/>
    <w:qFormat/>
    <w:uiPriority w:val="0"/>
  </w:style>
  <w:style w:type="character" w:customStyle="1" w:styleId="30">
    <w:name w:val="fanhui"/>
    <w:basedOn w:val="7"/>
    <w:qFormat/>
    <w:uiPriority w:val="0"/>
    <w:rPr>
      <w:color w:val="FFFFFF"/>
      <w:sz w:val="24"/>
      <w:szCs w:val="24"/>
    </w:rPr>
  </w:style>
  <w:style w:type="character" w:customStyle="1" w:styleId="31">
    <w:name w:val="jiaoluo2"/>
    <w:basedOn w:val="7"/>
    <w:autoRedefine/>
    <w:qFormat/>
    <w:uiPriority w:val="0"/>
  </w:style>
  <w:style w:type="character" w:customStyle="1" w:styleId="32">
    <w:name w:val="zuo"/>
    <w:basedOn w:val="7"/>
    <w:autoRedefine/>
    <w:qFormat/>
    <w:uiPriority w:val="0"/>
  </w:style>
  <w:style w:type="character" w:customStyle="1" w:styleId="33">
    <w:name w:val="dcs"/>
    <w:basedOn w:val="7"/>
    <w:autoRedefine/>
    <w:qFormat/>
    <w:uiPriority w:val="0"/>
    <w:rPr>
      <w:color w:val="BD1B09"/>
    </w:rPr>
  </w:style>
  <w:style w:type="character" w:customStyle="1" w:styleId="34">
    <w:name w:val="time"/>
    <w:basedOn w:val="7"/>
    <w:autoRedefine/>
    <w:qFormat/>
    <w:uiPriority w:val="0"/>
    <w:rPr>
      <w:color w:val="999999"/>
    </w:rPr>
  </w:style>
  <w:style w:type="character" w:customStyle="1" w:styleId="35">
    <w:name w:val="time1"/>
    <w:basedOn w:val="7"/>
    <w:autoRedefine/>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7805</Words>
  <Characters>8144</Characters>
  <Lines>0</Lines>
  <Paragraphs>0</Paragraphs>
  <TotalTime>7</TotalTime>
  <ScaleCrop>false</ScaleCrop>
  <LinksUpToDate>false</LinksUpToDate>
  <CharactersWithSpaces>8300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企业用户_314885341</cp:lastModifiedBy>
  <cp:lastPrinted>2022-11-23T07:40:00Z</cp:lastPrinted>
  <dcterms:modified xsi:type="dcterms:W3CDTF">2024-05-09T03:24:43Z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887E02E659944785AA833AB442B2268B_13</vt:lpwstr>
  </property>
</Properties>
</file>