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pStyle w:val="3"/>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邵阳市北塔区司法局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5"/>
      </w:pPr>
    </w:p>
    <w:p>
      <w:pPr>
        <w:pStyle w:val="5"/>
      </w:pPr>
    </w:p>
    <w:p>
      <w:pPr>
        <w:pStyle w:val="20"/>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1"/>
        <w:ind w:left="0" w:leftChars="0" w:firstLine="0" w:firstLineChars="0"/>
        <w:rPr>
          <w:rFonts w:hint="eastAsia" w:ascii="仿宋" w:hAnsi="仿宋" w:eastAsia="仿宋"/>
          <w:b/>
          <w:bCs/>
          <w:sz w:val="30"/>
          <w:szCs w:val="30"/>
        </w:rPr>
      </w:pPr>
    </w:p>
    <w:p>
      <w:pPr>
        <w:pStyle w:val="21"/>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p/>
    <w:sdt>
      <w:sdtPr>
        <w:rPr>
          <w:rFonts w:ascii="Times New Roman Regular" w:hAnsi="Times New Roman Regular" w:eastAsia="宋体" w:cs="Times New Roman Regular"/>
          <w:kern w:val="2"/>
          <w:sz w:val="21"/>
          <w:szCs w:val="24"/>
          <w:highlight w:val="none"/>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Cs w:val="31"/>
              <w:highlight w:val="none"/>
            </w:rPr>
          </w:pPr>
          <w:r>
            <w:rPr>
              <w:rFonts w:hint="eastAsia" w:ascii="方正小标宋_GBK" w:hAnsi="方正小标宋_GBK" w:eastAsia="方正小标宋_GBK" w:cs="方正小标宋_GBK"/>
              <w:b w:val="0"/>
              <w:bCs w:val="0"/>
              <w:sz w:val="45"/>
              <w:szCs w:val="45"/>
              <w:highlight w:val="none"/>
            </w:rPr>
            <w:t>目</w:t>
          </w:r>
          <w:r>
            <w:rPr>
              <w:rFonts w:hint="eastAsia" w:ascii="方正小标宋_GBK" w:hAnsi="方正小标宋_GBK" w:eastAsia="方正小标宋_GBK" w:cs="方正小标宋_GBK"/>
              <w:b w:val="0"/>
              <w:bCs w:val="0"/>
              <w:sz w:val="45"/>
              <w:szCs w:val="45"/>
              <w:highlight w:val="none"/>
              <w:lang w:val="en-US" w:eastAsia="zh-CN"/>
            </w:rPr>
            <w:t xml:space="preserve"> </w:t>
          </w:r>
          <w:r>
            <w:rPr>
              <w:rFonts w:hint="eastAsia" w:ascii="方正小标宋_GBK" w:hAnsi="方正小标宋_GBK" w:eastAsia="方正小标宋_GBK" w:cs="方正小标宋_GBK"/>
              <w:b w:val="0"/>
              <w:bCs w:val="0"/>
              <w:sz w:val="45"/>
              <w:szCs w:val="45"/>
              <w:highlight w:val="none"/>
            </w:rPr>
            <w:t>录</w:t>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TOC \o "1-2" \h \u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_Toc10323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_Toc10323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_Toc8099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_Toc8099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_Toc7369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_Toc7369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_Toc19526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_Toc19526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_Toc6263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_Toc6263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_Toc30107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_Toc30107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_Toc25596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_Toc25596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_Toc26269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_Toc26269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_Toc6105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_Toc6105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_Toc12667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（一）内控制度建设情况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_Toc12667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_Toc4742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（二）资产管理制度建设及使用情况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_Toc4742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_Toc960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_Toc22641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_Toc22641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_Toc28910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_Toc28910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_Toc29882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_Toc29882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_Toc3776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_Toc3776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_Toc26843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_Toc26843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_Toc22706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_Toc22706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_Toc27307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_Toc27307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_Toc15480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_Toc15480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_Toc27480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_Toc27480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_Toc32657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（一）政府采购方面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_Toc32657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_Toc30539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（二）财务管理方面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_Toc30539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_Toc28189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val="en-US" w:eastAsia="zh-CN"/>
            </w:rPr>
            <w:t>（三）资产管理方面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_Toc28189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_Toc15894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val="en-US" w:eastAsia="zh-CN"/>
            </w:rPr>
            <w:t>（四）项目产出方面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_Toc15894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_Toc1427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_Toc1427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_Toc19156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（一）加强政府采购管理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_Toc19156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_Toc8726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（二）提高财务管理规范性</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_Toc8726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_Toc30897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lang w:val="en-US" w:eastAsia="zh-CN"/>
            </w:rPr>
            <w:t>（三）规范资产管理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_Toc30897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_Toc11122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_Toc11122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highlight w:val="none"/>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w:hAnsi="Times New Roman" w:eastAsia="仿宋" w:cs="Times New Roman"/>
              <w:sz w:val="28"/>
              <w:szCs w:val="28"/>
              <w:highlight w:val="none"/>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highlight w:val="yellow"/>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highlight w:val="none"/>
          <w:lang w:val="en-US" w:eastAsia="zh-CN"/>
        </w:rPr>
        <w:t>0</w:t>
      </w:r>
      <w:r>
        <w:rPr>
          <w:rFonts w:hint="eastAsia" w:ascii="Times New Roman Regular" w:hAnsi="Times New Roman Regular" w:eastAsia="仿宋" w:cs="Times New Roman Regular"/>
          <w:b w:val="0"/>
          <w:bCs w:val="0"/>
          <w:color w:val="auto"/>
          <w:sz w:val="33"/>
          <w:highlight w:val="none"/>
          <w:lang w:val="en-US" w:eastAsia="zh-CN"/>
        </w:rPr>
        <w:t>96</w:t>
      </w:r>
      <w:r>
        <w:rPr>
          <w:rFonts w:hint="default" w:ascii="Times New Roman Regular" w:hAnsi="Times New Roman Regular" w:eastAsia="仿宋" w:cs="Times New Roman Regular"/>
          <w:b/>
          <w:bCs/>
          <w:sz w:val="33"/>
          <w:highlight w:val="none"/>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邵阳市北塔区司法局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邵阳市北塔区司法局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12307"/>
      <w:bookmarkStart w:id="1" w:name="_Toc21473"/>
      <w:bookmarkStart w:id="2" w:name="_Toc23508"/>
      <w:bookmarkStart w:id="3" w:name="_Toc10323"/>
      <w:bookmarkStart w:id="4" w:name="_Toc20757"/>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19746"/>
      <w:bookmarkStart w:id="6" w:name="_Toc3927"/>
      <w:bookmarkStart w:id="7" w:name="_Toc30759"/>
      <w:bookmarkStart w:id="8" w:name="_Toc8099"/>
      <w:bookmarkStart w:id="9" w:name="_Toc7170"/>
      <w:r>
        <w:rPr>
          <w:rFonts w:hint="default" w:ascii="Times New Roman Regular" w:hAnsi="Times New Roman Regular" w:eastAsia="楷体" w:cs="Times New Roman Regular"/>
          <w:b/>
          <w:bCs/>
          <w:sz w:val="32"/>
          <w:szCs w:val="32"/>
          <w:lang w:val="en-US" w:eastAsia="zh-CN"/>
        </w:rPr>
        <w:t>（一）部门概况</w:t>
      </w:r>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邵阳市北塔区司法局（以下简称“区司法局”）是区政府工作部门，为全额财政拨款行政单位，法律援助中心为全额财政拨款事业单位</w:t>
      </w:r>
      <w:r>
        <w:rPr>
          <w:rFonts w:hint="eastAsia" w:ascii="Times New Roman Regular" w:hAnsi="Times New Roman Regular" w:eastAsia="仿宋" w:cs="Times New Roman Regular"/>
          <w:sz w:val="32"/>
          <w:szCs w:val="32"/>
        </w:rPr>
        <w:t>，内设5个职能股室，下辖北塔区法律援助中心和5个基层司法所，主管湖南省刚正律师事务所、邵阳市民通法律服务所，</w:t>
      </w:r>
      <w:r>
        <w:rPr>
          <w:rFonts w:hint="eastAsia" w:ascii="Times New Roman Regular" w:hAnsi="Times New Roman Regular" w:eastAsia="仿宋" w:cs="Times New Roman Regular"/>
          <w:b w:val="0"/>
          <w:bCs w:val="0"/>
          <w:sz w:val="32"/>
          <w:szCs w:val="32"/>
          <w:lang w:val="en-US" w:eastAsia="zh-CN"/>
        </w:rPr>
        <w:t>内设机构包括：办公室、社区矫正股、行政复议应诉与行政执法协调监督股、规范性文件管理与法律服务法律顾问股、人民参与促进法治股。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3398"/>
      <w:bookmarkStart w:id="11" w:name="_Toc872"/>
      <w:bookmarkStart w:id="12" w:name="_Toc5505"/>
      <w:bookmarkStart w:id="13" w:name="_Toc4783"/>
      <w:bookmarkStart w:id="14" w:name="_Toc7369"/>
      <w:r>
        <w:rPr>
          <w:rFonts w:hint="default" w:ascii="Times New Roman Regular" w:hAnsi="Times New Roman Regular" w:eastAsia="楷体" w:cs="Times New Roman Regular"/>
          <w:b/>
          <w:bCs/>
          <w:sz w:val="32"/>
          <w:szCs w:val="32"/>
          <w:lang w:val="en-US" w:eastAsia="zh-CN"/>
        </w:rPr>
        <w:t>（二）主要职责</w:t>
      </w:r>
      <w:bookmarkEnd w:id="10"/>
      <w:bookmarkEnd w:id="11"/>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sz w:val="32"/>
          <w:szCs w:val="32"/>
          <w:lang w:val="en-US" w:eastAsia="zh-CN"/>
        </w:rPr>
        <w:t>区司法局主要职责是：</w:t>
      </w:r>
      <w:r>
        <w:rPr>
          <w:rFonts w:hint="eastAsia" w:ascii="Times New Roman Regular" w:hAnsi="Times New Roman Regular" w:eastAsia="仿宋" w:cs="Times New Roman Regular"/>
          <w:sz w:val="32"/>
          <w:szCs w:val="32"/>
        </w:rPr>
        <w:t>承担全面依法治区重大问题的政策研究，协调有关方面提出全面依法治区中长期规划建议，负责有关重大决策部署督查工作（负责开展依法治区和法治政府建设考核工作）</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贯彻执行国家、省、市关于司法行政工作的方针政策和法律法规；编制全区司法行政工作发展规划和年度计划并监督实施。对全区法制工作进行规划、指导、监督、协调和服务</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负责推进全区依法行政的具体工作。负责全区行政执法责任制的推行</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检查考核和总结表彰工作。承办法律、法规规章草案的征求意见工作。指导行政执法部门改善行政执法活动</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承担行政执法监督的具体工作；协调行政执法部门之间的执法矛盾和争议。承办乡、</w:t>
      </w:r>
      <w:bookmarkStart w:id="169" w:name="_GoBack"/>
      <w:bookmarkEnd w:id="169"/>
      <w:r>
        <w:rPr>
          <w:rFonts w:hint="eastAsia" w:ascii="Times New Roman Regular" w:hAnsi="Times New Roman Regular" w:eastAsia="仿宋" w:cs="Times New Roman Regular"/>
          <w:sz w:val="32"/>
          <w:szCs w:val="32"/>
        </w:rPr>
        <w:t>街道，区直行政机关上报规范性文件和重大具体行政行为的备案审查工作。审查</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修改或组织起草区政府颁发的规范性文件</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管理、登记、编号、公布、编印政府公报，向区政府、区人大报送备案，并做好协调和解释工作。办理区政府的行政复议、行政应诉、行政赔偿工作，为本级政府领导决策提供法律咨询，聘请政府法律顾问，审查政府合同及法律事务合法性审查。组织全区行政复议</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行政应诉</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行政执法等人员的培训考核</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资格认定</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行政执法证的发证及证件的年检年审等管理工作。承担统筹规划全区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指导管理社区矫正工作。指导刑满释放人员帮教安置工作。负责拟订公共法律服务体系建设规划并指导实施，统筹和布局城乡、区域法律服务资源。指导、监督、管理律师、法律援助、仲裁和基层法律服务管理工作。规划、协调、指导法治人才队伍建设相关工作。指导、监督本系统队伍建设。完成区委和区人民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4300"/>
      <w:bookmarkStart w:id="16" w:name="_Toc29954"/>
      <w:bookmarkStart w:id="17" w:name="_Toc3110"/>
      <w:bookmarkStart w:id="18" w:name="_Toc19526"/>
      <w:bookmarkStart w:id="19" w:name="_Toc32765"/>
      <w:r>
        <w:rPr>
          <w:rFonts w:hint="default" w:ascii="Times New Roman Regular" w:hAnsi="Times New Roman Regular" w:eastAsia="楷体" w:cs="Times New Roman Regular"/>
          <w:b/>
          <w:bCs/>
          <w:sz w:val="32"/>
          <w:szCs w:val="32"/>
          <w:lang w:val="en-US" w:eastAsia="zh-CN"/>
        </w:rPr>
        <w:t>（三）人员情况</w:t>
      </w:r>
      <w:bookmarkEnd w:id="15"/>
      <w:bookmarkEnd w:id="16"/>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sz w:val="32"/>
          <w:szCs w:val="32"/>
        </w:rPr>
        <w:t>2022年区</w:t>
      </w:r>
      <w:r>
        <w:rPr>
          <w:rFonts w:hint="eastAsia" w:ascii="Times New Roman Regular" w:hAnsi="Times New Roman Regular" w:eastAsia="仿宋" w:cs="Times New Roman Regular"/>
          <w:sz w:val="32"/>
          <w:szCs w:val="32"/>
          <w:lang w:eastAsia="zh-CN"/>
        </w:rPr>
        <w:t>司法局</w:t>
      </w:r>
      <w:r>
        <w:rPr>
          <w:rFonts w:hint="eastAsia" w:ascii="Times New Roman Regular" w:hAnsi="Times New Roman Regular" w:eastAsia="仿宋" w:cs="Times New Roman Regular"/>
          <w:sz w:val="32"/>
          <w:szCs w:val="32"/>
        </w:rPr>
        <w:t>实有在职人数21人，其中政法专项编16人，行政编制1人，工勤编制1人，法律援助中心事业编制3人。退休7人，单位遗属人员1人。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20" w:name="_Toc8464"/>
      <w:bookmarkStart w:id="21" w:name="_Toc21767"/>
      <w:bookmarkStart w:id="22" w:name="_Toc6263"/>
      <w:bookmarkStart w:id="23" w:name="_Toc468"/>
      <w:bookmarkStart w:id="24" w:name="_Toc8722"/>
      <w:r>
        <w:rPr>
          <w:rFonts w:hint="default" w:ascii="Times New Roman Regular" w:hAnsi="Times New Roman Regular" w:eastAsia="黑体" w:cs="Times New Roman Regular"/>
          <w:b/>
          <w:bCs/>
          <w:kern w:val="2"/>
          <w:sz w:val="32"/>
          <w:szCs w:val="32"/>
          <w:lang w:val="en-US" w:eastAsia="zh-CN" w:bidi="ar-SA"/>
        </w:rPr>
        <w:t>二、部门整体收支情况</w:t>
      </w:r>
      <w:bookmarkEnd w:id="20"/>
      <w:bookmarkEnd w:id="21"/>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5" w:name="_Toc1939"/>
      <w:bookmarkStart w:id="26" w:name="_Toc30107"/>
      <w:bookmarkStart w:id="27" w:name="_Toc20736"/>
      <w:bookmarkStart w:id="28" w:name="_Toc6103"/>
      <w:bookmarkStart w:id="29" w:name="_Toc23999"/>
      <w:r>
        <w:rPr>
          <w:rFonts w:hint="default" w:ascii="Times New Roman Regular" w:hAnsi="Times New Roman Regular" w:eastAsia="楷体" w:cs="Times New Roman Regular"/>
          <w:b/>
          <w:bCs/>
          <w:sz w:val="32"/>
          <w:szCs w:val="32"/>
          <w:lang w:val="en-US" w:eastAsia="zh-CN"/>
        </w:rPr>
        <w:t>（一）资金收入情况</w:t>
      </w:r>
      <w:bookmarkEnd w:id="25"/>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420.96</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415.24</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5.72</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0" w:name="_Toc25832"/>
      <w:bookmarkStart w:id="31" w:name="_Toc24732"/>
      <w:bookmarkStart w:id="32" w:name="_Toc2199"/>
      <w:bookmarkStart w:id="33" w:name="_Toc10651"/>
      <w:bookmarkStart w:id="34" w:name="_Toc25596"/>
      <w:r>
        <w:rPr>
          <w:rFonts w:hint="default" w:ascii="Times New Roman Regular" w:hAnsi="Times New Roman Regular" w:eastAsia="楷体" w:cs="Times New Roman Regular"/>
          <w:b/>
          <w:bCs/>
          <w:sz w:val="32"/>
          <w:szCs w:val="32"/>
          <w:lang w:val="en-US" w:eastAsia="zh-CN"/>
        </w:rPr>
        <w:t>（二）资金使用情况</w:t>
      </w:r>
      <w:bookmarkEnd w:id="30"/>
      <w:bookmarkEnd w:id="31"/>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420.96</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419.83</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eastAsia="仿宋" w:cs="Times New Roman Regular"/>
          <w:b w:val="0"/>
          <w:bCs w:val="0"/>
          <w:sz w:val="32"/>
          <w:szCs w:val="32"/>
          <w:lang w:val="en-US" w:eastAsia="zh-CN"/>
        </w:rPr>
        <w:t>1.14</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419.83</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一般公共预算财政拨款支出414.11万元（人员经费308.00万元，公用经费106.11万元），其他支出5.72万元。一般公共预算财政拨款支出中人员经费和公用经费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2"/>
        <w:gridCol w:w="2890"/>
        <w:gridCol w:w="3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序号</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支出项目</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一</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人员经费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基本工资</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津贴补贴</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奖金</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伙食补助费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机关事业单位基本养老保险缴费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职工基本医疗保险缴费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其他社会保障缴费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住房公积金</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其他对个人和家庭的补助</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二</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lang w:val="en-US" w:eastAsia="zh-CN" w:bidi="ar"/>
              </w:rPr>
              <w:t>公用经费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办公费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印刷费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咨询费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电费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邮电费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维修（护）费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培训费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公务接待费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被装购置费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劳务费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委托业务费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工会经费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公务用车运行维护费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4"/>
                <w:lang w:val="en-US" w:eastAsia="zh-CN" w:bidi="ar"/>
              </w:rPr>
              <w:t>其他交通费用</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4"/>
                <w:lang w:val="en-US" w:eastAsia="zh-CN" w:bidi="ar"/>
              </w:rPr>
              <w:t>其他商品和服务支出</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3"/>
                <w:lang w:val="en-US" w:eastAsia="zh-CN" w:bidi="ar"/>
              </w:rPr>
              <w:t>办公设备购置</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0"/>
                <w:szCs w:val="20"/>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414.11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2.65</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0.89</w:t>
      </w:r>
      <w:r>
        <w:rPr>
          <w:rFonts w:hint="default" w:ascii="Times New Roman" w:hAnsi="Times New Roman" w:eastAsia="仿宋" w:cs="Times New Roman"/>
          <w:b w:val="0"/>
          <w:bCs w:val="0"/>
          <w:color w:val="auto"/>
          <w:sz w:val="32"/>
          <w:szCs w:val="32"/>
          <w:lang w:val="en-US" w:eastAsia="zh-CN"/>
        </w:rPr>
        <w:t>万元，其中公务用车</w:t>
      </w:r>
      <w:r>
        <w:rPr>
          <w:rFonts w:hint="eastAsia" w:ascii="Times New Roman" w:hAnsi="Times New Roman" w:eastAsia="仿宋" w:cs="Times New Roman"/>
          <w:b w:val="0"/>
          <w:bCs w:val="0"/>
          <w:color w:val="auto"/>
          <w:sz w:val="32"/>
          <w:szCs w:val="32"/>
          <w:lang w:val="en-US" w:eastAsia="zh-CN"/>
        </w:rPr>
        <w:t>购置</w:t>
      </w:r>
      <w:r>
        <w:rPr>
          <w:rFonts w:hint="default" w:ascii="Times New Roman" w:hAnsi="Times New Roman" w:eastAsia="仿宋" w:cs="Times New Roman"/>
          <w:b w:val="0"/>
          <w:bCs w:val="0"/>
          <w:color w:val="auto"/>
          <w:sz w:val="32"/>
          <w:szCs w:val="32"/>
          <w:lang w:val="en-US" w:eastAsia="zh-CN"/>
        </w:rPr>
        <w:t>及运行维护</w:t>
      </w:r>
      <w:r>
        <w:rPr>
          <w:rFonts w:hint="eastAsia" w:ascii="Times New Roman" w:hAnsi="Times New Roman" w:eastAsia="仿宋" w:cs="Times New Roman"/>
          <w:b w:val="0"/>
          <w:bCs w:val="0"/>
          <w:color w:val="auto"/>
          <w:sz w:val="32"/>
          <w:szCs w:val="32"/>
          <w:lang w:val="en-US" w:eastAsia="zh-CN"/>
        </w:rPr>
        <w:t>费0.85</w:t>
      </w:r>
      <w:r>
        <w:rPr>
          <w:rFonts w:hint="default" w:ascii="Times New Roman" w:hAnsi="Times New Roman" w:eastAsia="仿宋" w:cs="Times New Roman"/>
          <w:b w:val="0"/>
          <w:bCs w:val="0"/>
          <w:color w:val="auto"/>
          <w:sz w:val="32"/>
          <w:szCs w:val="32"/>
          <w:lang w:val="en-US" w:eastAsia="zh-CN"/>
        </w:rPr>
        <w:t>万元，公务接待费0.0</w:t>
      </w:r>
      <w:r>
        <w:rPr>
          <w:rFonts w:hint="eastAsia"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val="en-US" w:eastAsia="zh-CN"/>
        </w:rPr>
        <w:t>万元，因公出国</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境</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费用0.00元。</w:t>
      </w:r>
      <w:r>
        <w:rPr>
          <w:rFonts w:hint="eastAsia" w:ascii="Times New Roman" w:hAnsi="Times New Roman" w:eastAsia="仿宋" w:cs="Times New Roman"/>
          <w:b w:val="0"/>
          <w:bCs w:val="0"/>
          <w:color w:val="auto"/>
          <w:sz w:val="32"/>
          <w:szCs w:val="32"/>
          <w:lang w:val="en-US" w:eastAsia="zh-CN"/>
        </w:rPr>
        <w:t>具体见下表：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22"/>
        <w:gridCol w:w="1928"/>
        <w:gridCol w:w="178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Style w:val="25"/>
                <w:lang w:val="en-US" w:eastAsia="zh-CN" w:bidi="ar"/>
              </w:rPr>
              <w:t>“三公经费”类别</w:t>
            </w:r>
          </w:p>
        </w:tc>
        <w:tc>
          <w:tcPr>
            <w:tcW w:w="112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lang w:val="en-US" w:eastAsia="zh-CN" w:bidi="ar"/>
              </w:rPr>
              <w:t>预算数</w:t>
            </w:r>
          </w:p>
        </w:tc>
        <w:tc>
          <w:tcPr>
            <w:tcW w:w="103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lang w:val="en-US" w:eastAsia="zh-CN" w:bidi="ar"/>
              </w:rPr>
              <w:t>决算数</w:t>
            </w:r>
          </w:p>
        </w:tc>
        <w:tc>
          <w:tcPr>
            <w:tcW w:w="1201"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lang w:val="en-US" w:eastAsia="zh-CN" w:bidi="ar"/>
              </w:rPr>
              <w:t>偏离预算数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6"/>
                <w:lang w:val="en-US" w:eastAsia="zh-CN" w:bidi="ar"/>
              </w:rPr>
              <w:t>因公出国（境）费</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6"/>
                <w:lang w:val="en-US" w:eastAsia="zh-CN" w:bidi="ar"/>
              </w:rPr>
              <w:t>公务用车购置及运行维护费</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Style w:val="26"/>
                <w:lang w:val="en-US" w:eastAsia="zh-CN" w:bidi="ar"/>
              </w:rPr>
              <w:t>其中：公务用车购置费</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rFonts w:eastAsia="宋体"/>
                <w:lang w:val="en-US" w:eastAsia="zh-CN" w:bidi="ar"/>
              </w:rPr>
              <w:t xml:space="preserve">      </w:t>
            </w:r>
            <w:r>
              <w:rPr>
                <w:rStyle w:val="26"/>
                <w:lang w:val="en-US" w:eastAsia="zh-CN" w:bidi="ar"/>
              </w:rPr>
              <w:t>公务用车运行维护费</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6"/>
                <w:lang w:val="en-US" w:eastAsia="zh-CN" w:bidi="ar"/>
              </w:rPr>
              <w:t>公务接待费</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63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lang w:val="en-US" w:eastAsia="zh-CN" w:bidi="ar"/>
              </w:rPr>
              <w:t>合计</w:t>
            </w:r>
          </w:p>
        </w:tc>
        <w:tc>
          <w:tcPr>
            <w:tcW w:w="112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10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120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根据区司法局2022年度部门决算报表，2022年度区司法局项目支出共计1.14万元，系法律援助办案补助经费。</w:t>
      </w:r>
      <w:bookmarkStart w:id="35" w:name="_Toc44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6" w:name="_Toc26269"/>
      <w:bookmarkStart w:id="37" w:name="_Toc23386"/>
      <w:bookmarkStart w:id="38" w:name="_Toc21997"/>
      <w:bookmarkStart w:id="39" w:name="_Toc25917"/>
      <w:r>
        <w:rPr>
          <w:rFonts w:hint="default" w:ascii="Times New Roman Regular" w:hAnsi="Times New Roman Regular" w:eastAsia="楷体" w:cs="Times New Roman Regular"/>
          <w:b/>
          <w:bCs/>
          <w:sz w:val="32"/>
          <w:szCs w:val="32"/>
          <w:lang w:val="en-US" w:eastAsia="zh-CN"/>
        </w:rPr>
        <w:t>（三）资金管理情况</w:t>
      </w:r>
      <w:bookmarkEnd w:id="35"/>
      <w:bookmarkEnd w:id="36"/>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邵阳市北塔区司法局经费支出管理办法</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从资金支出审批、业务办理、报销规定、报账流程、财务监督等方面进行了有关规定，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40" w:name="_Toc6105"/>
      <w:bookmarkStart w:id="41" w:name="_Toc6041"/>
      <w:bookmarkStart w:id="42" w:name="_Toc10646"/>
      <w:bookmarkStart w:id="43" w:name="_Toc25341"/>
      <w:bookmarkStart w:id="44" w:name="_Toc28672"/>
      <w:r>
        <w:rPr>
          <w:rFonts w:hint="default" w:ascii="Times New Roman Regular" w:hAnsi="Times New Roman Regular" w:eastAsia="黑体" w:cs="Times New Roman Regular"/>
          <w:b/>
          <w:bCs/>
          <w:kern w:val="2"/>
          <w:sz w:val="32"/>
          <w:szCs w:val="32"/>
          <w:lang w:val="en-US" w:eastAsia="zh-CN" w:bidi="ar-SA"/>
        </w:rPr>
        <w:t>三、制度建设情况</w:t>
      </w:r>
      <w:bookmarkEnd w:id="40"/>
      <w:bookmarkEnd w:id="41"/>
      <w:bookmarkEnd w:id="42"/>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5" w:name="_Toc462"/>
      <w:bookmarkStart w:id="46" w:name="_Toc12667"/>
      <w:bookmarkStart w:id="47" w:name="_Toc22164"/>
      <w:bookmarkStart w:id="48" w:name="_Toc3464"/>
      <w:bookmarkStart w:id="49" w:name="_Toc2717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45"/>
      <w:bookmarkEnd w:id="46"/>
      <w:bookmarkEnd w:id="47"/>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邵阳市北塔区司法局合同管理办法实施细则</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主要对合同管理、订立、审批、签约权限、履约、变更和检查等方面做出了具体规定。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0" w:name="_Toc3703"/>
      <w:bookmarkStart w:id="51" w:name="_Toc26013"/>
      <w:bookmarkStart w:id="52" w:name="_Toc30210"/>
      <w:bookmarkStart w:id="53" w:name="_Toc19087"/>
      <w:bookmarkStart w:id="54" w:name="_Toc474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50"/>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highlight w:val="yellow"/>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区司法局还制定了《邵阳市北塔区司法局资产管理制度》，对固定资产的范围、分类、增加和验收、资产管理、资产变动及处置、资产管理奖惩规定等方面做出了具体规定。</w:t>
      </w:r>
      <w:r>
        <w:rPr>
          <w:rFonts w:hint="default" w:ascii="Times New Roman Regular" w:hAnsi="Times New Roman Regular" w:eastAsia="仿宋" w:cs="Times New Roman Regular"/>
          <w:b w:val="0"/>
          <w:bCs w:val="0"/>
          <w:color w:val="auto"/>
          <w:sz w:val="32"/>
          <w:szCs w:val="32"/>
          <w:highlight w:val="none"/>
          <w:lang w:val="en-US" w:eastAsia="zh-CN"/>
        </w:rPr>
        <w:t>截</w:t>
      </w:r>
      <w:r>
        <w:rPr>
          <w:rFonts w:hint="eastAsia" w:ascii="Times New Roman Regular" w:hAnsi="Times New Roman Regular" w:eastAsia="仿宋" w:cs="Times New Roman Regular"/>
          <w:b w:val="0"/>
          <w:bCs w:val="0"/>
          <w:color w:val="auto"/>
          <w:sz w:val="32"/>
          <w:szCs w:val="32"/>
          <w:highlight w:val="none"/>
          <w:lang w:val="en-US" w:eastAsia="zh-CN"/>
        </w:rPr>
        <w:t>至</w:t>
      </w:r>
      <w:r>
        <w:rPr>
          <w:rFonts w:hint="default" w:ascii="Times New Roman Regular" w:hAnsi="Times New Roman Regular" w:eastAsia="仿宋" w:cs="Times New Roman Regular"/>
          <w:b w:val="0"/>
          <w:bCs w:val="0"/>
          <w:color w:val="auto"/>
          <w:sz w:val="32"/>
          <w:szCs w:val="32"/>
          <w:highlight w:val="none"/>
          <w:lang w:val="en-US" w:eastAsia="zh-CN"/>
        </w:rPr>
        <w:t>2022年12月31日，</w:t>
      </w:r>
      <w:r>
        <w:rPr>
          <w:rFonts w:hint="eastAsia" w:ascii="Times New Roman Regular" w:hAnsi="Times New Roman Regular" w:eastAsia="仿宋" w:cs="Times New Roman Regular"/>
          <w:b w:val="0"/>
          <w:bCs w:val="0"/>
          <w:color w:val="auto"/>
          <w:sz w:val="32"/>
          <w:szCs w:val="32"/>
          <w:highlight w:val="none"/>
          <w:lang w:val="en-US" w:eastAsia="zh-CN"/>
        </w:rPr>
        <w:t>区司法局</w:t>
      </w:r>
      <w:r>
        <w:rPr>
          <w:rFonts w:hint="default" w:ascii="Times New Roman Regular" w:hAnsi="Times New Roman Regular" w:eastAsia="仿宋" w:cs="Times New Roman Regular"/>
          <w:b w:val="0"/>
          <w:bCs w:val="0"/>
          <w:color w:val="auto"/>
          <w:sz w:val="32"/>
          <w:szCs w:val="32"/>
          <w:highlight w:val="none"/>
          <w:lang w:val="en-US" w:eastAsia="zh-CN"/>
        </w:rPr>
        <w:t>固定资产账面原值</w:t>
      </w:r>
      <w:r>
        <w:rPr>
          <w:rFonts w:hint="eastAsia" w:ascii="Times New Roman Regular" w:hAnsi="Times New Roman Regular" w:eastAsia="仿宋" w:cs="Times New Roman Regular"/>
          <w:b w:val="0"/>
          <w:bCs w:val="0"/>
          <w:color w:val="auto"/>
          <w:sz w:val="32"/>
          <w:szCs w:val="32"/>
          <w:highlight w:val="none"/>
          <w:lang w:val="en-US" w:eastAsia="zh-CN"/>
        </w:rPr>
        <w:t>189.7051</w:t>
      </w:r>
      <w:r>
        <w:rPr>
          <w:rFonts w:hint="default" w:ascii="Times New Roman Regular" w:hAnsi="Times New Roman Regular" w:eastAsia="仿宋" w:cs="Times New Roman Regular"/>
          <w:b w:val="0"/>
          <w:bCs w:val="0"/>
          <w:color w:val="auto"/>
          <w:sz w:val="32"/>
          <w:szCs w:val="32"/>
          <w:highlight w:val="none"/>
          <w:lang w:val="en-US" w:eastAsia="zh-CN"/>
        </w:rPr>
        <w:t>万元。其中：通用设备</w:t>
      </w:r>
      <w:r>
        <w:rPr>
          <w:rFonts w:hint="eastAsia" w:ascii="Times New Roman Regular" w:hAnsi="Times New Roman Regular" w:eastAsia="仿宋" w:cs="Times New Roman Regular"/>
          <w:b w:val="0"/>
          <w:bCs w:val="0"/>
          <w:color w:val="auto"/>
          <w:sz w:val="32"/>
          <w:szCs w:val="32"/>
          <w:highlight w:val="none"/>
          <w:lang w:val="en-US" w:eastAsia="zh-CN"/>
        </w:rPr>
        <w:t>133.1016</w:t>
      </w:r>
      <w:r>
        <w:rPr>
          <w:rFonts w:hint="default" w:ascii="Times New Roman Regular" w:hAnsi="Times New Roman Regular" w:eastAsia="仿宋" w:cs="Times New Roman Regular"/>
          <w:b w:val="0"/>
          <w:bCs w:val="0"/>
          <w:color w:val="auto"/>
          <w:sz w:val="32"/>
          <w:szCs w:val="32"/>
          <w:highlight w:val="none"/>
          <w:lang w:val="en-US" w:eastAsia="zh-CN"/>
        </w:rPr>
        <w:t>万元；家具、用具、装具及动植物</w:t>
      </w:r>
      <w:r>
        <w:rPr>
          <w:rFonts w:hint="eastAsia" w:ascii="Times New Roman Regular" w:hAnsi="Times New Roman Regular" w:eastAsia="仿宋" w:cs="Times New Roman Regular"/>
          <w:b w:val="0"/>
          <w:bCs w:val="0"/>
          <w:color w:val="auto"/>
          <w:sz w:val="32"/>
          <w:szCs w:val="32"/>
          <w:highlight w:val="none"/>
          <w:lang w:val="en-US" w:eastAsia="zh-CN"/>
        </w:rPr>
        <w:t>20.0394</w:t>
      </w:r>
      <w:r>
        <w:rPr>
          <w:rFonts w:hint="default" w:ascii="Times New Roman Regular" w:hAnsi="Times New Roman Regular" w:eastAsia="仿宋" w:cs="Times New Roman Regular"/>
          <w:b w:val="0"/>
          <w:bCs w:val="0"/>
          <w:color w:val="auto"/>
          <w:sz w:val="32"/>
          <w:szCs w:val="32"/>
          <w:highlight w:val="none"/>
          <w:lang w:val="en-US" w:eastAsia="zh-CN"/>
        </w:rPr>
        <w:t>万元；土地、房屋及构筑物</w:t>
      </w:r>
      <w:r>
        <w:rPr>
          <w:rFonts w:hint="eastAsia" w:ascii="Times New Roman Regular" w:hAnsi="Times New Roman Regular" w:eastAsia="仿宋" w:cs="Times New Roman Regular"/>
          <w:b w:val="0"/>
          <w:bCs w:val="0"/>
          <w:color w:val="auto"/>
          <w:sz w:val="32"/>
          <w:szCs w:val="32"/>
          <w:highlight w:val="none"/>
          <w:lang w:val="en-US" w:eastAsia="zh-CN"/>
        </w:rPr>
        <w:t>29.1241</w:t>
      </w:r>
      <w:r>
        <w:rPr>
          <w:rFonts w:hint="default" w:ascii="Times New Roman Regular" w:hAnsi="Times New Roman Regular" w:eastAsia="仿宋" w:cs="Times New Roman Regular"/>
          <w:b w:val="0"/>
          <w:bCs w:val="0"/>
          <w:color w:val="auto"/>
          <w:sz w:val="32"/>
          <w:szCs w:val="32"/>
          <w:highlight w:val="none"/>
          <w:lang w:val="en-US" w:eastAsia="zh-CN"/>
        </w:rPr>
        <w:t>万元；专用设备</w:t>
      </w:r>
      <w:r>
        <w:rPr>
          <w:rFonts w:hint="eastAsia" w:ascii="Times New Roman Regular" w:hAnsi="Times New Roman Regular" w:eastAsia="仿宋" w:cs="Times New Roman Regular"/>
          <w:b w:val="0"/>
          <w:bCs w:val="0"/>
          <w:color w:val="auto"/>
          <w:sz w:val="32"/>
          <w:szCs w:val="32"/>
          <w:highlight w:val="none"/>
          <w:lang w:val="en-US" w:eastAsia="zh-CN"/>
        </w:rPr>
        <w:t>7.44</w:t>
      </w:r>
      <w:r>
        <w:rPr>
          <w:rFonts w:hint="default" w:ascii="Times New Roman Regular" w:hAnsi="Times New Roman Regular" w:eastAsia="仿宋" w:cs="Times New Roman Regular"/>
          <w:b w:val="0"/>
          <w:bCs w:val="0"/>
          <w:color w:val="auto"/>
          <w:sz w:val="32"/>
          <w:szCs w:val="32"/>
          <w:highlight w:val="none"/>
          <w:lang w:val="en-US" w:eastAsia="zh-CN"/>
        </w:rPr>
        <w:t>万元。</w:t>
      </w:r>
      <w:r>
        <w:rPr>
          <w:rFonts w:hint="eastAsia" w:ascii="Times New Roman Regular" w:hAnsi="Times New Roman Regular" w:eastAsia="仿宋" w:cs="Times New Roman Regular"/>
          <w:b w:val="0"/>
          <w:bCs w:val="0"/>
          <w:color w:val="auto"/>
          <w:sz w:val="32"/>
          <w:szCs w:val="32"/>
          <w:highlight w:val="none"/>
          <w:lang w:val="en-US" w:eastAsia="zh-CN"/>
        </w:rPr>
        <w:t>经对单位的资产进行抽盘，发现单位部分资产闲置，部分资产已报废不能使用。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5" w:name="_Toc10378"/>
      <w:bookmarkStart w:id="56" w:name="_Toc16116"/>
      <w:bookmarkStart w:id="57" w:name="_Toc960"/>
      <w:bookmarkStart w:id="58" w:name="_Toc32642"/>
      <w:bookmarkStart w:id="59" w:name="_Toc157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55"/>
      <w:bookmarkEnd w:id="56"/>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区司法局在《</w:t>
      </w:r>
      <w:r>
        <w:rPr>
          <w:rFonts w:hint="eastAsia" w:ascii="Times New Roman Regular" w:hAnsi="Times New Roman Regular" w:eastAsia="仿宋" w:cs="Times New Roman Regular"/>
          <w:sz w:val="32"/>
          <w:szCs w:val="32"/>
          <w:highlight w:val="none"/>
        </w:rPr>
        <w:t>邵阳市北塔区司法局经费支出管理办法</w:t>
      </w:r>
      <w:r>
        <w:rPr>
          <w:rFonts w:hint="eastAsia" w:ascii="Times New Roman Regular" w:hAnsi="Times New Roman Regular" w:eastAsia="仿宋" w:cs="Times New Roman Regular"/>
          <w:b w:val="0"/>
          <w:bCs w:val="0"/>
          <w:sz w:val="32"/>
          <w:szCs w:val="32"/>
          <w:highlight w:val="none"/>
          <w:lang w:val="en-US" w:eastAsia="zh-CN"/>
        </w:rPr>
        <w:t>》中明确了</w:t>
      </w:r>
      <w:r>
        <w:rPr>
          <w:rFonts w:hint="eastAsia" w:ascii="Times New Roman Regular" w:hAnsi="Times New Roman Regular" w:eastAsia="仿宋" w:cs="Times New Roman Regular"/>
          <w:sz w:val="32"/>
          <w:szCs w:val="32"/>
          <w:highlight w:val="none"/>
        </w:rPr>
        <w:t>纳入政府采购范围的货物、工程、服务类项目的支出，须按照《政府采购法》等国家有关政府采购的规定执行。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60" w:name="_Toc18397"/>
      <w:bookmarkStart w:id="61" w:name="_Toc22641"/>
      <w:bookmarkStart w:id="62" w:name="_Toc31507"/>
      <w:bookmarkStart w:id="63" w:name="_Toc1582"/>
      <w:bookmarkStart w:id="64" w:name="_Toc15041"/>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60"/>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5" w:name="_Toc12758"/>
      <w:bookmarkStart w:id="66" w:name="_Toc26121"/>
      <w:bookmarkStart w:id="67" w:name="_Toc28910"/>
      <w:bookmarkStart w:id="68" w:name="_Toc15017"/>
      <w:bookmarkStart w:id="69" w:name="_Toc21361"/>
      <w:r>
        <w:rPr>
          <w:rFonts w:hint="default" w:ascii="Times New Roman Regular" w:hAnsi="Times New Roman Regular" w:eastAsia="楷体" w:cs="Times New Roman Regular"/>
          <w:b/>
          <w:bCs/>
          <w:sz w:val="32"/>
          <w:szCs w:val="32"/>
          <w:lang w:val="en-US" w:eastAsia="zh-CN"/>
        </w:rPr>
        <w:t>（一）重点绩效评价目的</w:t>
      </w:r>
      <w:bookmarkEnd w:id="65"/>
      <w:bookmarkEnd w:id="66"/>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0" w:name="_Toc27843"/>
      <w:bookmarkStart w:id="71" w:name="_Toc27861"/>
      <w:bookmarkStart w:id="72" w:name="_Toc28384"/>
      <w:bookmarkStart w:id="73" w:name="_Toc29882"/>
      <w:bookmarkStart w:id="74" w:name="_Toc20318"/>
      <w:r>
        <w:rPr>
          <w:rFonts w:hint="default" w:ascii="Times New Roman Regular" w:hAnsi="Times New Roman Regular" w:eastAsia="楷体" w:cs="Times New Roman Regular"/>
          <w:b/>
          <w:bCs/>
          <w:sz w:val="32"/>
          <w:szCs w:val="32"/>
          <w:lang w:val="en-US" w:eastAsia="zh-CN"/>
        </w:rPr>
        <w:t>（二）重点绩效评价工作过程</w:t>
      </w:r>
      <w:bookmarkEnd w:id="70"/>
      <w:bookmarkEnd w:id="71"/>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75" w:name="_Toc3776"/>
      <w:bookmarkStart w:id="76" w:name="_Toc7889"/>
      <w:bookmarkStart w:id="77" w:name="_Toc8109"/>
      <w:bookmarkStart w:id="78" w:name="_Toc16993"/>
      <w:bookmarkStart w:id="79" w:name="_Toc6112"/>
      <w:r>
        <w:rPr>
          <w:rFonts w:hint="default" w:ascii="Times New Roman Regular" w:hAnsi="Times New Roman Regular" w:eastAsia="黑体" w:cs="Times New Roman Regular"/>
          <w:b/>
          <w:bCs/>
          <w:kern w:val="2"/>
          <w:sz w:val="32"/>
          <w:szCs w:val="32"/>
          <w:lang w:val="en-US" w:eastAsia="zh-CN" w:bidi="ar-SA"/>
        </w:rPr>
        <w:t>五、部门整体支出绩效情况</w:t>
      </w:r>
      <w:bookmarkEnd w:id="75"/>
      <w:bookmarkEnd w:id="76"/>
      <w:bookmarkEnd w:id="77"/>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80" w:name="_Toc26843"/>
      <w:bookmarkStart w:id="81" w:name="_Toc21733"/>
      <w:bookmarkStart w:id="82" w:name="_Toc23616"/>
      <w:bookmarkStart w:id="83" w:name="_Toc17342"/>
      <w:bookmarkStart w:id="84" w:name="_Toc171"/>
      <w:r>
        <w:rPr>
          <w:rFonts w:hint="default" w:ascii="Times New Roman Regular" w:hAnsi="Times New Roman Regular" w:eastAsia="楷体" w:cs="Times New Roman Regular"/>
          <w:b/>
          <w:bCs/>
          <w:sz w:val="32"/>
          <w:szCs w:val="32"/>
          <w:highlight w:val="none"/>
          <w:lang w:val="en-US" w:eastAsia="zh-CN"/>
        </w:rPr>
        <w:t>（一）部门整体实际产出情况</w:t>
      </w:r>
      <w:bookmarkEnd w:id="80"/>
      <w:bookmarkEnd w:id="81"/>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85" w:name="_Toc12228"/>
      <w:bookmarkStart w:id="86" w:name="_Toc13512"/>
      <w:bookmarkStart w:id="87" w:name="_Toc32652"/>
      <w:bookmarkStart w:id="88" w:name="_Toc30256"/>
      <w:r>
        <w:rPr>
          <w:rFonts w:hint="default" w:ascii="Times New Roman Regular" w:hAnsi="Times New Roman Regular" w:eastAsia="仿宋" w:cs="Times New Roman Regular"/>
          <w:b/>
          <w:bCs/>
          <w:sz w:val="32"/>
          <w:szCs w:val="32"/>
          <w:lang w:val="en-US" w:eastAsia="zh-CN"/>
        </w:rPr>
        <w:t>1、法律援助办案经费</w:t>
      </w:r>
      <w:bookmarkEnd w:id="85"/>
      <w:bookmarkEnd w:id="86"/>
      <w:bookmarkEnd w:id="87"/>
      <w:bookmarkEnd w:id="88"/>
      <w:bookmarkStart w:id="89" w:name="_Toc17474"/>
      <w:bookmarkStart w:id="90" w:name="_Toc312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法律援助中心共开展法制宣传活动3次，在整个宣传活动期间，发放宣传袋、杯子、宣传手册、餐纸等宣传产品共5000余份，极大地畅通了法律援助的社会参与渠道，有力地提升了法律援助工作的社会认知度，使更多需要法律援助的贫弱群众了解并运用法律援助维护自身合法权益。</w:t>
      </w:r>
    </w:p>
    <w:bookmarkEnd w:id="89"/>
    <w:bookmarkEnd w:id="9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91" w:name="_Toc15681"/>
      <w:bookmarkStart w:id="92" w:name="_Toc15559"/>
      <w:bookmarkStart w:id="93" w:name="_Toc20197"/>
      <w:bookmarkStart w:id="94" w:name="_Toc22706"/>
      <w:bookmarkStart w:id="95" w:name="_Toc17325"/>
      <w:r>
        <w:rPr>
          <w:rFonts w:hint="default" w:ascii="Times New Roman Regular" w:hAnsi="Times New Roman Regular" w:eastAsia="楷体" w:cs="Times New Roman Regular"/>
          <w:b/>
          <w:bCs/>
          <w:sz w:val="32"/>
          <w:szCs w:val="32"/>
          <w:lang w:val="en-US" w:eastAsia="zh-CN"/>
        </w:rPr>
        <w:t>（二）部门整体效益情况</w:t>
      </w:r>
      <w:bookmarkEnd w:id="91"/>
      <w:bookmarkEnd w:id="92"/>
      <w:bookmarkEnd w:id="93"/>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96" w:name="_Toc27152"/>
      <w:bookmarkStart w:id="97" w:name="_Toc21375"/>
      <w:bookmarkStart w:id="98" w:name="_Toc18931"/>
      <w:bookmarkStart w:id="99" w:name="_Toc21621"/>
      <w:r>
        <w:rPr>
          <w:rFonts w:hint="default" w:ascii="Times New Roman Regular" w:hAnsi="Times New Roman Regular" w:eastAsia="仿宋" w:cs="Times New Roman Regular"/>
          <w:b/>
          <w:bCs/>
          <w:sz w:val="32"/>
          <w:szCs w:val="32"/>
          <w:lang w:val="en-US" w:eastAsia="zh-CN"/>
        </w:rPr>
        <w:t>1、抓好思想政治建设</w:t>
      </w:r>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强化政治理论武装。充分运用“学习强国”和局机关周一集体学习日等线上线下学习平台，开展党组中心组理论学习、干部职工学习和支部学习活动</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学深悟透习近平新时代中国特色社会主义思想。通过开展民主生活会、组织生活会、主题党日活动、谈心谈话、民主评议党员等形式，强化理想信念教育，坚决把“两个维护”落到实处。</w:t>
      </w:r>
    </w:p>
    <w:bookmarkEnd w:id="98"/>
    <w:bookmarkEnd w:id="99"/>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100" w:name="_Toc2173"/>
      <w:bookmarkStart w:id="101" w:name="_Toc7322"/>
      <w:bookmarkStart w:id="102" w:name="_Toc19743"/>
      <w:bookmarkStart w:id="103" w:name="_Toc6591"/>
      <w:r>
        <w:rPr>
          <w:rFonts w:hint="default" w:ascii="Times New Roman Regular" w:hAnsi="Times New Roman Regular" w:eastAsia="仿宋" w:cs="Times New Roman Regular"/>
          <w:b/>
          <w:bCs/>
          <w:sz w:val="32"/>
          <w:szCs w:val="32"/>
          <w:lang w:val="en-US" w:eastAsia="zh-CN"/>
        </w:rPr>
        <w:t>2、抓好法治宣传，提供和谐稳定的法治环境</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深入推进习近平法治思想学习宣传。将习近平法治思想纳入全区各级各部门党委（党组）理论学习中心组重点学习内容，作为国家工作人员学法考法的重点内容。以法治宣传为载体，全面推进创文工作开展。强化部门普法责任，认真落实“谁执法谁普法”的普法责任制，在全区范围营造人人参与法治宣传工作的氛围。今年以来</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全区共开展法律法规宣传60余场（次），发放各类宣传材料7万份，全区共开展学生法治教育讲座20场次，发放农民工维权知识宣传材料10000余份。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104" w:name="_Toc29504"/>
      <w:bookmarkStart w:id="105" w:name="_Toc6170"/>
      <w:r>
        <w:rPr>
          <w:rFonts w:hint="default" w:ascii="Times New Roman Regular" w:hAnsi="Times New Roman Regular" w:eastAsia="仿宋" w:cs="Times New Roman Regular"/>
          <w:b/>
          <w:bCs/>
          <w:sz w:val="32"/>
          <w:szCs w:val="32"/>
          <w:lang w:val="en-US" w:eastAsia="zh-CN"/>
        </w:rPr>
        <w:t>3、抓好基层建设，筑牢社会稳定坚固防线</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积极开展“调解促稳定喜迎二十大”专项活动，充分发挥人民调解工作的职能作用，积极参与社会热点、难点纠纷的调解，组织律师和法律工作者为44个村</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社区</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配备了“一村一法律顾问”，实现了法律顾问全覆盖。为确保节假日期间社会和谐稳定，在春节、清明、五一、端午等节假日大力开展大排查大调处活动。2022年度全区共开展矛盾纠纷排查200余次</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预防纠纷30余起</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受理案件200余起</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调解成功率100%，无民转刑案件发生，扎实筑牢了社会稳定第一道防线。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106" w:name="_Toc14472"/>
      <w:bookmarkStart w:id="107" w:name="_Toc18010"/>
      <w:r>
        <w:rPr>
          <w:rFonts w:hint="default" w:ascii="Times New Roman Regular" w:hAnsi="Times New Roman Regular" w:eastAsia="仿宋" w:cs="Times New Roman Regular"/>
          <w:b/>
          <w:bCs/>
          <w:sz w:val="32"/>
          <w:szCs w:val="32"/>
          <w:lang w:val="en-US" w:eastAsia="zh-CN"/>
        </w:rPr>
        <w:t>4、抓好法治政府建设工作，推进行政决策科学化、民主化、法治化</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2022年度参与政府涉法事务审查，共审查相关合同23份，提出修改意见和建议86余条。审查规范性文件7件，并报市政府及区人大备案审查，合法性审查率100%。受理的行政复议案件10件，9件已经办理完结，另外2件申请人无正当理由逾期不补正资料视为放弃申请。</w:t>
      </w:r>
    </w:p>
    <w:bookmarkEnd w:id="102"/>
    <w:bookmarkEnd w:id="103"/>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Regular" w:hAnsi="Times New Roman Regular" w:eastAsia="仿宋" w:cs="Times New Roman Regular"/>
          <w:b/>
          <w:bCs/>
          <w:sz w:val="32"/>
          <w:szCs w:val="32"/>
          <w:lang w:val="en-US" w:eastAsia="zh-CN"/>
        </w:rPr>
      </w:pPr>
      <w:bookmarkStart w:id="108" w:name="_Toc16664"/>
      <w:bookmarkStart w:id="109" w:name="_Toc31133"/>
      <w:bookmarkStart w:id="110" w:name="_Toc21374"/>
      <w:r>
        <w:rPr>
          <w:rFonts w:hint="default" w:ascii="Times New Roman Regular" w:hAnsi="Times New Roman Regular" w:eastAsia="仿宋" w:cs="Times New Roman Regular"/>
          <w:b/>
          <w:bCs/>
          <w:sz w:val="32"/>
          <w:szCs w:val="32"/>
          <w:lang w:val="en-US" w:eastAsia="zh-CN"/>
        </w:rPr>
        <w:t>5、抓好特殊人群管理，充分发挥法律保障职能</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成立社区矫正“疫情安全”领导小组，认真贯彻落实社区矫正监管要求，全力做好社区服刑人员的监督管理、教育矫正和社会适应性帮扶，疫情期间，全区未发生社区矫正对象脱漏管、参与群体性事件、刑事案件和严重抗击疫情等重大事项。进一步规范社区矫正执法行为。采取日常抽查与专项督查相结合，不定时不定点到各司法所检查社区矫正工作，与检察院联合开展社区矫正专项执法督查，深入全区5个乡办司法所，通过查看工作档案、跟踪定位轨迹、对比系统平台、当场点验社区服刑人员和入户走访谈话等方式</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全面了解社区矫正日常监管、教育帮扶、社区服务、走访、请销假等各项措施落实情况，及时找出工作不足，发现监管误区，进一步强化社区矫正工作人员风险意识、责任意识，提升社区矫正业务和执法水平。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11" w:name="_Toc11432"/>
      <w:bookmarkStart w:id="112" w:name="_Toc27307"/>
      <w:bookmarkStart w:id="113" w:name="_Toc18734"/>
      <w:bookmarkStart w:id="114" w:name="_Toc24246"/>
      <w:r>
        <w:rPr>
          <w:rFonts w:hint="default" w:ascii="Times New Roman Regular" w:hAnsi="Times New Roman Regular" w:eastAsia="楷体" w:cs="Times New Roman Regular"/>
          <w:b/>
          <w:bCs/>
          <w:sz w:val="32"/>
          <w:szCs w:val="32"/>
          <w:lang w:val="en-US" w:eastAsia="zh-CN"/>
        </w:rPr>
        <w:t>（三）部门整体满意度</w:t>
      </w:r>
      <w:bookmarkEnd w:id="110"/>
      <w:bookmarkEnd w:id="111"/>
      <w:bookmarkEnd w:id="112"/>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lang w:val="en-US" w:eastAsia="zh-CN"/>
        </w:rPr>
        <w:t>25</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区司法局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15" w:name="_Toc6485"/>
      <w:bookmarkStart w:id="116" w:name="_Toc15480"/>
      <w:bookmarkStart w:id="117" w:name="_Toc2728"/>
      <w:bookmarkStart w:id="118" w:name="_Toc12488"/>
      <w:bookmarkStart w:id="119" w:name="_Toc18447"/>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115"/>
      <w:bookmarkEnd w:id="116"/>
      <w:bookmarkEnd w:id="117"/>
      <w:bookmarkEnd w:id="118"/>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区司法局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w:t>
      </w:r>
      <w:r>
        <w:rPr>
          <w:rFonts w:hint="default" w:ascii="Times New Roman Regular" w:hAnsi="Times New Roman Regular" w:eastAsia="仿宋" w:cs="Times New Roman Regular"/>
          <w:b w:val="0"/>
          <w:bCs w:val="0"/>
          <w:sz w:val="32"/>
          <w:szCs w:val="32"/>
          <w:highlight w:val="none"/>
          <w:lang w:val="en-US" w:eastAsia="zh-CN"/>
        </w:rPr>
        <w:t>实得</w:t>
      </w:r>
      <w:r>
        <w:rPr>
          <w:rFonts w:hint="eastAsia" w:ascii="Times New Roman Regular" w:hAnsi="Times New Roman Regular" w:eastAsia="仿宋" w:cs="Times New Roman Regular"/>
          <w:b w:val="0"/>
          <w:bCs w:val="0"/>
          <w:color w:val="auto"/>
          <w:sz w:val="32"/>
          <w:szCs w:val="32"/>
          <w:highlight w:val="none"/>
          <w:lang w:val="en-US" w:eastAsia="zh-CN"/>
        </w:rPr>
        <w:t>93.00</w:t>
      </w:r>
      <w:r>
        <w:rPr>
          <w:rFonts w:hint="default" w:ascii="Times New Roman Regular" w:hAnsi="Times New Roman Regular" w:eastAsia="仿宋" w:cs="Times New Roman Regular"/>
          <w:b w:val="0"/>
          <w:bCs w:val="0"/>
          <w:color w:val="auto"/>
          <w:sz w:val="32"/>
          <w:szCs w:val="32"/>
          <w:highlight w:val="none"/>
          <w:lang w:val="en-US" w:eastAsia="zh-CN"/>
        </w:rPr>
        <w:t>分，被评</w:t>
      </w:r>
      <w:r>
        <w:rPr>
          <w:rFonts w:hint="default" w:ascii="Times New Roman Regular" w:hAnsi="Times New Roman Regular" w:eastAsia="仿宋" w:cs="Times New Roman Regular"/>
          <w:b w:val="0"/>
          <w:bCs w:val="0"/>
          <w:sz w:val="32"/>
          <w:szCs w:val="32"/>
          <w:highlight w:val="none"/>
          <w:lang w:val="en-US" w:eastAsia="zh-CN"/>
        </w:rPr>
        <w:t>为</w:t>
      </w:r>
      <w:r>
        <w:rPr>
          <w:rFonts w:hint="eastAsia" w:ascii="仿宋" w:hAnsi="仿宋" w:eastAsia="仿宋" w:cs="仿宋"/>
          <w:b w:val="0"/>
          <w:bCs w:val="0"/>
          <w:sz w:val="32"/>
          <w:szCs w:val="32"/>
          <w:highlight w:val="none"/>
          <w:lang w:val="en-US" w:eastAsia="zh-CN"/>
        </w:rPr>
        <w:t>“优”等级（详见附件</w:t>
      </w:r>
      <w:r>
        <w:rPr>
          <w:rFonts w:hint="eastAsia" w:ascii="仿宋" w:hAnsi="仿宋" w:eastAsia="仿宋" w:cs="仿宋"/>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20" w:name="_Toc27480"/>
      <w:bookmarkStart w:id="121" w:name="_Toc25487"/>
      <w:bookmarkStart w:id="122" w:name="_Toc12531"/>
      <w:bookmarkStart w:id="123" w:name="_Toc19714"/>
      <w:bookmarkStart w:id="124" w:name="_Toc4731"/>
      <w:r>
        <w:rPr>
          <w:rFonts w:hint="default" w:ascii="Times New Roman Regular" w:hAnsi="Times New Roman Regular" w:eastAsia="黑体" w:cs="Times New Roman Regular"/>
          <w:b/>
          <w:bCs/>
          <w:kern w:val="2"/>
          <w:sz w:val="32"/>
          <w:szCs w:val="32"/>
          <w:lang w:val="en-US" w:eastAsia="zh-CN" w:bidi="ar-SA"/>
        </w:rPr>
        <w:t>七、存在的主要问题</w:t>
      </w:r>
      <w:bookmarkEnd w:id="120"/>
      <w:bookmarkEnd w:id="121"/>
      <w:bookmarkEnd w:id="122"/>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5" w:name="_Toc22042"/>
      <w:bookmarkStart w:id="126" w:name="_Toc23743"/>
      <w:bookmarkStart w:id="127" w:name="_Toc17549"/>
      <w:bookmarkStart w:id="128" w:name="_Toc32657"/>
      <w:bookmarkStart w:id="129" w:name="_Toc6752"/>
      <w:r>
        <w:rPr>
          <w:rFonts w:hint="eastAsia" w:ascii="Times New Roman Regular" w:hAnsi="Times New Roman Regular" w:eastAsia="楷体" w:cs="Times New Roman Regular"/>
          <w:b/>
          <w:bCs/>
          <w:sz w:val="32"/>
          <w:szCs w:val="32"/>
          <w:lang w:val="en-US" w:eastAsia="zh-CN"/>
        </w:rPr>
        <w:t>（一）政府采购方面</w:t>
      </w:r>
      <w:bookmarkEnd w:id="125"/>
      <w:bookmarkEnd w:id="126"/>
      <w:bookmarkEnd w:id="127"/>
      <w:bookmarkEnd w:id="128"/>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未见单位2022年度政府采购台账，无法核查单位政府采购执行率情况。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30" w:name="_Toc22016"/>
      <w:bookmarkStart w:id="131" w:name="_Toc20801"/>
      <w:bookmarkStart w:id="132" w:name="_Toc20"/>
      <w:bookmarkStart w:id="133" w:name="_Toc30539"/>
      <w:bookmarkStart w:id="134" w:name="_Toc722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财务管理方面</w:t>
      </w:r>
      <w:bookmarkEnd w:id="130"/>
      <w:bookmarkEnd w:id="131"/>
      <w:bookmarkEnd w:id="132"/>
      <w:bookmarkEnd w:id="133"/>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1、跨期报账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经查看区司法局2022年1月2#凭证，付北塔区司法局公证费1.12万元，附件中发票日期开具日期为2021年12月20日。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2、验收不规范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经查看区司法局2022年1月17#凭证，付服装采购1.80万元，其验收单的验收意见、验收单位、验收人、验收时间均未填写。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135" w:name="_Toc4110"/>
      <w:bookmarkStart w:id="136" w:name="_Toc8686"/>
      <w:bookmarkStart w:id="137" w:name="_Toc28189"/>
      <w:bookmarkStart w:id="138" w:name="_Toc19409"/>
      <w:bookmarkStart w:id="139" w:name="_Toc32319"/>
      <w:r>
        <w:rPr>
          <w:rFonts w:hint="eastAsia" w:ascii="Times New Roman Regular" w:hAnsi="Times New Roman Regular" w:eastAsia="楷体" w:cs="Times New Roman Regular"/>
          <w:b/>
          <w:bCs/>
          <w:sz w:val="32"/>
          <w:szCs w:val="32"/>
          <w:highlight w:val="none"/>
          <w:lang w:val="en-US" w:eastAsia="zh-CN"/>
        </w:rPr>
        <w:t>（三）资产管理方面</w:t>
      </w:r>
      <w:bookmarkEnd w:id="135"/>
      <w:bookmarkEnd w:id="136"/>
      <w:bookmarkEnd w:id="137"/>
      <w:bookmarkEnd w:id="138"/>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存在资产管理不规范的情况。经绩效评价小组现场监盘单位资产，一是资产均未贴标，且大部分资产在资产卡片列表中未写明资产存放位置，不利于单位资产管理；二是个别资产闲置，如存放至区司法局210的铁架沙发，数量2，资产编号2018000010；三是部分资产已报废未及时进行处置，如①资产编号2018000091，资产名称电子腕表；②资产编号2018000074，资产名称大屏支架；③资产编号2016000018，资产名称触控一体机；④资产编号2015000010，资产名称复印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140" w:name="_Toc27615"/>
      <w:bookmarkStart w:id="141" w:name="_Toc2326"/>
      <w:bookmarkStart w:id="142" w:name="_Toc15894"/>
      <w:bookmarkStart w:id="143" w:name="_Toc20020"/>
      <w:r>
        <w:rPr>
          <w:rFonts w:hint="eastAsia" w:ascii="Times New Roman Regular" w:hAnsi="Times New Roman Regular" w:eastAsia="楷体" w:cs="Times New Roman Regular"/>
          <w:b/>
          <w:bCs/>
          <w:sz w:val="32"/>
          <w:szCs w:val="32"/>
          <w:highlight w:val="none"/>
          <w:lang w:val="en-US" w:eastAsia="zh-CN"/>
        </w:rPr>
        <w:t>（四）项目产出方面</w:t>
      </w:r>
      <w:bookmarkEnd w:id="140"/>
      <w:bookmarkEnd w:id="141"/>
      <w:bookmarkEnd w:id="142"/>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kern w:val="2"/>
          <w:sz w:val="32"/>
          <w:szCs w:val="32"/>
          <w:lang w:val="en-US" w:eastAsia="zh-CN" w:bidi="ar-SA"/>
        </w:rPr>
      </w:pPr>
      <w:bookmarkStart w:id="144" w:name="_Toc14824"/>
      <w:r>
        <w:rPr>
          <w:rFonts w:hint="eastAsia" w:ascii="Times New Roman Regular" w:hAnsi="Times New Roman Regular" w:eastAsia="仿宋" w:cs="Times New Roman Regular"/>
          <w:b w:val="0"/>
          <w:bCs w:val="0"/>
          <w:kern w:val="2"/>
          <w:sz w:val="32"/>
          <w:szCs w:val="32"/>
          <w:lang w:val="en-US" w:eastAsia="zh-CN" w:bidi="ar-SA"/>
        </w:rPr>
        <w:t>受理行政复议案件数量未达预期。根据单位针对受理行政复议案件填报目标2022年度计划完成20件，2022年度实际受理行政复议案件10件，9件已办理完结。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45" w:name="_Toc18633"/>
      <w:bookmarkStart w:id="146" w:name="_Toc96"/>
      <w:bookmarkStart w:id="147" w:name="_Toc4389"/>
      <w:bookmarkStart w:id="148" w:name="_Toc1427"/>
      <w:r>
        <w:rPr>
          <w:rFonts w:hint="default" w:ascii="Times New Roman Regular" w:hAnsi="Times New Roman Regular" w:eastAsia="黑体" w:cs="Times New Roman Regular"/>
          <w:b/>
          <w:bCs/>
          <w:kern w:val="2"/>
          <w:sz w:val="32"/>
          <w:szCs w:val="32"/>
          <w:lang w:val="en-US" w:eastAsia="zh-CN" w:bidi="ar-SA"/>
        </w:rPr>
        <w:t>八、相关建议</w:t>
      </w:r>
      <w:bookmarkEnd w:id="144"/>
      <w:bookmarkEnd w:id="145"/>
      <w:bookmarkEnd w:id="146"/>
      <w:bookmarkEnd w:id="147"/>
      <w:bookmarkEnd w:id="1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49" w:name="_Toc9525"/>
      <w:bookmarkStart w:id="150" w:name="_Toc26140"/>
      <w:bookmarkStart w:id="151" w:name="_Toc19156"/>
      <w:bookmarkStart w:id="152" w:name="_Toc1567"/>
      <w:bookmarkStart w:id="153" w:name="_Toc2030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149"/>
      <w:bookmarkEnd w:id="150"/>
      <w:bookmarkEnd w:id="151"/>
      <w:bookmarkEnd w:id="152"/>
      <w:bookmarkEnd w:id="1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构建全过程闭环管理机制，提升监督管理水平。</w:t>
      </w:r>
      <w:r>
        <w:rPr>
          <w:rFonts w:hint="eastAsia" w:ascii="Times New Roman Regular" w:hAnsi="Times New Roman Regular" w:eastAsia="仿宋" w:cs="Times New Roman Regular"/>
          <w:b w:val="0"/>
          <w:bCs w:val="0"/>
          <w:sz w:val="32"/>
          <w:szCs w:val="32"/>
          <w:lang w:val="en-US" w:eastAsia="zh-CN"/>
        </w:rPr>
        <w:t>单位</w:t>
      </w:r>
      <w:r>
        <w:rPr>
          <w:rFonts w:hint="default" w:ascii="Times New Roman Regular" w:hAnsi="Times New Roman Regular" w:eastAsia="仿宋" w:cs="Times New Roman Regular"/>
          <w:b w:val="0"/>
          <w:bCs w:val="0"/>
          <w:sz w:val="32"/>
          <w:szCs w:val="32"/>
          <w:lang w:val="en-US" w:eastAsia="zh-CN"/>
        </w:rPr>
        <w:t>在编制年度部门预算时，严格按规定和要求编制政府采购预算，尽量做到应采尽采、无预算不采购，加强评标现场管理，落实巡察制度、档案管理等制度，强化合同管理。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54" w:name="_Toc16801"/>
      <w:bookmarkStart w:id="155" w:name="_Toc4920"/>
      <w:bookmarkStart w:id="156" w:name="_Toc8726"/>
      <w:bookmarkStart w:id="157" w:name="_Toc679"/>
      <w:bookmarkStart w:id="158" w:name="_Toc2122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bookmarkEnd w:id="154"/>
      <w:bookmarkEnd w:id="155"/>
      <w:bookmarkEnd w:id="156"/>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ascii="Times New Roman Regular" w:hAnsi="Times New Roman Regular" w:eastAsia="仿宋" w:cs="Times New Roman Regular"/>
          <w:b w:val="0"/>
          <w:bCs w:val="0"/>
          <w:kern w:val="2"/>
          <w:sz w:val="32"/>
          <w:szCs w:val="32"/>
          <w:lang w:val="en-US" w:eastAsia="zh-CN" w:bidi="ar-SA"/>
        </w:rPr>
        <w:t>一是规范报账程序，设立报账截止时点，以便于准确反映单位年度资金使用情况；二是</w:t>
      </w:r>
      <w:r>
        <w:rPr>
          <w:rFonts w:hint="eastAsia" w:ascii="Times New Roman" w:hAnsi="Times New Roman" w:eastAsia="仿宋" w:cs="Times New Roman"/>
          <w:sz w:val="32"/>
          <w:szCs w:val="40"/>
          <w:lang w:val="en-US" w:eastAsia="zh-CN"/>
        </w:rPr>
        <w:t>建议单位完善验收程序相关的管理制度，规范验收流程。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9" w:name="_Toc22533"/>
      <w:bookmarkStart w:id="160" w:name="_Toc30897"/>
      <w:bookmarkStart w:id="161" w:name="_Toc25988"/>
      <w:bookmarkStart w:id="162" w:name="_Toc32198"/>
      <w:bookmarkStart w:id="163" w:name="_Toc21744"/>
      <w:r>
        <w:rPr>
          <w:rFonts w:hint="eastAsia" w:ascii="Times New Roman Regular" w:hAnsi="Times New Roman Regular" w:eastAsia="楷体" w:cs="Times New Roman Regular"/>
          <w:b/>
          <w:bCs/>
          <w:sz w:val="32"/>
          <w:szCs w:val="32"/>
          <w:lang w:val="en-US" w:eastAsia="zh-CN"/>
        </w:rPr>
        <w:t>（三）规范资产管理</w:t>
      </w:r>
      <w:bookmarkEnd w:id="159"/>
      <w:bookmarkEnd w:id="160"/>
      <w:bookmarkEnd w:id="161"/>
      <w:bookmarkEnd w:id="162"/>
      <w:bookmarkEnd w:id="163"/>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对于资产闲置、已不能使用及时进行处置，</w:t>
      </w:r>
      <w:r>
        <w:rPr>
          <w:rFonts w:hint="default" w:ascii="Times New Roman Regular" w:hAnsi="Times New Roman Regular" w:eastAsia="仿宋" w:cs="Times New Roman Regular"/>
          <w:b w:val="0"/>
          <w:bCs w:val="0"/>
          <w:kern w:val="2"/>
          <w:sz w:val="32"/>
          <w:szCs w:val="32"/>
          <w:lang w:val="en-US" w:eastAsia="zh-CN" w:bidi="ar-SA"/>
        </w:rPr>
        <w:t>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64" w:name="_Toc24893"/>
      <w:bookmarkStart w:id="165" w:name="_Toc9143"/>
      <w:bookmarkStart w:id="166" w:name="_Toc18121"/>
      <w:bookmarkStart w:id="167" w:name="_Toc20103"/>
      <w:bookmarkStart w:id="168" w:name="_Toc11122"/>
      <w:r>
        <w:rPr>
          <w:rFonts w:hint="default" w:ascii="Times New Roman Regular" w:hAnsi="Times New Roman Regular" w:eastAsia="黑体" w:cs="Times New Roman Regular"/>
          <w:b/>
          <w:bCs/>
          <w:kern w:val="2"/>
          <w:sz w:val="32"/>
          <w:szCs w:val="32"/>
          <w:lang w:val="en-US" w:eastAsia="zh-CN" w:bidi="ar-SA"/>
        </w:rPr>
        <w:t>九、报告使用情况说明</w:t>
      </w:r>
      <w:bookmarkEnd w:id="164"/>
      <w:bookmarkEnd w:id="165"/>
      <w:bookmarkEnd w:id="166"/>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邵阳市北塔区司法局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邵阳市北塔区司法局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9"/>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邵阳市北塔区司法局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绩效评价基础数据表</w:t>
      </w:r>
    </w:p>
    <w:p>
      <w:pPr>
        <w:pStyle w:val="9"/>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邵阳市北塔区司法局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绩效评价自评表</w:t>
      </w:r>
    </w:p>
    <w:p>
      <w:pPr>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4</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邵阳市北塔区司法局</w:t>
      </w:r>
      <w:r>
        <w:rPr>
          <w:rFonts w:hint="default" w:ascii="Times New Roman Regular" w:hAnsi="Times New Roman Regular" w:eastAsia="仿宋" w:cs="Times New Roman Regular"/>
          <w:b w:val="0"/>
          <w:bCs w:val="0"/>
          <w:sz w:val="32"/>
          <w:szCs w:val="32"/>
          <w:lang w:val="en-US" w:eastAsia="zh-CN"/>
        </w:rPr>
        <w:t>2022年度项目自评表</w:t>
      </w:r>
    </w:p>
    <w:p>
      <w:pPr>
        <w:pStyle w:val="2"/>
        <w:rPr>
          <w:rFonts w:hint="default" w:ascii="Times New Roman Regular" w:hAnsi="Times New Roman Regular" w:eastAsia="仿宋" w:cs="Times New Roman Regular"/>
          <w:b w:val="0"/>
          <w:bCs w:val="0"/>
          <w:sz w:val="32"/>
          <w:szCs w:val="32"/>
          <w:lang w:val="en-US" w:eastAsia="zh-CN"/>
        </w:rPr>
      </w:pPr>
    </w:p>
    <w:p>
      <w:pPr>
        <w:pStyle w:val="2"/>
        <w:rPr>
          <w:rFonts w:hint="default" w:ascii="Times New Roman Regular" w:hAnsi="Times New Roman Regular" w:eastAsia="仿宋" w:cs="Times New Roman Regular"/>
          <w:b w:val="0"/>
          <w:bCs w:val="0"/>
          <w:sz w:val="32"/>
          <w:szCs w:val="32"/>
          <w:lang w:val="en-US" w:eastAsia="zh-CN"/>
        </w:rPr>
      </w:pPr>
    </w:p>
    <w:p>
      <w:pPr>
        <w:pStyle w:val="2"/>
        <w:rPr>
          <w:rFonts w:hint="default" w:ascii="Times New Roman Regular" w:hAnsi="Times New Roman Regular" w:eastAsia="仿宋" w:cs="Times New Roman Regular"/>
          <w:b w:val="0"/>
          <w:bCs w:val="0"/>
          <w:sz w:val="32"/>
          <w:szCs w:val="32"/>
          <w:lang w:val="en-US" w:eastAsia="zh-CN"/>
        </w:rPr>
      </w:pPr>
    </w:p>
    <w:p>
      <w:pPr>
        <w:pStyle w:val="10"/>
        <w:rPr>
          <w:rFonts w:hint="default"/>
          <w:lang w:val="en-US" w:eastAsia="zh-CN"/>
        </w:rPr>
      </w:pPr>
    </w:p>
    <w:p>
      <w:pPr>
        <w:pStyle w:val="9"/>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9"/>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9"/>
        <w:ind w:firstLine="5890" w:firstLineChars="1900"/>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司法局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1089"/>
        <w:gridCol w:w="1572"/>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auto"/>
                <w:sz w:val="18"/>
                <w:szCs w:val="18"/>
                <w:lang w:val="en-US" w:eastAsia="zh-CN"/>
              </w:rPr>
              <w:t>未见单位2022年度政府采购台账，无法核查单位政府采购执行率，扣2分。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3.5</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存在</w:t>
            </w:r>
            <w:r>
              <w:rPr>
                <w:rFonts w:hint="eastAsia" w:ascii="Times New Roman" w:hAnsi="Times New Roman" w:cs="Times New Roman"/>
                <w:color w:val="000000"/>
                <w:sz w:val="18"/>
                <w:szCs w:val="18"/>
                <w:lang w:val="en-US" w:eastAsia="zh-CN"/>
              </w:rPr>
              <w:t>跨期报账、部分验收不规范</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酌情1.5</w:t>
            </w:r>
            <w:r>
              <w:rPr>
                <w:rFonts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一是资产未贴标；二是个别资产闲置，三是部分资产已不能使用，酌情</w:t>
            </w:r>
            <w:r>
              <w:rPr>
                <w:rFonts w:ascii="Times New Roman" w:hAnsi="Times New Roman" w:cs="Times New Roman" w:eastAsiaTheme="minorEastAsia"/>
                <w:color w:val="000000"/>
                <w:sz w:val="18"/>
                <w:szCs w:val="18"/>
              </w:rPr>
              <w:t>扣</w:t>
            </w:r>
            <w:r>
              <w:rPr>
                <w:rFonts w:hint="eastAsia" w:ascii="Times New Roman" w:hAnsi="Times New Roman" w:cs="Times New Roman"/>
                <w:color w:val="000000"/>
                <w:sz w:val="18"/>
                <w:szCs w:val="18"/>
                <w:lang w:val="en-US" w:eastAsia="zh-CN"/>
              </w:rPr>
              <w:t>1分</w:t>
            </w:r>
            <w:r>
              <w:rPr>
                <w:rFonts w:ascii="Times New Roman" w:hAnsi="Times New Roman" w:cs="Times New Roman" w:eastAsiaTheme="minorEastAsia"/>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auto"/>
                <w:sz w:val="18"/>
                <w:szCs w:val="18"/>
                <w:lang w:eastAsia="zh-CN"/>
              </w:rPr>
              <w:t>0</w:t>
            </w:r>
            <w:r>
              <w:rPr>
                <w:rFonts w:hint="eastAsia" w:ascii="Times New Roman" w:hAnsi="Times New Roman" w:cs="Times New Roman"/>
                <w:color w:val="auto"/>
                <w:sz w:val="18"/>
                <w:szCs w:val="18"/>
                <w:lang w:val="en-US" w:eastAsia="zh-CN"/>
              </w:rPr>
              <w:t>.5</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经抽盘固定资产，发现个别资产闲置，部分资产已不能使用未及时处置，扣0.5分。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受理行政复议案件</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受理行政复议案件20件，工作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7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实际受理行政复议案件10件，9件已办理完结，扣2分。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排查矛盾，化解纠纷</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排查人民群众矛盾纠纷30件，化解纠纷100件。工作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行政复议实质化解行政争议率</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行政复议实质化解行政争议率不低于70%，且经过行政复议后被法院撤销或者确认违法的案件比例不超过15%。工作</w:t>
            </w:r>
            <w:r>
              <w:rPr>
                <w:rFonts w:ascii="Times New Roman" w:hAnsi="Times New Roman" w:cs="Times New Roman" w:eastAsiaTheme="minorEastAsia"/>
                <w:color w:val="000000"/>
                <w:sz w:val="18"/>
                <w:szCs w:val="18"/>
              </w:rPr>
              <w:t>完成率100%，得满分；未达到按实际完成情况得分</w:t>
            </w:r>
            <w:r>
              <w:rPr>
                <w:rFonts w:hint="eastAsia" w:ascii="Times New Roman" w:hAnsi="Times New Roman" w:cs="Times New Roman"/>
                <w:color w:val="000000"/>
                <w:sz w:val="18"/>
                <w:szCs w:val="18"/>
                <w:lang w:eastAsia="zh-CN"/>
              </w:rPr>
              <w:t>，</w:t>
            </w: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提高矛盾调解成功率</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调解成功率高达80%</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93.00</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2</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pStyle w:val="2"/>
        <w:rPr>
          <w:rFonts w:hint="default" w:ascii="Times New Roman" w:hAnsi="Times New Roman" w:eastAsia="方正小标宋_GBK" w:cs="Times New Roman"/>
          <w:kern w:val="2"/>
          <w:sz w:val="36"/>
          <w:szCs w:val="36"/>
          <w:highlight w:val="none"/>
          <w:lang w:val="en-US" w:eastAsia="zh-CN" w:bidi="ar-SA"/>
        </w:rPr>
      </w:pPr>
      <w:r>
        <w:rPr>
          <w:rFonts w:hint="default" w:ascii="Times New Roman" w:hAnsi="Times New Roman" w:eastAsia="方正小标宋_GBK" w:cs="Times New Roman"/>
          <w:kern w:val="2"/>
          <w:sz w:val="36"/>
          <w:szCs w:val="36"/>
          <w:highlight w:val="none"/>
          <w:lang w:val="en-US" w:eastAsia="zh-CN" w:bidi="ar-SA"/>
        </w:rPr>
        <w:t>邵阳市北塔区</w:t>
      </w:r>
      <w:r>
        <w:rPr>
          <w:rFonts w:hint="eastAsia" w:ascii="Times New Roman" w:hAnsi="Times New Roman" w:eastAsia="方正小标宋_GBK" w:cs="Times New Roman"/>
          <w:kern w:val="2"/>
          <w:sz w:val="36"/>
          <w:szCs w:val="36"/>
          <w:highlight w:val="none"/>
          <w:lang w:val="en-US" w:eastAsia="zh-CN" w:bidi="ar-SA"/>
        </w:rPr>
        <w:t>司法局</w:t>
      </w:r>
      <w:r>
        <w:rPr>
          <w:rFonts w:hint="default" w:ascii="Times New Roman" w:hAnsi="Times New Roman" w:eastAsia="方正小标宋_GBK" w:cs="Times New Roman"/>
          <w:kern w:val="2"/>
          <w:sz w:val="36"/>
          <w:szCs w:val="36"/>
          <w:highlight w:val="none"/>
          <w:lang w:val="en-US" w:eastAsia="zh-CN" w:bidi="ar-SA"/>
        </w:rPr>
        <w:t>2022年度部门整体支出</w:t>
      </w:r>
    </w:p>
    <w:p>
      <w:pPr>
        <w:widowControl/>
        <w:jc w:val="center"/>
        <w:rPr>
          <w:rFonts w:hint="default" w:ascii="Times New Roman" w:hAnsi="Times New Roman" w:eastAsia="方正小标宋_GBK" w:cs="Times New Roman"/>
          <w:kern w:val="2"/>
          <w:sz w:val="36"/>
          <w:szCs w:val="36"/>
          <w:highlight w:val="none"/>
          <w:lang w:val="en-US" w:eastAsia="zh-CN" w:bidi="ar-SA"/>
        </w:rPr>
      </w:pPr>
      <w:r>
        <w:rPr>
          <w:rFonts w:hint="default" w:ascii="Times New Roman" w:hAnsi="Times New Roman" w:eastAsia="方正小标宋_GBK" w:cs="Times New Roman"/>
          <w:kern w:val="2"/>
          <w:sz w:val="36"/>
          <w:szCs w:val="36"/>
          <w:highlight w:val="none"/>
          <w:lang w:val="en-US" w:eastAsia="zh-CN" w:bidi="ar-SA"/>
        </w:rPr>
        <w:t>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cs="Times New Roman"/>
          <w:kern w:val="0"/>
          <w:sz w:val="24"/>
        </w:rPr>
      </w:pP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p>
    <w:tbl>
      <w:tblPr>
        <w:tblStyle w:val="14"/>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项目</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本年预算数</w:t>
            </w:r>
          </w:p>
        </w:tc>
        <w:tc>
          <w:tcPr>
            <w:tcW w:w="232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本年实际数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一、基本支出</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279.90</w:t>
            </w:r>
          </w:p>
        </w:tc>
        <w:tc>
          <w:tcPr>
            <w:tcW w:w="232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419.83</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436.74</w:t>
            </w:r>
          </w:p>
        </w:tc>
      </w:tr>
      <w:tr>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rPr>
              <w:t>1、</w:t>
            </w:r>
            <w:r>
              <w:rPr>
                <w:rFonts w:hint="eastAsia" w:ascii="Times New Roman" w:hAnsi="Times New Roman" w:cs="Times New Roman"/>
                <w:kern w:val="0"/>
                <w:szCs w:val="21"/>
                <w:lang w:val="en-US" w:eastAsia="zh-CN"/>
              </w:rPr>
              <w:t>人员经费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241.64</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311.28</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329.85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2、公</w:t>
            </w:r>
            <w:r>
              <w:rPr>
                <w:rFonts w:hint="eastAsia" w:ascii="Times New Roman" w:hAnsi="Times New Roman" w:cs="Times New Roman"/>
                <w:kern w:val="0"/>
                <w:szCs w:val="21"/>
                <w:lang w:val="en-US" w:eastAsia="zh-CN"/>
              </w:rPr>
              <w:t>用</w:t>
            </w:r>
            <w:r>
              <w:rPr>
                <w:rFonts w:hint="default" w:ascii="Times New Roman" w:hAnsi="Times New Roman" w:cs="Times New Roman"/>
                <w:kern w:val="0"/>
                <w:szCs w:val="21"/>
              </w:rPr>
              <w:t>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38.27</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108.54</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106.9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二、项目支出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27.10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1.14</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r>
              <w:rPr>
                <w:rFonts w:hint="eastAsia" w:ascii="Times New Roman" w:hAnsi="Times New Roman" w:cs="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三、三公经费支出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3.80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0.89</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0.21</w:t>
            </w:r>
          </w:p>
        </w:tc>
      </w:tr>
      <w:tr>
        <w:tblPrEx>
          <w:tblCellMar>
            <w:top w:w="0" w:type="dxa"/>
            <w:left w:w="108" w:type="dxa"/>
            <w:bottom w:w="0" w:type="dxa"/>
            <w:right w:w="108" w:type="dxa"/>
          </w:tblCellMar>
        </w:tblPrEx>
        <w:trPr>
          <w:trHeight w:val="43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1、公务接待费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0.03</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2、车辆购置经费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车辆运行经费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0.85</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0.21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3、出国出境经费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四、商品及服务支出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38.27</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107.22</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105.89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1、办公费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3.50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1.86</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4.07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2、印刷费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0.60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7.72</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8.11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3、差旅费</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0.50</w:t>
            </w: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0.60</w:t>
            </w: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4、会议费</w:t>
            </w:r>
          </w:p>
        </w:tc>
        <w:tc>
          <w:tcPr>
            <w:tcW w:w="171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1050" w:firstLineChars="5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5、培训费</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0.50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0.13</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0.67</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1050" w:firstLineChars="5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6、维修（护）费</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2.00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1.51</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2.03</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1050" w:firstLineChars="5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7、劳务费</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2.00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30.69</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44.76</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1050" w:firstLineChars="5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8、其他交通费</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14.57</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15.98</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12.12</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五、政府采购金额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43.00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106.90</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六、机构人员</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cs="Times New Roman"/>
                <w:kern w:val="0"/>
                <w:szCs w:val="21"/>
                <w:lang w:val="en-US" w:eastAsia="zh-CN"/>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1、三定机构数 (个)</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cs="Times New Roman"/>
                <w:kern w:val="0"/>
                <w:szCs w:val="21"/>
                <w:lang w:val="en-US" w:eastAsia="zh-CN"/>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2、实际机构数(个)</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kern w:val="0"/>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cs="Times New Roman"/>
                <w:kern w:val="0"/>
                <w:szCs w:val="21"/>
                <w:lang w:val="en-US" w:eastAsia="zh-CN"/>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3、人员编制数(人)</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4、实际在职人员 (人)</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18</w:t>
            </w:r>
          </w:p>
        </w:tc>
      </w:tr>
    </w:tbl>
    <w:p>
      <w:pPr>
        <w:pStyle w:val="2"/>
        <w:ind w:left="0" w:leftChars="0" w:firstLine="0" w:firstLineChars="0"/>
        <w:rPr>
          <w:rFonts w:hint="default" w:eastAsiaTheme="minorEastAsia"/>
          <w:lang w:val="en-US" w:eastAsia="zh-CN"/>
        </w:rPr>
        <w:sectPr>
          <w:headerReference r:id="rId7" w:type="default"/>
          <w:pgSz w:w="11906" w:h="16838"/>
          <w:pgMar w:top="1497" w:right="1519" w:bottom="1497" w:left="1519" w:header="680" w:footer="992" w:gutter="0"/>
          <w:pgNumType w:fmt="decimal"/>
          <w:cols w:space="720" w:num="1"/>
          <w:docGrid w:type="lines" w:linePitch="312" w:charSpace="0"/>
        </w:sectPr>
      </w:pPr>
    </w:p>
    <w:p>
      <w:pPr>
        <w:pStyle w:val="10"/>
        <w:rPr>
          <w:rFonts w:hint="default"/>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3</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邵阳市北塔区</w:t>
      </w:r>
      <w:r>
        <w:rPr>
          <w:rFonts w:hint="eastAsia" w:ascii="Times New Roman" w:hAnsi="Times New Roman" w:eastAsia="方正小标宋_GBK" w:cs="Times New Roman"/>
          <w:sz w:val="32"/>
          <w:szCs w:val="32"/>
          <w:highlight w:val="none"/>
          <w:lang w:val="en-US" w:eastAsia="zh-CN"/>
        </w:rPr>
        <w:t>司法局</w:t>
      </w:r>
      <w:r>
        <w:rPr>
          <w:rFonts w:hint="default" w:ascii="Times New Roman" w:hAnsi="Times New Roman" w:eastAsia="方正小标宋_GBK" w:cs="Times New Roman"/>
          <w:sz w:val="32"/>
          <w:szCs w:val="32"/>
          <w:highlight w:val="none"/>
          <w:lang w:val="en-US" w:eastAsia="zh-CN"/>
        </w:rPr>
        <w:t>2022年度部门整体支出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绩效</w:t>
      </w:r>
      <w:r>
        <w:rPr>
          <w:rFonts w:hint="eastAsia" w:ascii="Times New Roman" w:hAnsi="Times New Roman" w:eastAsia="方正小标宋_GBK" w:cs="Times New Roman"/>
          <w:sz w:val="32"/>
          <w:szCs w:val="32"/>
          <w:highlight w:val="none"/>
          <w:lang w:val="en-US" w:eastAsia="zh-CN"/>
        </w:rPr>
        <w:t>评价</w:t>
      </w:r>
      <w:r>
        <w:rPr>
          <w:rFonts w:hint="default" w:ascii="Times New Roman" w:hAnsi="Times New Roman" w:eastAsia="方正小标宋_GBK" w:cs="Times New Roman"/>
          <w:sz w:val="32"/>
          <w:szCs w:val="32"/>
          <w:highlight w:val="none"/>
        </w:rPr>
        <w:t>自评表</w:t>
      </w:r>
    </w:p>
    <w:tbl>
      <w:tblPr>
        <w:tblStyle w:val="1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53"/>
        <w:gridCol w:w="1350"/>
        <w:gridCol w:w="1203"/>
        <w:gridCol w:w="1275"/>
        <w:gridCol w:w="709"/>
        <w:gridCol w:w="99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8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单位名称</w:t>
            </w:r>
          </w:p>
        </w:tc>
        <w:tc>
          <w:tcPr>
            <w:tcW w:w="8913" w:type="dxa"/>
            <w:gridSpan w:val="8"/>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邵阳市北塔区司法局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年度预</w:t>
            </w:r>
          </w:p>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rPr>
              <w:t>算申请</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（万元）</w:t>
            </w:r>
          </w:p>
        </w:tc>
        <w:tc>
          <w:tcPr>
            <w:tcW w:w="203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年初预算数</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全年预算数</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全年执行数</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执行率</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03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年度资金总额</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307.00</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420.96</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420.96</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按收入性质分：</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xml:space="preserve">  其中：  一般公共预算：</w:t>
            </w:r>
            <w:r>
              <w:rPr>
                <w:rFonts w:hint="eastAsia" w:ascii="Times New Roman" w:hAnsi="Times New Roman" w:cs="Times New Roman" w:eastAsiaTheme="minorEastAsia"/>
                <w:color w:val="000000"/>
                <w:kern w:val="0"/>
                <w:sz w:val="18"/>
                <w:szCs w:val="18"/>
                <w:highlight w:val="none"/>
                <w:lang w:val="en-US" w:eastAsia="zh-CN"/>
              </w:rPr>
              <w:t>415.24</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其中：基本支出：</w:t>
            </w:r>
            <w:r>
              <w:rPr>
                <w:rFonts w:hint="eastAsia" w:ascii="Times New Roman" w:hAnsi="Times New Roman" w:cs="Times New Roman" w:eastAsiaTheme="minorEastAsia"/>
                <w:color w:val="000000"/>
                <w:kern w:val="0"/>
                <w:sz w:val="18"/>
                <w:szCs w:val="18"/>
                <w:highlight w:val="none"/>
                <w:lang w:val="en-US" w:eastAsia="zh-CN"/>
              </w:rPr>
              <w:t>419.83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政府性基金拨款：</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项目支出：</w:t>
            </w:r>
            <w:r>
              <w:rPr>
                <w:rFonts w:hint="eastAsia" w:ascii="Times New Roman" w:hAnsi="Times New Roman" w:cs="Times New Roman" w:eastAsiaTheme="minorEastAsia"/>
                <w:color w:val="000000"/>
                <w:kern w:val="0"/>
                <w:sz w:val="18"/>
                <w:szCs w:val="18"/>
                <w:highlight w:val="no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纳入专户管理的非税收入拨款：</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其他资金：</w:t>
            </w:r>
            <w:r>
              <w:rPr>
                <w:rFonts w:hint="eastAsia" w:ascii="Times New Roman" w:hAnsi="Times New Roman" w:cs="Times New Roman" w:eastAsiaTheme="minorEastAsia"/>
                <w:color w:val="000000"/>
                <w:kern w:val="0"/>
                <w:sz w:val="18"/>
                <w:szCs w:val="18"/>
                <w:highlight w:val="none"/>
                <w:lang w:val="en-US" w:eastAsia="zh-CN"/>
              </w:rPr>
              <w:t>5.72</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年度总体目标</w:t>
            </w: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预期目标</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586"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eastAsia="zh-CN"/>
              </w:rPr>
              <w:t>全区司法行政机关法律援助，人民调解，普法宣传，社区矫正等工作，提高现有装备保障水平，继续加强和完善公共法律服务水平，继续加强对广大人民群众的普法宣传，加大对各类矛盾纠纷的排查与调解，努力提升人民群众的获得感、幸福感、安全感，进一步为法治北塔和谐稳定发展做出贡献。</w:t>
            </w:r>
          </w:p>
        </w:tc>
        <w:tc>
          <w:tcPr>
            <w:tcW w:w="4327"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eastAsia="zh-CN"/>
              </w:rPr>
              <w:t>年度各项任务圆满完成，服务保障水平进一步提高。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标</w:t>
            </w:r>
          </w:p>
        </w:tc>
        <w:tc>
          <w:tcPr>
            <w:tcW w:w="108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一级指标</w:t>
            </w: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二级</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三级指标</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年度指标值</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实际完成值</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产出指标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(50分)</w:t>
            </w: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数量</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全区</w:t>
            </w:r>
            <w:r>
              <w:rPr>
                <w:rFonts w:hint="eastAsia" w:ascii="Times New Roman" w:hAnsi="Times New Roman" w:cs="Times New Roman" w:eastAsiaTheme="minorEastAsia"/>
                <w:color w:val="000000"/>
                <w:kern w:val="0"/>
                <w:sz w:val="18"/>
                <w:szCs w:val="18"/>
                <w:highlight w:val="none"/>
                <w:lang w:eastAsia="zh-CN"/>
              </w:rPr>
              <w:t>司法</w:t>
            </w:r>
            <w:r>
              <w:rPr>
                <w:rFonts w:hint="default" w:ascii="Times New Roman" w:hAnsi="Times New Roman" w:cs="Times New Roman" w:eastAsiaTheme="minorEastAsia"/>
                <w:color w:val="000000"/>
                <w:kern w:val="0"/>
                <w:sz w:val="18"/>
                <w:szCs w:val="18"/>
                <w:highlight w:val="none"/>
              </w:rPr>
              <w:t>权益保障覆盖率</w:t>
            </w:r>
          </w:p>
        </w:tc>
        <w:tc>
          <w:tcPr>
            <w:tcW w:w="1203" w:type="dxa"/>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100%</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100%</w:t>
            </w:r>
            <w:r>
              <w:rPr>
                <w:rFonts w:hint="default" w:ascii="Times New Roman" w:hAnsi="Times New Roman" w:cs="Times New Roman" w:eastAsiaTheme="minorEastAsia"/>
                <w:color w:val="000000"/>
                <w:kern w:val="0"/>
                <w:sz w:val="18"/>
                <w:szCs w:val="18"/>
                <w:highlight w:val="none"/>
              </w:rPr>
              <w:t>　</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10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质量</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相关政策要求</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完成政策要求</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100%</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时效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工作开展时间</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2022年度</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按规定时间完成工作</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成本</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部门支出成本</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预算经费</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eastAsia="zh-CN"/>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eastAsia="zh-CN"/>
              </w:rPr>
              <w:t>　</w:t>
            </w:r>
            <w:r>
              <w:rPr>
                <w:rFonts w:hint="eastAsia" w:ascii="Times New Roman" w:hAnsi="Times New Roman" w:cs="Times New Roman" w:eastAsiaTheme="minorEastAsia"/>
                <w:color w:val="000000"/>
                <w:kern w:val="0"/>
                <w:sz w:val="18"/>
                <w:szCs w:val="18"/>
                <w:highlight w:val="none"/>
                <w:lang w:val="en-US" w:eastAsia="zh-CN"/>
              </w:rPr>
              <w:t>10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“三公经费”控制率</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100%以下（含）计10分，每超5%扣1分，扣完为止。</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100%</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效益指标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（30分）</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经济效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益指标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指标1：</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益指标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效果显著</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达到一定效果</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9</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按</w:t>
            </w:r>
            <w:r>
              <w:rPr>
                <w:rFonts w:hint="eastAsia" w:ascii="Times New Roman" w:hAnsi="Times New Roman" w:cs="Times New Roman" w:eastAsiaTheme="minorEastAsia"/>
                <w:color w:val="000000"/>
                <w:kern w:val="0"/>
                <w:sz w:val="18"/>
                <w:szCs w:val="18"/>
                <w:highlight w:val="none"/>
                <w:lang w:val="en-US" w:eastAsia="zh-CN"/>
              </w:rPr>
              <w:t>90%折算计分</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生态效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益指标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指标1：</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8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标</w:t>
            </w: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可持续影响指标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建立健全相关政策</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长期</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基本达成预期指标</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8</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53"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促进社和谐</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长期</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eastAsia="zh-CN"/>
              </w:rPr>
              <w:t>基本达成预期指标</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8</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8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满意度</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（10分）</w:t>
            </w:r>
          </w:p>
        </w:tc>
        <w:tc>
          <w:tcPr>
            <w:tcW w:w="95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服务对象满意度指标</w:t>
            </w:r>
          </w:p>
        </w:tc>
        <w:tc>
          <w:tcPr>
            <w:tcW w:w="13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退役军人满意度</w:t>
            </w:r>
          </w:p>
        </w:tc>
        <w:tc>
          <w:tcPr>
            <w:tcW w:w="1203"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基本满意</w:t>
            </w:r>
          </w:p>
        </w:tc>
        <w:tc>
          <w:tcPr>
            <w:tcW w:w="127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基本满意</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10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9</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41" w:type="dxa"/>
            <w:gridSpan w:val="6"/>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709"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99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　</w:t>
            </w:r>
            <w:r>
              <w:rPr>
                <w:rFonts w:hint="eastAsia" w:ascii="Times New Roman" w:hAnsi="Times New Roman" w:cs="Times New Roman" w:eastAsiaTheme="minorEastAsia"/>
                <w:color w:val="000000"/>
                <w:kern w:val="0"/>
                <w:sz w:val="18"/>
                <w:szCs w:val="18"/>
                <w:highlight w:val="none"/>
                <w:lang w:val="en-US" w:eastAsia="zh-CN"/>
              </w:rPr>
              <w:t>94</w:t>
            </w:r>
          </w:p>
        </w:tc>
        <w:tc>
          <w:tcPr>
            <w:tcW w:w="135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r>
    </w:tbl>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4</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color w:val="000000"/>
          <w:kern w:val="0"/>
          <w:sz w:val="36"/>
          <w:szCs w:val="36"/>
          <w:highlight w:val="none"/>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w:t>
      </w:r>
      <w:r>
        <w:rPr>
          <w:rFonts w:hint="eastAsia" w:ascii="Times New Roman Regular" w:hAnsi="Times New Roman Regular" w:eastAsia="方正小标宋_GBK" w:cs="Times New Roman Regular"/>
          <w:color w:val="000000"/>
          <w:kern w:val="0"/>
          <w:sz w:val="36"/>
          <w:szCs w:val="36"/>
          <w:highlight w:val="none"/>
          <w:lang w:val="en-US" w:eastAsia="zh-CN"/>
        </w:rPr>
        <w:t>支出</w:t>
      </w:r>
      <w:r>
        <w:rPr>
          <w:rFonts w:hint="default" w:ascii="Times New Roman Regular" w:hAnsi="Times New Roman Regular" w:eastAsia="方正小标宋_GBK" w:cs="Times New Roman Regular"/>
          <w:color w:val="000000"/>
          <w:kern w:val="0"/>
          <w:sz w:val="36"/>
          <w:szCs w:val="36"/>
          <w:highlight w:val="none"/>
        </w:rPr>
        <w:t>绩效自评表</w:t>
      </w:r>
    </w:p>
    <w:tbl>
      <w:tblPr>
        <w:tblStyle w:val="14"/>
        <w:tblW w:w="9851" w:type="dxa"/>
        <w:jc w:val="center"/>
        <w:tblLayout w:type="fixed"/>
        <w:tblCellMar>
          <w:top w:w="0" w:type="dxa"/>
          <w:left w:w="108" w:type="dxa"/>
          <w:bottom w:w="0" w:type="dxa"/>
          <w:right w:w="108" w:type="dxa"/>
        </w:tblCellMar>
      </w:tblPr>
      <w:tblGrid>
        <w:gridCol w:w="1080"/>
        <w:gridCol w:w="1080"/>
        <w:gridCol w:w="1080"/>
        <w:gridCol w:w="1781"/>
        <w:gridCol w:w="931"/>
        <w:gridCol w:w="780"/>
        <w:gridCol w:w="828"/>
        <w:gridCol w:w="873"/>
        <w:gridCol w:w="1418"/>
      </w:tblGrid>
      <w:tr>
        <w:tblPrEx>
          <w:tblCellMar>
            <w:top w:w="0" w:type="dxa"/>
            <w:left w:w="108" w:type="dxa"/>
            <w:bottom w:w="0" w:type="dxa"/>
            <w:right w:w="108" w:type="dxa"/>
          </w:tblCellMar>
        </w:tblPrEx>
        <w:trPr>
          <w:trHeight w:val="643"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法律援助办案补助经费</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trHeight w:val="50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主管部门</w:t>
            </w:r>
          </w:p>
        </w:tc>
        <w:tc>
          <w:tcPr>
            <w:tcW w:w="487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北塔区财政局</w:t>
            </w:r>
          </w:p>
        </w:tc>
        <w:tc>
          <w:tcPr>
            <w:tcW w:w="7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北塔区司法局</w:t>
            </w:r>
          </w:p>
        </w:tc>
      </w:tr>
      <w:tr>
        <w:tblPrEx>
          <w:tblCellMar>
            <w:top w:w="0" w:type="dxa"/>
            <w:left w:w="108" w:type="dxa"/>
            <w:bottom w:w="0" w:type="dxa"/>
            <w:right w:w="108" w:type="dxa"/>
          </w:tblCellMar>
        </w:tblPrEx>
        <w:trPr>
          <w:trHeight w:val="65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项目资金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年度资金总额　</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11</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11</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10.36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其中：当年财政拨款　</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11</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上年结转资金　</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其他资金</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年度总体目标</w:t>
            </w:r>
          </w:p>
        </w:tc>
        <w:tc>
          <w:tcPr>
            <w:tcW w:w="487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预期目标</w:t>
            </w:r>
          </w:p>
        </w:tc>
        <w:tc>
          <w:tcPr>
            <w:tcW w:w="38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实际完成情况　</w:t>
            </w:r>
          </w:p>
        </w:tc>
      </w:tr>
      <w:tr>
        <w:tblPrEx>
          <w:tblCellMar>
            <w:top w:w="0" w:type="dxa"/>
            <w:left w:w="108" w:type="dxa"/>
            <w:bottom w:w="0" w:type="dxa"/>
            <w:right w:w="108" w:type="dxa"/>
          </w:tblCellMar>
        </w:tblPrEx>
        <w:trPr>
          <w:trHeight w:val="10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487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切实扩大法律援助覆盖面，降低法律援助门槛， 提高法律援助质量，让法律援助更加有效维护困难群众和弱势群体的合法权益。</w:t>
            </w:r>
          </w:p>
        </w:tc>
        <w:tc>
          <w:tcPr>
            <w:tcW w:w="38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我局全面完成年初既定的工作目标，切实扩大法律援助覆盖面，降低法律援助门槛，提高了法律援助质量，有效维护困难群众和弱势群体的合法权益。</w:t>
            </w:r>
          </w:p>
        </w:tc>
      </w:tr>
      <w:tr>
        <w:tblPrEx>
          <w:tblCellMar>
            <w:top w:w="0" w:type="dxa"/>
            <w:left w:w="108" w:type="dxa"/>
            <w:bottom w:w="0" w:type="dxa"/>
            <w:right w:w="108" w:type="dxa"/>
          </w:tblCellMar>
        </w:tblPrEx>
        <w:trPr>
          <w:trHeight w:val="566"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二级指标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三级指标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指标值</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偏差原因分析及改进措施</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数量指标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法律援助办理案件数量（≥，件）</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≥80</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人民调解组织调解疑难复杂矛盾纠纷数量（≥，起）</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质量指标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法律援助案卷审核合格率（≥，%）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97.00%</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社区服刑人员个案矫正率（≥，%）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95%</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时效指标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中央补助到位率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成本指标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年终预算执行率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10.36%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color w:val="000000"/>
                <w:kern w:val="0"/>
                <w:sz w:val="18"/>
                <w:szCs w:val="18"/>
                <w:highlight w:val="none"/>
                <w:shd w:val="clear" w:color="auto" w:fill="auto"/>
                <w:lang w:val="en-US" w:eastAsia="zh-CN"/>
              </w:rPr>
              <w:t>-</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trHeight w:val="7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7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指标1：法律援助案件有效投诉发生率（≤，%）</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指标2：人民群众遵纪守法观念</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显著提升</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显著提升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全市司法行政工作业务经费及装备经费逐年保障水平</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逐年加强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逐年加强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服务对象满意度指标</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 xml:space="preserve">人民群众对机关履职评价及工作评价满意度: </w:t>
            </w:r>
          </w:p>
        </w:tc>
        <w:tc>
          <w:tcPr>
            <w:tcW w:w="9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基本满意</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满意</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bl>
    <w:p>
      <w:pPr>
        <w:pStyle w:val="10"/>
        <w:rPr>
          <w:rFonts w:hint="default"/>
          <w:lang w:val="en-US" w:eastAsia="zh-CN"/>
        </w:rPr>
      </w:pPr>
    </w:p>
    <w:sectPr>
      <w:headerReference r:id="rId8"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邵阳市北塔区司法局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邵阳市北塔区司法局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邵阳市北塔区司法局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邵阳市北塔区司法局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1D7D62"/>
    <w:rsid w:val="003449EF"/>
    <w:rsid w:val="003D21B2"/>
    <w:rsid w:val="00A83AD0"/>
    <w:rsid w:val="00D42B17"/>
    <w:rsid w:val="00D64AE1"/>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CD6515"/>
    <w:rsid w:val="04D46306"/>
    <w:rsid w:val="04EF3743"/>
    <w:rsid w:val="04F33A06"/>
    <w:rsid w:val="052B3E41"/>
    <w:rsid w:val="05310411"/>
    <w:rsid w:val="0543026B"/>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3832F8"/>
    <w:rsid w:val="087A7807"/>
    <w:rsid w:val="08E41D65"/>
    <w:rsid w:val="09AF2373"/>
    <w:rsid w:val="0A41622F"/>
    <w:rsid w:val="0A4C309B"/>
    <w:rsid w:val="0A7964DD"/>
    <w:rsid w:val="0AB32F67"/>
    <w:rsid w:val="0AC2018B"/>
    <w:rsid w:val="0AD86622"/>
    <w:rsid w:val="0AFA5870"/>
    <w:rsid w:val="0B440899"/>
    <w:rsid w:val="0B554854"/>
    <w:rsid w:val="0B7D3DAB"/>
    <w:rsid w:val="0B8F4572"/>
    <w:rsid w:val="0BC419DA"/>
    <w:rsid w:val="0C8373CF"/>
    <w:rsid w:val="0CB51A76"/>
    <w:rsid w:val="0D614217"/>
    <w:rsid w:val="0DA91778"/>
    <w:rsid w:val="0DB53CD0"/>
    <w:rsid w:val="0DE10621"/>
    <w:rsid w:val="0DF57489"/>
    <w:rsid w:val="0E625C06"/>
    <w:rsid w:val="0E871098"/>
    <w:rsid w:val="0EAE1417"/>
    <w:rsid w:val="0F3E4E43"/>
    <w:rsid w:val="0F503CB0"/>
    <w:rsid w:val="0FAF0E26"/>
    <w:rsid w:val="0FD038C7"/>
    <w:rsid w:val="0FDD4B1F"/>
    <w:rsid w:val="0FE8038D"/>
    <w:rsid w:val="10262C63"/>
    <w:rsid w:val="103435D2"/>
    <w:rsid w:val="105709C9"/>
    <w:rsid w:val="105A46BB"/>
    <w:rsid w:val="10B77D5F"/>
    <w:rsid w:val="10BA0895"/>
    <w:rsid w:val="10C84C25"/>
    <w:rsid w:val="10D64689"/>
    <w:rsid w:val="11075191"/>
    <w:rsid w:val="11145517"/>
    <w:rsid w:val="111D5D5A"/>
    <w:rsid w:val="111E1B8C"/>
    <w:rsid w:val="1162031D"/>
    <w:rsid w:val="11A036CE"/>
    <w:rsid w:val="123A47A4"/>
    <w:rsid w:val="125F76F2"/>
    <w:rsid w:val="12962DFA"/>
    <w:rsid w:val="12ED1816"/>
    <w:rsid w:val="12FB1166"/>
    <w:rsid w:val="12FE566B"/>
    <w:rsid w:val="134F2A5F"/>
    <w:rsid w:val="13616C00"/>
    <w:rsid w:val="13A30C34"/>
    <w:rsid w:val="13AD711E"/>
    <w:rsid w:val="13E21B19"/>
    <w:rsid w:val="144831DD"/>
    <w:rsid w:val="14494352"/>
    <w:rsid w:val="14520243"/>
    <w:rsid w:val="14A867BA"/>
    <w:rsid w:val="14C83B63"/>
    <w:rsid w:val="14E56EB1"/>
    <w:rsid w:val="151A3A77"/>
    <w:rsid w:val="156644E7"/>
    <w:rsid w:val="157601E9"/>
    <w:rsid w:val="158D5230"/>
    <w:rsid w:val="159927CF"/>
    <w:rsid w:val="15D95C1C"/>
    <w:rsid w:val="15DF178B"/>
    <w:rsid w:val="15F66C34"/>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F2A99"/>
    <w:rsid w:val="17F17FFA"/>
    <w:rsid w:val="181F0F4A"/>
    <w:rsid w:val="18334F9A"/>
    <w:rsid w:val="18340258"/>
    <w:rsid w:val="183C062F"/>
    <w:rsid w:val="185C1EE0"/>
    <w:rsid w:val="185E6EB6"/>
    <w:rsid w:val="18AE6DE7"/>
    <w:rsid w:val="18CC15ED"/>
    <w:rsid w:val="18D23988"/>
    <w:rsid w:val="18E84F59"/>
    <w:rsid w:val="190C4F45"/>
    <w:rsid w:val="1969191D"/>
    <w:rsid w:val="196B4518"/>
    <w:rsid w:val="198A392A"/>
    <w:rsid w:val="19A20B4F"/>
    <w:rsid w:val="19B72B7E"/>
    <w:rsid w:val="19C5236C"/>
    <w:rsid w:val="19D3533F"/>
    <w:rsid w:val="1A00180A"/>
    <w:rsid w:val="1AB1581F"/>
    <w:rsid w:val="1AC0098C"/>
    <w:rsid w:val="1AFD2812"/>
    <w:rsid w:val="1B0758FD"/>
    <w:rsid w:val="1B204EAB"/>
    <w:rsid w:val="1B423001"/>
    <w:rsid w:val="1B813443"/>
    <w:rsid w:val="1C60574F"/>
    <w:rsid w:val="1C754516"/>
    <w:rsid w:val="1C921DD6"/>
    <w:rsid w:val="1C96585A"/>
    <w:rsid w:val="1CAA0778"/>
    <w:rsid w:val="1CC64099"/>
    <w:rsid w:val="1CE9788F"/>
    <w:rsid w:val="1D496DC2"/>
    <w:rsid w:val="1E073968"/>
    <w:rsid w:val="1E2E729A"/>
    <w:rsid w:val="1E591960"/>
    <w:rsid w:val="1E5D6DE0"/>
    <w:rsid w:val="1E5E4D57"/>
    <w:rsid w:val="1E69544E"/>
    <w:rsid w:val="1EC30786"/>
    <w:rsid w:val="1ED16490"/>
    <w:rsid w:val="1EF77EF6"/>
    <w:rsid w:val="1EFF4D1E"/>
    <w:rsid w:val="1F4D78E4"/>
    <w:rsid w:val="1F503DF8"/>
    <w:rsid w:val="1F5E41C7"/>
    <w:rsid w:val="1FA228EE"/>
    <w:rsid w:val="2034767B"/>
    <w:rsid w:val="20710D0B"/>
    <w:rsid w:val="20F72930"/>
    <w:rsid w:val="21352A19"/>
    <w:rsid w:val="21985D98"/>
    <w:rsid w:val="21A26717"/>
    <w:rsid w:val="21C32917"/>
    <w:rsid w:val="21FF14CD"/>
    <w:rsid w:val="223E5BEA"/>
    <w:rsid w:val="22433200"/>
    <w:rsid w:val="2267625F"/>
    <w:rsid w:val="22A85759"/>
    <w:rsid w:val="22E845A7"/>
    <w:rsid w:val="22F10B70"/>
    <w:rsid w:val="23027D5E"/>
    <w:rsid w:val="2303007B"/>
    <w:rsid w:val="239758BD"/>
    <w:rsid w:val="23AF6E65"/>
    <w:rsid w:val="23E50309"/>
    <w:rsid w:val="23F944BF"/>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856638"/>
    <w:rsid w:val="2BB60EE7"/>
    <w:rsid w:val="2BC538CE"/>
    <w:rsid w:val="2BC64379"/>
    <w:rsid w:val="2BD903BF"/>
    <w:rsid w:val="2BF0285A"/>
    <w:rsid w:val="2C025EDA"/>
    <w:rsid w:val="2C153E60"/>
    <w:rsid w:val="2C2B7E03"/>
    <w:rsid w:val="2C817A09"/>
    <w:rsid w:val="2C877DC8"/>
    <w:rsid w:val="2CD8457F"/>
    <w:rsid w:val="2D293ED8"/>
    <w:rsid w:val="2D4B16D2"/>
    <w:rsid w:val="2E9F3EB4"/>
    <w:rsid w:val="2EB3170E"/>
    <w:rsid w:val="2F0D5D93"/>
    <w:rsid w:val="2F406891"/>
    <w:rsid w:val="2FD91648"/>
    <w:rsid w:val="2FE21531"/>
    <w:rsid w:val="2FE91CEC"/>
    <w:rsid w:val="30634296"/>
    <w:rsid w:val="306E0B42"/>
    <w:rsid w:val="307B199E"/>
    <w:rsid w:val="30A36FF1"/>
    <w:rsid w:val="30BC4A8F"/>
    <w:rsid w:val="30C23098"/>
    <w:rsid w:val="30EB45DA"/>
    <w:rsid w:val="30FF1132"/>
    <w:rsid w:val="30FF63EF"/>
    <w:rsid w:val="310D4304"/>
    <w:rsid w:val="312525F7"/>
    <w:rsid w:val="314D2F38"/>
    <w:rsid w:val="31772EC7"/>
    <w:rsid w:val="317E24A7"/>
    <w:rsid w:val="318A2BFA"/>
    <w:rsid w:val="31AF08B2"/>
    <w:rsid w:val="31CC4FC0"/>
    <w:rsid w:val="31F7433A"/>
    <w:rsid w:val="3253409F"/>
    <w:rsid w:val="325E6415"/>
    <w:rsid w:val="32803FFD"/>
    <w:rsid w:val="328A4FE6"/>
    <w:rsid w:val="32953ED5"/>
    <w:rsid w:val="32C75788"/>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6A752C"/>
    <w:rsid w:val="37DA3C08"/>
    <w:rsid w:val="38031EDD"/>
    <w:rsid w:val="38033923"/>
    <w:rsid w:val="38051BB9"/>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9FD065C"/>
    <w:rsid w:val="3A3F654C"/>
    <w:rsid w:val="3A5A25A6"/>
    <w:rsid w:val="3A726921"/>
    <w:rsid w:val="3AD575DA"/>
    <w:rsid w:val="3AEE41FA"/>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C107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4EE5905"/>
    <w:rsid w:val="45877724"/>
    <w:rsid w:val="45AC4E6E"/>
    <w:rsid w:val="45B20519"/>
    <w:rsid w:val="45F90867"/>
    <w:rsid w:val="460C7193"/>
    <w:rsid w:val="4642189D"/>
    <w:rsid w:val="46805F22"/>
    <w:rsid w:val="4683047E"/>
    <w:rsid w:val="47541888"/>
    <w:rsid w:val="479A2668"/>
    <w:rsid w:val="47AA2B40"/>
    <w:rsid w:val="47AC326C"/>
    <w:rsid w:val="47C415B1"/>
    <w:rsid w:val="48230C9A"/>
    <w:rsid w:val="48DF33D4"/>
    <w:rsid w:val="492F31C0"/>
    <w:rsid w:val="49301E81"/>
    <w:rsid w:val="494557C4"/>
    <w:rsid w:val="49966F85"/>
    <w:rsid w:val="49C8593B"/>
    <w:rsid w:val="4A110D60"/>
    <w:rsid w:val="4A7D10F6"/>
    <w:rsid w:val="4AAC42E7"/>
    <w:rsid w:val="4AD221CC"/>
    <w:rsid w:val="4AD64F49"/>
    <w:rsid w:val="4B9934BC"/>
    <w:rsid w:val="4BA234C7"/>
    <w:rsid w:val="4BB33A7C"/>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273781C"/>
    <w:rsid w:val="528D62B1"/>
    <w:rsid w:val="528F14EA"/>
    <w:rsid w:val="52F925D0"/>
    <w:rsid w:val="532E399E"/>
    <w:rsid w:val="53364538"/>
    <w:rsid w:val="53782DBB"/>
    <w:rsid w:val="53AE40CE"/>
    <w:rsid w:val="540006A2"/>
    <w:rsid w:val="54024923"/>
    <w:rsid w:val="5474356A"/>
    <w:rsid w:val="54C54DE0"/>
    <w:rsid w:val="54F503EE"/>
    <w:rsid w:val="550B7056"/>
    <w:rsid w:val="55364B38"/>
    <w:rsid w:val="5538196F"/>
    <w:rsid w:val="555D52FB"/>
    <w:rsid w:val="559534D4"/>
    <w:rsid w:val="55A84374"/>
    <w:rsid w:val="55AB1785"/>
    <w:rsid w:val="55E04545"/>
    <w:rsid w:val="55EA5046"/>
    <w:rsid w:val="561D19DF"/>
    <w:rsid w:val="56200FBF"/>
    <w:rsid w:val="562821FE"/>
    <w:rsid w:val="56482FAB"/>
    <w:rsid w:val="568832FC"/>
    <w:rsid w:val="56A44031"/>
    <w:rsid w:val="56A85AB0"/>
    <w:rsid w:val="56B714EC"/>
    <w:rsid w:val="56DC53F6"/>
    <w:rsid w:val="56FC2A7A"/>
    <w:rsid w:val="57047689"/>
    <w:rsid w:val="572333E8"/>
    <w:rsid w:val="57533BD6"/>
    <w:rsid w:val="57713D91"/>
    <w:rsid w:val="579E28D1"/>
    <w:rsid w:val="57AC6B77"/>
    <w:rsid w:val="57F77651"/>
    <w:rsid w:val="583E7E63"/>
    <w:rsid w:val="584056FE"/>
    <w:rsid w:val="584766AC"/>
    <w:rsid w:val="58887411"/>
    <w:rsid w:val="58F632BA"/>
    <w:rsid w:val="594B0611"/>
    <w:rsid w:val="59653481"/>
    <w:rsid w:val="59A321FB"/>
    <w:rsid w:val="59C44A38"/>
    <w:rsid w:val="59D16D68"/>
    <w:rsid w:val="59FA694D"/>
    <w:rsid w:val="5A2F3A8F"/>
    <w:rsid w:val="5A8C6946"/>
    <w:rsid w:val="5AEB5C08"/>
    <w:rsid w:val="5AFB5A70"/>
    <w:rsid w:val="5B043B8C"/>
    <w:rsid w:val="5B700A53"/>
    <w:rsid w:val="5B914A01"/>
    <w:rsid w:val="5B9F1014"/>
    <w:rsid w:val="5BF27270"/>
    <w:rsid w:val="5C0E0752"/>
    <w:rsid w:val="5C0F4C20"/>
    <w:rsid w:val="5C3630EA"/>
    <w:rsid w:val="5C383A38"/>
    <w:rsid w:val="5CC02802"/>
    <w:rsid w:val="5D0E613A"/>
    <w:rsid w:val="5D1A32D7"/>
    <w:rsid w:val="5D445AA3"/>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2A34BA"/>
    <w:rsid w:val="623615CA"/>
    <w:rsid w:val="6239194F"/>
    <w:rsid w:val="623B528F"/>
    <w:rsid w:val="624E2A9B"/>
    <w:rsid w:val="62824F6D"/>
    <w:rsid w:val="62AF7F3F"/>
    <w:rsid w:val="62B337E3"/>
    <w:rsid w:val="62CF7BBD"/>
    <w:rsid w:val="630272DB"/>
    <w:rsid w:val="634702E2"/>
    <w:rsid w:val="63617B43"/>
    <w:rsid w:val="63857C95"/>
    <w:rsid w:val="641E63C8"/>
    <w:rsid w:val="649102B0"/>
    <w:rsid w:val="64AD2180"/>
    <w:rsid w:val="64AF5EF8"/>
    <w:rsid w:val="64BA66CA"/>
    <w:rsid w:val="64C34049"/>
    <w:rsid w:val="65513A47"/>
    <w:rsid w:val="6584772A"/>
    <w:rsid w:val="658E038D"/>
    <w:rsid w:val="659C3ABC"/>
    <w:rsid w:val="659F2386"/>
    <w:rsid w:val="661F2C0A"/>
    <w:rsid w:val="661F4759"/>
    <w:rsid w:val="66402BC6"/>
    <w:rsid w:val="66835660"/>
    <w:rsid w:val="66AF21DF"/>
    <w:rsid w:val="66D86EEC"/>
    <w:rsid w:val="66DB4D83"/>
    <w:rsid w:val="67034F8B"/>
    <w:rsid w:val="67691A21"/>
    <w:rsid w:val="6795184E"/>
    <w:rsid w:val="679F2254"/>
    <w:rsid w:val="67CA42A6"/>
    <w:rsid w:val="67D320AA"/>
    <w:rsid w:val="68150176"/>
    <w:rsid w:val="683913C9"/>
    <w:rsid w:val="683A27FC"/>
    <w:rsid w:val="68B27D65"/>
    <w:rsid w:val="69C2588F"/>
    <w:rsid w:val="69DF38CB"/>
    <w:rsid w:val="69FC6B39"/>
    <w:rsid w:val="6A190855"/>
    <w:rsid w:val="6A1D029D"/>
    <w:rsid w:val="6A2309CD"/>
    <w:rsid w:val="6A582B8E"/>
    <w:rsid w:val="6A615EE7"/>
    <w:rsid w:val="6A701C86"/>
    <w:rsid w:val="6AA933EA"/>
    <w:rsid w:val="6AFF6C91"/>
    <w:rsid w:val="6B5748D8"/>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B7F17"/>
    <w:rsid w:val="76317141"/>
    <w:rsid w:val="765B1A3C"/>
    <w:rsid w:val="76DB2A57"/>
    <w:rsid w:val="771147F0"/>
    <w:rsid w:val="778D36DC"/>
    <w:rsid w:val="783B1B25"/>
    <w:rsid w:val="784328C1"/>
    <w:rsid w:val="78DA1D7B"/>
    <w:rsid w:val="78F13662"/>
    <w:rsid w:val="793E7C5B"/>
    <w:rsid w:val="7955517B"/>
    <w:rsid w:val="79560DFC"/>
    <w:rsid w:val="79570BE0"/>
    <w:rsid w:val="79674B9C"/>
    <w:rsid w:val="798B6ADC"/>
    <w:rsid w:val="79A25BD4"/>
    <w:rsid w:val="79AC1FDF"/>
    <w:rsid w:val="79BA4CCB"/>
    <w:rsid w:val="79BC1425"/>
    <w:rsid w:val="79DB4157"/>
    <w:rsid w:val="7A1C75A3"/>
    <w:rsid w:val="7A394769"/>
    <w:rsid w:val="7A6A4943"/>
    <w:rsid w:val="7AE71AF0"/>
    <w:rsid w:val="7B3D7962"/>
    <w:rsid w:val="7B413F7E"/>
    <w:rsid w:val="7B885D10"/>
    <w:rsid w:val="7BE74CFC"/>
    <w:rsid w:val="7BEE6B88"/>
    <w:rsid w:val="7BF7570B"/>
    <w:rsid w:val="7C2E345F"/>
    <w:rsid w:val="7C53250F"/>
    <w:rsid w:val="7C5424A5"/>
    <w:rsid w:val="7C5A2796"/>
    <w:rsid w:val="7C605268"/>
    <w:rsid w:val="7C6A0C2B"/>
    <w:rsid w:val="7C743DC8"/>
    <w:rsid w:val="7C883BDD"/>
    <w:rsid w:val="7CF46746"/>
    <w:rsid w:val="7DB86548"/>
    <w:rsid w:val="7E5D00E7"/>
    <w:rsid w:val="7E9F7825"/>
    <w:rsid w:val="7F376DBE"/>
    <w:rsid w:val="7F7162F6"/>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w:basedOn w:val="1"/>
    <w:autoRedefine/>
    <w:unhideWhenUsed/>
    <w:qFormat/>
    <w:uiPriority w:val="99"/>
    <w:pPr>
      <w:spacing w:after="120"/>
    </w:pPr>
  </w:style>
  <w:style w:type="paragraph" w:styleId="4">
    <w:name w:val="Body Text Indent"/>
    <w:basedOn w:val="1"/>
    <w:autoRedefine/>
    <w:unhideWhenUsed/>
    <w:qFormat/>
    <w:uiPriority w:val="99"/>
    <w:pPr>
      <w:spacing w:after="120"/>
      <w:ind w:left="420" w:leftChars="200"/>
    </w:pPr>
  </w:style>
  <w:style w:type="paragraph" w:styleId="5">
    <w:name w:val="Body Text Indent 2"/>
    <w:basedOn w:val="1"/>
    <w:next w:val="6"/>
    <w:autoRedefine/>
    <w:unhideWhenUsed/>
    <w:qFormat/>
    <w:uiPriority w:val="99"/>
    <w:pPr>
      <w:spacing w:after="120" w:line="480" w:lineRule="auto"/>
      <w:ind w:left="420" w:leftChars="200"/>
    </w:pPr>
  </w:style>
  <w:style w:type="paragraph" w:customStyle="1" w:styleId="6">
    <w:name w:val="p0"/>
    <w:next w:val="7"/>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7">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0"/>
  </w:style>
  <w:style w:type="paragraph" w:styleId="10">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4"/>
    <w:autoRedefine/>
    <w:unhideWhenUsed/>
    <w:qFormat/>
    <w:uiPriority w:val="99"/>
    <w:pPr>
      <w:spacing w:after="0" w:line="660" w:lineRule="exact"/>
      <w:ind w:left="0" w:leftChars="0" w:firstLine="420" w:firstLineChars="200"/>
    </w:pPr>
    <w:rPr>
      <w:rFonts w:ascii="仿宋_GB2312" w:eastAsia="仿宋_GB2312"/>
      <w:snapToGrid w:val="0"/>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styleId="20">
    <w:name w:val="List Paragraph"/>
    <w:basedOn w:val="1"/>
    <w:autoRedefine/>
    <w:qFormat/>
    <w:uiPriority w:val="34"/>
    <w:pPr>
      <w:ind w:firstLine="420" w:firstLineChars="200"/>
    </w:pPr>
  </w:style>
  <w:style w:type="paragraph" w:customStyle="1" w:styleId="21">
    <w:name w:val="正文1"/>
    <w:basedOn w:val="1"/>
    <w:autoRedefine/>
    <w:qFormat/>
    <w:uiPriority w:val="0"/>
    <w:pPr>
      <w:spacing w:line="360" w:lineRule="auto"/>
      <w:ind w:firstLine="480" w:firstLineChars="200"/>
    </w:pPr>
    <w:rPr>
      <w:sz w:val="24"/>
    </w:rPr>
  </w:style>
  <w:style w:type="character" w:customStyle="1" w:styleId="22">
    <w:name w:val="font41"/>
    <w:basedOn w:val="16"/>
    <w:qFormat/>
    <w:uiPriority w:val="0"/>
    <w:rPr>
      <w:rFonts w:ascii="仿宋" w:hAnsi="仿宋" w:eastAsia="仿宋" w:cs="仿宋"/>
      <w:b/>
      <w:bCs/>
      <w:color w:val="000000"/>
      <w:sz w:val="20"/>
      <w:szCs w:val="20"/>
      <w:u w:val="none"/>
    </w:rPr>
  </w:style>
  <w:style w:type="character" w:customStyle="1" w:styleId="23">
    <w:name w:val="font61"/>
    <w:basedOn w:val="16"/>
    <w:autoRedefine/>
    <w:qFormat/>
    <w:uiPriority w:val="0"/>
    <w:rPr>
      <w:rFonts w:hint="eastAsia" w:ascii="仿宋" w:hAnsi="仿宋" w:eastAsia="仿宋" w:cs="仿宋"/>
      <w:color w:val="000000"/>
      <w:sz w:val="20"/>
      <w:szCs w:val="20"/>
      <w:u w:val="none"/>
    </w:rPr>
  </w:style>
  <w:style w:type="character" w:customStyle="1" w:styleId="24">
    <w:name w:val="font71"/>
    <w:basedOn w:val="16"/>
    <w:autoRedefine/>
    <w:qFormat/>
    <w:uiPriority w:val="0"/>
    <w:rPr>
      <w:rFonts w:hint="eastAsia" w:ascii="仿宋" w:hAnsi="仿宋" w:eastAsia="仿宋" w:cs="仿宋"/>
      <w:color w:val="000000"/>
      <w:sz w:val="20"/>
      <w:szCs w:val="20"/>
      <w:u w:val="none"/>
    </w:rPr>
  </w:style>
  <w:style w:type="character" w:customStyle="1" w:styleId="25">
    <w:name w:val="font11"/>
    <w:basedOn w:val="16"/>
    <w:autoRedefine/>
    <w:qFormat/>
    <w:uiPriority w:val="0"/>
    <w:rPr>
      <w:rFonts w:hint="eastAsia" w:ascii="仿宋" w:hAnsi="仿宋" w:eastAsia="仿宋" w:cs="仿宋"/>
      <w:b/>
      <w:bCs/>
      <w:color w:val="000000"/>
      <w:sz w:val="21"/>
      <w:szCs w:val="21"/>
      <w:u w:val="none"/>
    </w:rPr>
  </w:style>
  <w:style w:type="character" w:customStyle="1" w:styleId="26">
    <w:name w:val="font21"/>
    <w:basedOn w:val="16"/>
    <w:autoRedefine/>
    <w:qFormat/>
    <w:uiPriority w:val="0"/>
    <w:rPr>
      <w:rFonts w:hint="eastAsia" w:ascii="仿宋" w:hAnsi="仿宋" w:eastAsia="仿宋" w:cs="仿宋"/>
      <w:color w:val="000000"/>
      <w:sz w:val="21"/>
      <w:szCs w:val="21"/>
      <w:u w:val="none"/>
    </w:rPr>
  </w:style>
  <w:style w:type="character" w:customStyle="1" w:styleId="27">
    <w:name w:val="font31"/>
    <w:basedOn w:val="1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9532</Words>
  <Characters>10477</Characters>
  <Lines>0</Lines>
  <Paragraphs>0</Paragraphs>
  <TotalTime>2</TotalTime>
  <ScaleCrop>false</ScaleCrop>
  <LinksUpToDate>false</LinksUpToDate>
  <CharactersWithSpaces>10823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DD83DEF80CE298B129852F6511B47680_43</vt:lpwstr>
  </property>
</Properties>
</file>