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纳入2022年部门决算编报的单位1个，包含邵阳市北塔区劳动保障监察大队本级，内设机构有：综合办公室、来信来访受理立案股、劳动监察股、两网化办公室。北塔区劳动监察大队事业编制4人，实有人数6人，其中在职人员3人，退休人员1人，其他人员2人。</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 xml:space="preserve"> </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（二）主要工作职责</w:t>
      </w:r>
    </w:p>
    <w:p>
      <w:pPr>
        <w:pStyle w:val="10"/>
        <w:spacing w:before="0" w:beforeAutospacing="0" w:after="2" w:afterAutospacing="0"/>
        <w:ind w:left="0" w:firstLine="641"/>
        <w:rPr>
          <w:sz w:val="27"/>
          <w:szCs w:val="27"/>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宣传并督促用人单位贯彻执行劳动保障法律、法规和规章；监察用人单位、就业服务机构遵守劳动保障法律、法规或规章的情况；受理对违反劳动保障法律、法规或者规章的行为的举报、投诉；依法纠正和查处用人单位违反劳动保障法律、法规或者规章的行为。</w:t>
      </w:r>
      <w:r>
        <w:rPr>
          <w:color w:val="000000"/>
          <w:sz w:val="32"/>
          <w:szCs w:val="32"/>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321" w:firstLineChars="10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2022年邵阳市北塔区劳动监察大队预算批复数59.92万元，其中一般公共预算拨款59.92万元；决算批复数62.61万元，其中一般公共预算财政拨款收入62.61万元，政府性基金预算财政拨款收入0万元，其他收入0万元</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基本支出年初预算安排为59.92万元（包含保运转的项目支出6万元），本年实际支出为62.61万元，主要为人员经费支出和公用经费支出，其中人员经费支出48.95万元、公用经费支出13.66万元。2022年决算基本支出35.06万元，其中：工资及福利支出48.95万元，商品和服务支出13.66万元，对个人和家庭的补助0万元，资本性支出0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2022年决算项目支出0万元，其中：文化旅游体育与传媒支出0万元；城乡社区支出0万元；农林水支出0万元；其他支出0万元。本年项目支出年初预算安排为0万元，本年实际支出为0万元，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（四）“三公”经费使用和管理情况</w:t>
      </w:r>
    </w:p>
    <w:p>
      <w:pPr>
        <w:widowControl/>
        <w:spacing w:line="600" w:lineRule="exact"/>
        <w:ind w:firstLine="560" w:firstLineChars="200"/>
        <w:jc w:val="left"/>
        <w:rPr>
          <w:rFonts w:hint="eastAsia" w:ascii="仿宋_GB2312" w:hAnsi="Times New Roman" w:eastAsia="仿宋_GB2312" w:cs="Times New Roman"/>
          <w:sz w:val="32"/>
          <w:szCs w:val="32"/>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2022年，我单位“三公经费”预算金额0万元，其中公务接待费0万元，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0万元。“三公”经费支出0万元，其中公务接待费0万元，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支出0万元</w:t>
      </w:r>
      <w:r>
        <w:rPr>
          <w:rFonts w:hint="eastAsia" w:ascii="仿宋_GB2312" w:hAnsi="Times New Roman" w:eastAsia="仿宋_GB2312" w:cs="Times New Roman"/>
          <w:sz w:val="32"/>
          <w:szCs w:val="32"/>
          <w:lang w:val="en-US"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1、预算执行情况。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⑴2022年财政拨款预算执行数62.61万元，预算安排数59.92万元，预算执行率为104.48%，当年预算调整2.69万元；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⑵公用经费预算11.27万元，实际支出13.66万元，公用经费控制率为121.2%；</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“三公经费”年初预算安排0万元，实际支出0万元，“三公经费”控制率为100%。</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rightChars="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（4）政府采购年初预算6万元，实际政府采购金额8.62万元，政府采购执行率143.66%。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2、预决算信息公开情况。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840" w:firstLineChars="3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我单位及时在区政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资产管理情况。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拥有各类资产总额0.54万元，其中流动资产0万元，固定资产0.54万元。单位为加强资产管理，内部制定了资产管理制度，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经单位负责人审核同意后，再由办公室及时采购并建立固定资产实物登记台账，工作人员异动，必须及时办理固定资产移交手续，不得侵占和擅自带走，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宣传有深度。一是召开联席会议。召开北塔区就业和农民工工作暨根治拖欠农民工工资工作领导小组联席会议，部署全区保障农民工工资支付考核工作及北塔区“用心用情•湘薪湘护”根治欠薪制度落实专项行动工作，明确成员单位职责，形成齐抓共管的工作机制。二是开展现场宣传。抓住春节、专项行动等关键时间节点，进镇（街道）、社区、企业等开展十余场《保障农民工工资支付条例》宣传活动，现场发放《条例》、《职工维权手册》、《劳动合同法》等宣传手册。活动过程中，工作人员耐心地向群众宣传政策法规，有效提高农民工的维权意识。</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巡查有广度。一是监察执法从“事后查处”向“事先预防”转变，</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确定了先服务、后规范的工作思路，提高用人单位依法用工的责任意识。劳动保障监察充分利用日常巡查、专项行动、“双随机、一公开”等，加大对重点行业、重点企业的监管力度。下达《劳动保障监察调查询问通知书》30份、《劳动保障监察限期改正指令书》25份，受理</w:t>
      </w:r>
      <w:bookmarkStart w:id="0" w:name="_GoBack"/>
      <w:bookmarkEnd w:id="0"/>
      <w:r>
        <w:rPr>
          <w:rFonts w:hint="eastAsia" w:ascii="宋体" w:hAnsi="宋体" w:eastAsia="宋体" w:cs="宋体"/>
          <w:i w:val="0"/>
          <w:iCs w:val="0"/>
          <w:caps w:val="0"/>
          <w:color w:val="444444"/>
          <w:spacing w:val="0"/>
          <w:kern w:val="2"/>
          <w:sz w:val="28"/>
          <w:szCs w:val="28"/>
          <w:highlight w:val="none"/>
          <w:shd w:val="clear" w:fill="FFFFFF"/>
          <w:lang w:val="en-US" w:eastAsia="zh-CN" w:bidi="ar-SA"/>
        </w:rPr>
        <w:t>完成群众投诉举报劳动保障违法案件37起，共为120名劳动者追讨工资72万余元，立案移交公安1起。办理“全国根治欠薪线索反映平台”欠薪线索件件有落实，件件有回复，实时办结率100%。二是对区内18家企业4053名从业人员进行“企业薪酬调查”抽样调查；“双随机、一公开”执法行动抽查检查5次，抽取检查对象21家，按规定将相关情况在网站上向社会公布；4月开展辖区内在建工程项目进行风险排查，对9家在建工程项目进行保障农民工工资支付核查。三是完成市保障农民工工资支付检查领导小组对辖区内3家政</w:t>
      </w:r>
      <w:r>
        <w:rPr>
          <w:rFonts w:hint="eastAsia" w:ascii="宋体" w:hAnsi="宋体" w:eastAsia="宋体" w:cs="宋体"/>
          <w:i w:val="0"/>
          <w:iCs w:val="0"/>
          <w:caps w:val="0"/>
          <w:color w:val="000000" w:themeColor="text1"/>
          <w:spacing w:val="0"/>
          <w:kern w:val="2"/>
          <w:sz w:val="28"/>
          <w:szCs w:val="28"/>
          <w:highlight w:val="none"/>
          <w:shd w:val="clear" w:fill="FFFFFF"/>
          <w:lang w:val="en-US" w:eastAsia="zh-CN" w:bidi="ar-SA"/>
          <w14:textFill>
            <w14:solidFill>
              <w14:schemeClr w14:val="tx1"/>
            </w14:solidFill>
          </w14:textFill>
        </w:rPr>
        <w:t>府投资、3家社会投资</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项目现场核查的迎检工作，并根据检查组反馈的问题，深入抓好整改，制定具体整改措施，逐项对标落实。四是人社、住建、农水等部门联合开展“用心用情 湘薪湘护”等根治欠薪专项行动4次,深入辖区内15家建筑工地开展劳动用工检查及宣传，主要检查建设项目开设农民工工资专用账户、缴纳工资保证金、总包代发工资、农民工实名制管理等情况，对于发现的各类问题，检查组立即向用人单位下达限期改正指令书，并由区根治欠薪领导小组办向行业主管部门进行交办，今年来领导小组办共下达督办函4份，做到部门联动、精准治欠，形成了问题“发现、反馈、整改、回头看”的全流程闭环监管模式。</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落实有力度。严格落实保障农民工工资支付的各项制度。强化实名制管理，完善劳动合同管理，督促企业落实与农民工先签劳动合同后进场施工的规定,在建项目的劳动合同签订。落实农民</w:t>
      </w:r>
      <w:r>
        <w:rPr>
          <w:rFonts w:hint="eastAsia" w:ascii="宋体" w:hAnsi="宋体" w:eastAsia="宋体" w:cs="宋体"/>
          <w:i w:val="0"/>
          <w:iCs w:val="0"/>
          <w:caps w:val="0"/>
          <w:color w:val="444444"/>
          <w:spacing w:val="0"/>
          <w:kern w:val="2"/>
          <w:sz w:val="28"/>
          <w:szCs w:val="28"/>
          <w:shd w:val="clear" w:fill="FFFFFF"/>
          <w:lang w:val="en-US" w:eastAsia="zh-CN" w:bidi="ar-SA"/>
        </w:rPr>
        <w:t>工工资专用账户管理制度。坚持农民工工资与工程款分账拨付，消除由于工程款不到位导致的欠薪问题。实行分包企业委托总包企业直接向农民工代发工资的办法，防范农民工工资款项被中途截留，杜绝因此产生的欠薪纠纷。住建、交通、水利等行业主管部门切实履行职责，加大对工程建设领域市场秩序的整顿力度,严厉打击工程建设领域各类违法行为，重点依法查处挂靠承包、违法分包、转包等违法行为，从源头上遏制欠薪问题。</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存在的问题及原因分析</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1、预算编制不够明确和细化，预算编制的合理性需要提高，预算执行力度还要进一步加强。资金使用效益有待进一步提高，绩效目标设立不够明确、细化和量化。</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2、财务制度方面不够规范，没有建立健全完善的机制体系，对绩效评价认识不足。</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3、人员素质有待提高。由于人员变动，单位对相关绩效管理业务不熟练，加上缺乏系统的培训，业务操作水平有限。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1、细化预算编制工作，认真做好预算的编制。进一步加强内设机构的预算管理意识，严格按照预算编制的相关制度和要求进行预算编制。</w:t>
      </w:r>
    </w:p>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3、加强政策学习，提高思想认识。组织相关人员认真学习《会计法》、《预算法》等相关法规、制度，提高业务人员的业务水平及思想认识，为绩效评价工作夯实基础。</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2</w:t>
            </w: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90</w:t>
            </w:r>
          </w:p>
        </w:tc>
      </w:tr>
    </w:tbl>
    <w:p>
      <w:pPr>
        <w:spacing w:line="600" w:lineRule="exact"/>
        <w:rPr>
          <w:rFonts w:ascii="宋体" w:hAnsi="宋体" w:cs="宋体"/>
          <w:kern w:val="0"/>
          <w:sz w:val="32"/>
          <w:szCs w:val="32"/>
        </w:rPr>
      </w:pPr>
    </w:p>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5B908"/>
    <w:multiLevelType w:val="singleLevel"/>
    <w:tmpl w:val="D8E5B908"/>
    <w:lvl w:ilvl="0" w:tentative="0">
      <w:start w:val="3"/>
      <w:numFmt w:val="decimal"/>
      <w:suff w:val="nothing"/>
      <w:lvlText w:val="%1、"/>
      <w:lvlJc w:val="left"/>
    </w:lvl>
  </w:abstractNum>
  <w:abstractNum w:abstractNumId="1">
    <w:nsid w:val="0CAA2408"/>
    <w:multiLevelType w:val="singleLevel"/>
    <w:tmpl w:val="0CAA2408"/>
    <w:lvl w:ilvl="0" w:tentative="0">
      <w:start w:val="2"/>
      <w:numFmt w:val="chineseCounting"/>
      <w:suff w:val="nothing"/>
      <w:lvlText w:val="（%1）"/>
      <w:lvlJc w:val="left"/>
      <w:rPr>
        <w:rFonts w:hint="eastAsia"/>
      </w:rPr>
    </w:lvl>
  </w:abstractNum>
  <w:abstractNum w:abstractNumId="2">
    <w:nsid w:val="52ACC286"/>
    <w:multiLevelType w:val="singleLevel"/>
    <w:tmpl w:val="52ACC286"/>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00000000"/>
    <w:rsid w:val="00554C33"/>
    <w:rsid w:val="00D51644"/>
    <w:rsid w:val="025D08EA"/>
    <w:rsid w:val="02A74CAA"/>
    <w:rsid w:val="05213482"/>
    <w:rsid w:val="08C30309"/>
    <w:rsid w:val="09E17252"/>
    <w:rsid w:val="0D5E3707"/>
    <w:rsid w:val="0F1F0340"/>
    <w:rsid w:val="11E84674"/>
    <w:rsid w:val="126C42B4"/>
    <w:rsid w:val="17042185"/>
    <w:rsid w:val="1F010C8F"/>
    <w:rsid w:val="20F63895"/>
    <w:rsid w:val="225F3847"/>
    <w:rsid w:val="23A71DFE"/>
    <w:rsid w:val="2575216F"/>
    <w:rsid w:val="26166273"/>
    <w:rsid w:val="2B032004"/>
    <w:rsid w:val="2C7529D1"/>
    <w:rsid w:val="2D6C05C8"/>
    <w:rsid w:val="33CC08DA"/>
    <w:rsid w:val="3619015E"/>
    <w:rsid w:val="36E22B02"/>
    <w:rsid w:val="37A26170"/>
    <w:rsid w:val="3B9303B2"/>
    <w:rsid w:val="3C8416D7"/>
    <w:rsid w:val="3EE66A72"/>
    <w:rsid w:val="3FAB09ED"/>
    <w:rsid w:val="41635215"/>
    <w:rsid w:val="41C17D29"/>
    <w:rsid w:val="4343688D"/>
    <w:rsid w:val="44161BF7"/>
    <w:rsid w:val="44AF5D78"/>
    <w:rsid w:val="45833892"/>
    <w:rsid w:val="45CB4E15"/>
    <w:rsid w:val="4ACA7AAB"/>
    <w:rsid w:val="4B991F60"/>
    <w:rsid w:val="4D113C42"/>
    <w:rsid w:val="4D646A34"/>
    <w:rsid w:val="4E58558A"/>
    <w:rsid w:val="4F3501F1"/>
    <w:rsid w:val="52C04276"/>
    <w:rsid w:val="53202F66"/>
    <w:rsid w:val="55C776C9"/>
    <w:rsid w:val="575435C3"/>
    <w:rsid w:val="58CA4CA4"/>
    <w:rsid w:val="59A70B1E"/>
    <w:rsid w:val="59E60318"/>
    <w:rsid w:val="5CBC5F90"/>
    <w:rsid w:val="5E6D1153"/>
    <w:rsid w:val="5F83500A"/>
    <w:rsid w:val="60745B56"/>
    <w:rsid w:val="641F097E"/>
    <w:rsid w:val="65236940"/>
    <w:rsid w:val="664A41B0"/>
    <w:rsid w:val="66D16D4F"/>
    <w:rsid w:val="66FE6113"/>
    <w:rsid w:val="6B874FA2"/>
    <w:rsid w:val="6FD52562"/>
    <w:rsid w:val="70514092"/>
    <w:rsid w:val="70852420"/>
    <w:rsid w:val="73125FD0"/>
    <w:rsid w:val="76DC35F5"/>
    <w:rsid w:val="7832658D"/>
    <w:rsid w:val="79074D5F"/>
    <w:rsid w:val="7AF745AA"/>
    <w:rsid w:val="7B7D06A6"/>
    <w:rsid w:val="7DAF7C17"/>
    <w:rsid w:val="7E09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autoRedefine/>
    <w:unhideWhenUsed/>
    <w:qFormat/>
    <w:uiPriority w:val="99"/>
    <w:pPr>
      <w:spacing w:after="0" w:line="660" w:lineRule="exact"/>
      <w:ind w:left="0" w:leftChars="0" w:firstLine="420" w:firstLineChars="200"/>
    </w:pPr>
    <w:rPr>
      <w:rFonts w:ascii="仿宋_GB2312" w:eastAsia="仿宋_GB2312"/>
      <w:snapToGrid w:val="0"/>
      <w:sz w:val="32"/>
    </w:rPr>
  </w:style>
  <w:style w:type="paragraph" w:customStyle="1" w:styleId="8">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9">
    <w:name w:val="List Paragraph"/>
    <w:basedOn w:val="1"/>
    <w:qFormat/>
    <w:uiPriority w:val="99"/>
    <w:pPr>
      <w:ind w:firstLine="420" w:firstLineChars="200"/>
    </w:pPr>
    <w:rPr>
      <w:rFonts w:ascii="Times New Roman" w:hAnsi="Times New Roman"/>
      <w:szCs w:val="24"/>
    </w:rPr>
  </w:style>
  <w:style w:type="paragraph" w:customStyle="1" w:styleId="10">
    <w:name w:val="18"/>
    <w:basedOn w:val="1"/>
    <w:autoRedefine/>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2976</Words>
  <Characters>3208</Characters>
  <Lines>0</Lines>
  <Paragraphs>0</Paragraphs>
  <TotalTime>1</TotalTime>
  <ScaleCrop>false</ScaleCrop>
  <LinksUpToDate>false</LinksUpToDate>
  <CharactersWithSpaces>3213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企业用户_314885341</cp:lastModifiedBy>
  <dcterms:modified xsi:type="dcterms:W3CDTF">2024-05-22T00:42:43Z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0DE5FAEE9D0C4B4CA48BDC526B7C8689_13</vt:lpwstr>
  </property>
</Properties>
</file>