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firstLine="361" w:firstLineChars="100"/>
        <w:jc w:val="left"/>
        <w:rPr>
          <w:rFonts w:hint="default" w:ascii="宋体" w:hAnsi="宋体" w:eastAsia="宋体" w:cs="宋体"/>
          <w:b/>
          <w:bCs/>
          <w:i w:val="0"/>
          <w:iCs w:val="0"/>
          <w:caps w:val="0"/>
          <w:color w:val="auto"/>
          <w:spacing w:val="0"/>
          <w:kern w:val="44"/>
          <w:sz w:val="36"/>
          <w:szCs w:val="36"/>
          <w:shd w:val="clear" w:fill="FFFFFF"/>
          <w:lang w:val="en-US" w:eastAsia="zh-CN" w:bidi="ar"/>
        </w:rPr>
      </w:pPr>
      <w:r>
        <w:rPr>
          <w:rFonts w:hint="eastAsia" w:ascii="宋体" w:hAnsi="宋体" w:eastAsia="宋体" w:cs="宋体"/>
          <w:b/>
          <w:bCs/>
          <w:i w:val="0"/>
          <w:iCs w:val="0"/>
          <w:caps w:val="0"/>
          <w:color w:val="auto"/>
          <w:spacing w:val="0"/>
          <w:kern w:val="44"/>
          <w:sz w:val="36"/>
          <w:szCs w:val="36"/>
          <w:shd w:val="clear" w:fill="FFFFFF"/>
          <w:lang w:val="en-US" w:eastAsia="zh-CN" w:bidi="ar"/>
        </w:rPr>
        <w:t>北塔区融媒体中心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宋体" w:cs="微软雅黑"/>
          <w:i w:val="0"/>
          <w:iCs w:val="0"/>
          <w:caps w:val="0"/>
          <w:color w:val="auto"/>
          <w:spacing w:val="0"/>
          <w:sz w:val="44"/>
          <w:szCs w:val="44"/>
          <w:lang w:val="en-US" w:eastAsia="zh-CN"/>
        </w:rPr>
      </w:pPr>
      <w:r>
        <w:rPr>
          <w:i w:val="0"/>
          <w:iCs w:val="0"/>
          <w:caps w:val="0"/>
          <w:color w:val="auto"/>
          <w:spacing w:val="0"/>
          <w:sz w:val="36"/>
          <w:szCs w:val="36"/>
          <w:shd w:val="clear" w:fill="FFFFFF"/>
        </w:rPr>
        <w:t>202</w:t>
      </w:r>
      <w:r>
        <w:rPr>
          <w:rFonts w:hint="eastAsia"/>
          <w:i w:val="0"/>
          <w:iCs w:val="0"/>
          <w:caps w:val="0"/>
          <w:color w:val="auto"/>
          <w:spacing w:val="0"/>
          <w:sz w:val="36"/>
          <w:szCs w:val="36"/>
          <w:shd w:val="clear" w:fill="FFFFFF"/>
          <w:lang w:val="en-US" w:eastAsia="zh-CN"/>
        </w:rPr>
        <w:t>2</w:t>
      </w:r>
      <w:r>
        <w:rPr>
          <w:i w:val="0"/>
          <w:iCs w:val="0"/>
          <w:caps w:val="0"/>
          <w:color w:val="auto"/>
          <w:spacing w:val="0"/>
          <w:sz w:val="36"/>
          <w:szCs w:val="36"/>
          <w:shd w:val="clear" w:fill="FFFFFF"/>
        </w:rPr>
        <w:t>年度部门整体支出绩效评价报</w:t>
      </w:r>
      <w:r>
        <w:rPr>
          <w:rFonts w:hint="eastAsia"/>
          <w:i w:val="0"/>
          <w:iCs w:val="0"/>
          <w:caps w:val="0"/>
          <w:color w:val="auto"/>
          <w:spacing w:val="0"/>
          <w:sz w:val="36"/>
          <w:szCs w:val="36"/>
          <w:shd w:val="clear" w:fill="FFFFFF"/>
          <w:lang w:val="en-US" w:eastAsia="zh-CN"/>
        </w:rPr>
        <w:t>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0" w:right="0" w:firstLine="420"/>
        <w:jc w:val="both"/>
        <w:rPr>
          <w:rFonts w:hint="eastAsia" w:ascii="宋体" w:hAnsi="宋体" w:eastAsia="宋体" w:cs="宋体"/>
          <w:color w:val="auto"/>
          <w:sz w:val="32"/>
          <w:szCs w:val="32"/>
        </w:rPr>
      </w:pPr>
      <w:r>
        <w:rPr>
          <w:rFonts w:hint="eastAsia" w:ascii="宋体" w:hAnsi="宋体" w:eastAsia="宋体" w:cs="宋体"/>
          <w:b/>
          <w:bCs/>
          <w:i w:val="0"/>
          <w:iCs w:val="0"/>
          <w:caps w:val="0"/>
          <w:color w:val="auto"/>
          <w:spacing w:val="0"/>
          <w:sz w:val="32"/>
          <w:szCs w:val="32"/>
          <w:shd w:val="clear" w:fill="FFFFFF"/>
        </w:rPr>
        <w:t>一、部门基本情况</w:t>
      </w:r>
    </w:p>
    <w:p>
      <w:pPr>
        <w:spacing w:line="480" w:lineRule="auto"/>
        <w:ind w:firstLine="482" w:firstLineChars="20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（一）机构设置及人员情况</w:t>
      </w:r>
    </w:p>
    <w:p>
      <w:pPr>
        <w:keepNext w:val="0"/>
        <w:keepLines w:val="0"/>
        <w:widowControl w:val="0"/>
        <w:suppressLineNumbers w:val="0"/>
        <w:spacing w:before="0" w:beforeAutospacing="1" w:after="0" w:afterAutospacing="1" w:line="480" w:lineRule="exact"/>
        <w:ind w:left="0" w:right="0" w:firstLine="482" w:firstLineChars="200"/>
        <w:jc w:val="left"/>
        <w:rPr>
          <w:sz w:val="24"/>
          <w:szCs w:val="24"/>
        </w:rPr>
      </w:pPr>
      <w:r>
        <w:rPr>
          <w:rFonts w:hint="eastAsia" w:ascii="宋体" w:hAnsi="宋体" w:eastAsia="宋体" w:cs="宋体"/>
          <w:b/>
          <w:bCs/>
          <w:i w:val="0"/>
          <w:iCs w:val="0"/>
          <w:caps w:val="0"/>
          <w:color w:val="000000"/>
          <w:spacing w:val="0"/>
          <w:sz w:val="24"/>
          <w:szCs w:val="24"/>
        </w:rPr>
        <w:t>机构</w:t>
      </w:r>
      <w:r>
        <w:rPr>
          <w:rFonts w:hint="eastAsia" w:ascii="宋体" w:hAnsi="宋体" w:eastAsia="宋体" w:cs="宋体"/>
          <w:b/>
          <w:bCs/>
          <w:i w:val="0"/>
          <w:iCs w:val="0"/>
          <w:caps w:val="0"/>
          <w:color w:val="000000"/>
          <w:spacing w:val="0"/>
          <w:sz w:val="24"/>
          <w:szCs w:val="24"/>
          <w:lang w:eastAsia="zh-CN"/>
        </w:rPr>
        <w:t>设置情况</w:t>
      </w:r>
      <w:r>
        <w:rPr>
          <w:rFonts w:hint="eastAsia" w:ascii="宋体" w:hAnsi="宋体" w:eastAsia="宋体" w:cs="宋体"/>
          <w:b/>
          <w:bCs/>
          <w:i w:val="0"/>
          <w:iCs w:val="0"/>
          <w:caps w:val="0"/>
          <w:color w:val="000000"/>
          <w:spacing w:val="0"/>
          <w:sz w:val="28"/>
          <w:szCs w:val="28"/>
        </w:rPr>
        <w:t>：</w:t>
      </w:r>
      <w:r>
        <w:rPr>
          <w:rFonts w:hint="eastAsia" w:ascii="宋体" w:hAnsi="宋体" w:eastAsia="宋体" w:cs="宋体"/>
          <w:color w:val="auto"/>
          <w:kern w:val="2"/>
          <w:sz w:val="24"/>
          <w:szCs w:val="24"/>
          <w:lang w:val="en-US" w:eastAsia="zh-CN" w:bidi="ar"/>
        </w:rPr>
        <w:t>内设综合运行部、新闻采访部、《北塔》报刊部。</w:t>
      </w:r>
    </w:p>
    <w:p>
      <w:pPr>
        <w:pStyle w:val="5"/>
        <w:keepNext w:val="0"/>
        <w:keepLines w:val="0"/>
        <w:widowControl/>
        <w:suppressLineNumbers w:val="0"/>
        <w:spacing w:before="0" w:beforeAutospacing="0" w:after="2" w:afterAutospacing="0"/>
        <w:ind w:left="0" w:right="0" w:firstLine="641"/>
        <w:rPr>
          <w:sz w:val="24"/>
          <w:szCs w:val="24"/>
        </w:rPr>
      </w:pPr>
      <w:r>
        <w:rPr>
          <w:rFonts w:hint="eastAsia" w:ascii="宋体" w:hAnsi="宋体" w:eastAsia="宋体" w:cs="宋体"/>
          <w:b/>
          <w:bCs/>
          <w:i w:val="0"/>
          <w:iCs w:val="0"/>
          <w:caps w:val="0"/>
          <w:color w:val="000000"/>
          <w:spacing w:val="0"/>
          <w:sz w:val="24"/>
          <w:szCs w:val="24"/>
          <w:lang w:eastAsia="zh-CN"/>
        </w:rPr>
        <w:t>人员情况</w:t>
      </w:r>
      <w:r>
        <w:rPr>
          <w:rFonts w:hint="eastAsia" w:ascii="宋体" w:hAnsi="宋体" w:eastAsia="宋体" w:cs="宋体"/>
          <w:i w:val="0"/>
          <w:iCs w:val="0"/>
          <w:caps w:val="0"/>
          <w:color w:val="000000"/>
          <w:spacing w:val="0"/>
          <w:sz w:val="28"/>
          <w:szCs w:val="28"/>
          <w:lang w:eastAsia="zh-CN"/>
        </w:rPr>
        <w:t>：</w:t>
      </w:r>
      <w:r>
        <w:rPr>
          <w:rFonts w:hint="eastAsia" w:ascii="宋体" w:hAnsi="宋体" w:eastAsia="宋体" w:cs="宋体"/>
          <w:color w:val="auto"/>
          <w:kern w:val="2"/>
          <w:sz w:val="24"/>
          <w:szCs w:val="24"/>
          <w:lang w:val="en-US" w:eastAsia="zh-CN" w:bidi="ar"/>
        </w:rPr>
        <w:t>本部门</w:t>
      </w:r>
      <w:r>
        <w:rPr>
          <w:rFonts w:hint="eastAsia" w:ascii="宋体" w:hAnsi="宋体" w:eastAsia="宋体" w:cs="宋体"/>
          <w:color w:val="000000"/>
          <w:kern w:val="2"/>
          <w:sz w:val="24"/>
          <w:szCs w:val="24"/>
        </w:rPr>
        <w:t>共有编制人数</w:t>
      </w: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人，实有人数</w:t>
      </w:r>
      <w:r>
        <w:rPr>
          <w:rFonts w:hint="eastAsia" w:ascii="宋体" w:hAnsi="宋体" w:eastAsia="宋体" w:cs="宋体"/>
          <w:color w:val="000000"/>
          <w:kern w:val="2"/>
          <w:sz w:val="24"/>
          <w:szCs w:val="24"/>
          <w:lang w:val="en-US" w:eastAsia="zh-CN"/>
        </w:rPr>
        <w:t>7</w:t>
      </w:r>
      <w:r>
        <w:rPr>
          <w:rFonts w:hint="eastAsia" w:ascii="宋体" w:hAnsi="宋体" w:eastAsia="宋体" w:cs="宋体"/>
          <w:color w:val="000000"/>
          <w:kern w:val="2"/>
          <w:sz w:val="24"/>
          <w:szCs w:val="24"/>
        </w:rPr>
        <w:t>人</w:t>
      </w:r>
    </w:p>
    <w:p>
      <w:pPr>
        <w:spacing w:line="480" w:lineRule="auto"/>
        <w:ind w:firstLine="643" w:firstLineChars="200"/>
        <w:jc w:val="left"/>
        <w:rPr>
          <w:rFonts w:hint="eastAsia" w:ascii="宋体" w:hAnsi="宋体" w:eastAsia="宋体" w:cs="宋体"/>
          <w:b/>
          <w:bCs/>
          <w:i w:val="0"/>
          <w:iCs w:val="0"/>
          <w:caps w:val="0"/>
          <w:color w:val="auto"/>
          <w:spacing w:val="0"/>
          <w:sz w:val="32"/>
          <w:szCs w:val="32"/>
          <w:shd w:val="clear" w:fill="FFFFFF"/>
          <w:lang w:val="en-US" w:eastAsia="zh-CN"/>
        </w:rPr>
      </w:pPr>
    </w:p>
    <w:p>
      <w:pPr>
        <w:spacing w:line="480" w:lineRule="auto"/>
        <w:ind w:firstLine="482" w:firstLineChars="20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（二）主要工作职责</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1、坚决贯彻党管媒体原则,严格执行党中央和省、市、区委关于新闻宣传、媒体融合发展等工作的方针政策和决策部署,落实中央和省委、市委、区委的工作要求。坚持和加强党对新闻舆论工作的集中统一领导,坚持移动优先,建成主流舆论阵地、综合服务平台和社区信息枢纽。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2、负责利用移动传播技术,形成渠道丰富、覆盖广泛传播有效、可管可控的移动传播矩阵;树立“媒体+”的理念从单纯的新闻宣传向公共服务领域拓展,增强互动性,从单向传播向多元互动传播延伸,将媒体与政务、服务等业务相结合,构建具有北塔特色的“主流舆论阵地+综合服务平台+社区信息枢纽”平台,提供多样化综合服务,满足用户多样化的需求,开展“媒体+政务”“媒体+服务”等业务,面向用户提供政务服务、生活服务、社交传播、教育培训等服务平台。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3、负责归并一报(北塔报)、二网(北塔政务网、北塔新闻网)、多微(北塔发布和各乡街道、区直机关部门短讯快讯、微信微博,以及H5、快手、抖音等新媒体),提供对外宣传平台,充分发挥媒体融合优势。集中力量打造“新湖南北塔区频道”,建立“精品北塔”客户端。着力提高客户端下载量、日活率，提高在全区的覆盖面。综合运用报纸、广播、电视、新闻网站、微博微信、手机报、客户端频道等多个终端,形成分众传播分类覆盖的格局。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4、负责充分发挥信息服务平台的作用,积极参与“精品北塔”客户端建设,整合全区党政部门信息资源,对接全区党政部门技术平台,为各部门对外宣传、便民服务提供技术支撑。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5、协助开展各类群众性文化、体育、科普、公益活动,开展各类商务、会展节庆等活动,打通线上线下、提升造血机能,丰富群众文化生活、强化为民服务功能。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6、负责加强媒体在机构、内容、渠道、平台、人员、经营、管理等方面深度融合,提高传播力、引导力、影响力。建成主流舆论阵地、讲好“北塔话”。宣传党中央决策部署,宣传党的创新理论和社会主义核心价值观,宣传各级党委政府工作安排,传播政经资讯,对中央和省、市级媒体形成有益补充;建成综合服务平台、连通“北塔城”。向基层干部群众提供政务需求、生活服务、社交传播、教育培训等综合服务,增强党委政府和人民群众之间的互动沟通;建成社区信息枢纽、引导“北塔人”。面向人口聚集的部门机关、乡街道、村社区、企事业单位,提供精准化的生活资讯,打通线上线下,建设培育社会动员功能。 </w:t>
      </w:r>
    </w:p>
    <w:p>
      <w:pPr>
        <w:keepNext w:val="0"/>
        <w:keepLines w:val="0"/>
        <w:widowControl w:val="0"/>
        <w:suppressLineNumbers w:val="0"/>
        <w:spacing w:before="0" w:beforeAutospacing="1" w:after="0" w:afterAutospacing="1" w:line="480" w:lineRule="exact"/>
        <w:ind w:left="0" w:right="0" w:firstLine="480" w:firstLineChars="200"/>
        <w:jc w:val="left"/>
      </w:pPr>
      <w:r>
        <w:rPr>
          <w:rFonts w:hint="eastAsia" w:ascii="宋体" w:hAnsi="宋体" w:eastAsia="宋体" w:cs="宋体"/>
          <w:kern w:val="2"/>
          <w:sz w:val="24"/>
          <w:szCs w:val="24"/>
          <w:lang w:val="en-US" w:eastAsia="zh-CN" w:bidi="ar"/>
        </w:rPr>
        <w:t xml:space="preserve">7、完成区委交办的其他事项。 </w:t>
      </w:r>
    </w:p>
    <w:p>
      <w:pPr>
        <w:numPr>
          <w:ilvl w:val="0"/>
          <w:numId w:val="0"/>
        </w:numPr>
        <w:spacing w:line="480" w:lineRule="auto"/>
        <w:jc w:val="left"/>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8"/>
          <w:szCs w:val="28"/>
          <w:shd w:val="clear" w:fill="FFFFFF"/>
        </w:rPr>
        <w:t>二、</w:t>
      </w:r>
      <w:r>
        <w:rPr>
          <w:rFonts w:hint="eastAsia" w:ascii="宋体" w:hAnsi="宋体" w:eastAsia="宋体" w:cs="宋体"/>
          <w:b/>
          <w:bCs/>
          <w:i w:val="0"/>
          <w:iCs w:val="0"/>
          <w:caps w:val="0"/>
          <w:color w:val="auto"/>
          <w:spacing w:val="0"/>
          <w:sz w:val="24"/>
          <w:szCs w:val="24"/>
          <w:shd w:val="clear" w:fill="FFFFFF"/>
        </w:rPr>
        <w:t>部门整体支出管理及使用情况</w:t>
      </w:r>
    </w:p>
    <w:p>
      <w:pPr>
        <w:spacing w:line="480" w:lineRule="auto"/>
        <w:ind w:firstLine="482" w:firstLineChars="20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（一）预算执行情况</w:t>
      </w:r>
    </w:p>
    <w:p>
      <w:pPr>
        <w:spacing w:line="480" w:lineRule="auto"/>
        <w:ind w:firstLine="480" w:firstLineChars="20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kern w:val="2"/>
          <w:sz w:val="24"/>
          <w:szCs w:val="24"/>
          <w:lang w:val="en-US" w:eastAsia="zh-CN" w:bidi="ar"/>
        </w:rPr>
        <w:t>2022年本部门年初预算安排162.85万元，本年实际支出</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000000"/>
          <w:spacing w:val="0"/>
          <w:sz w:val="24"/>
          <w:szCs w:val="24"/>
        </w:rPr>
        <w:t>万元</w:t>
      </w:r>
      <w:r>
        <w:rPr>
          <w:rFonts w:hint="eastAsia" w:ascii="宋体" w:hAnsi="宋体" w:eastAsia="宋体" w:cs="宋体"/>
          <w:i w:val="0"/>
          <w:iCs w:val="0"/>
          <w:caps w:val="0"/>
          <w:color w:val="000000"/>
          <w:spacing w:val="0"/>
          <w:sz w:val="24"/>
          <w:szCs w:val="24"/>
          <w:lang w:eastAsia="zh-CN"/>
        </w:rPr>
        <w:t>，完成全年预算的</w:t>
      </w:r>
      <w:r>
        <w:rPr>
          <w:rFonts w:hint="eastAsia" w:ascii="宋体" w:hAnsi="宋体" w:eastAsia="宋体" w:cs="宋体"/>
          <w:i w:val="0"/>
          <w:iCs w:val="0"/>
          <w:caps w:val="0"/>
          <w:color w:val="000000"/>
          <w:spacing w:val="0"/>
          <w:sz w:val="24"/>
          <w:szCs w:val="24"/>
          <w:lang w:val="en-US" w:eastAsia="zh-CN"/>
        </w:rPr>
        <w:t>79.64%</w:t>
      </w:r>
      <w:r>
        <w:rPr>
          <w:rFonts w:hint="eastAsia" w:ascii="宋体" w:hAnsi="宋体" w:eastAsia="宋体" w:cs="宋体"/>
          <w:i w:val="0"/>
          <w:iCs w:val="0"/>
          <w:caps w:val="0"/>
          <w:color w:val="000000"/>
          <w:spacing w:val="0"/>
          <w:sz w:val="24"/>
          <w:szCs w:val="24"/>
        </w:rPr>
        <w:t>。与上一年度相比，</w:t>
      </w:r>
      <w:r>
        <w:rPr>
          <w:rFonts w:hint="eastAsia" w:ascii="宋体" w:hAnsi="宋体" w:eastAsia="宋体" w:cs="宋体"/>
          <w:i w:val="0"/>
          <w:iCs w:val="0"/>
          <w:caps w:val="0"/>
          <w:color w:val="000000"/>
          <w:spacing w:val="0"/>
          <w:sz w:val="24"/>
          <w:szCs w:val="24"/>
          <w:lang w:eastAsia="zh-CN"/>
        </w:rPr>
        <w:t>实际支出</w:t>
      </w:r>
      <w:r>
        <w:rPr>
          <w:rFonts w:hint="eastAsia" w:ascii="宋体" w:hAnsi="宋体" w:eastAsia="宋体" w:cs="宋体"/>
          <w:i w:val="0"/>
          <w:iCs w:val="0"/>
          <w:caps w:val="0"/>
          <w:color w:val="000000"/>
          <w:spacing w:val="0"/>
          <w:sz w:val="24"/>
          <w:szCs w:val="24"/>
          <w:lang w:val="en-US" w:eastAsia="zh-CN"/>
        </w:rPr>
        <w:t>减少45.06</w:t>
      </w:r>
      <w:r>
        <w:rPr>
          <w:rFonts w:hint="eastAsia" w:ascii="宋体" w:hAnsi="宋体" w:eastAsia="宋体" w:cs="宋体"/>
          <w:i w:val="0"/>
          <w:iCs w:val="0"/>
          <w:caps w:val="0"/>
          <w:color w:val="000000"/>
          <w:spacing w:val="0"/>
          <w:sz w:val="24"/>
          <w:szCs w:val="24"/>
        </w:rPr>
        <w:t>万元，</w:t>
      </w:r>
      <w:r>
        <w:rPr>
          <w:rFonts w:hint="eastAsia" w:ascii="宋体" w:hAnsi="宋体" w:eastAsia="宋体" w:cs="宋体"/>
          <w:i w:val="0"/>
          <w:iCs w:val="0"/>
          <w:caps w:val="0"/>
          <w:color w:val="000000"/>
          <w:spacing w:val="0"/>
          <w:sz w:val="24"/>
          <w:szCs w:val="24"/>
          <w:lang w:val="en-US" w:eastAsia="zh-CN"/>
        </w:rPr>
        <w:t>下降25.78</w:t>
      </w:r>
      <w:r>
        <w:rPr>
          <w:rFonts w:hint="eastAsia" w:ascii="宋体" w:hAnsi="宋体" w:eastAsia="宋体" w:cs="宋体"/>
          <w:i w:val="0"/>
          <w:iCs w:val="0"/>
          <w:caps w:val="0"/>
          <w:color w:val="000000"/>
          <w:spacing w:val="0"/>
          <w:sz w:val="24"/>
          <w:szCs w:val="24"/>
        </w:rPr>
        <w:t>%。主要原因</w:t>
      </w:r>
      <w:r>
        <w:rPr>
          <w:rFonts w:hint="eastAsia" w:ascii="宋体" w:hAnsi="宋体" w:eastAsia="宋体" w:cs="宋体"/>
          <w:i w:val="0"/>
          <w:iCs w:val="0"/>
          <w:caps w:val="0"/>
          <w:color w:val="000000"/>
          <w:spacing w:val="0"/>
          <w:sz w:val="24"/>
          <w:szCs w:val="24"/>
          <w:lang w:val="en-US" w:eastAsia="zh-CN"/>
        </w:rPr>
        <w:t>是财政拨款收入减少的同时，大力压缩了非必要的开支。</w:t>
      </w:r>
    </w:p>
    <w:p>
      <w:pPr>
        <w:spacing w:line="480" w:lineRule="auto"/>
        <w:ind w:firstLine="480" w:firstLineChars="20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2022年度收入合计</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000000"/>
          <w:spacing w:val="0"/>
          <w:sz w:val="24"/>
          <w:szCs w:val="24"/>
        </w:rPr>
        <w:t>万元，其中：财政拨款收入</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000000"/>
          <w:spacing w:val="0"/>
          <w:sz w:val="24"/>
          <w:szCs w:val="24"/>
        </w:rPr>
        <w:t>万元，占</w:t>
      </w:r>
      <w:r>
        <w:rPr>
          <w:rFonts w:hint="eastAsia" w:ascii="宋体" w:hAnsi="宋体" w:eastAsia="宋体" w:cs="宋体"/>
          <w:i w:val="0"/>
          <w:iCs w:val="0"/>
          <w:caps w:val="0"/>
          <w:color w:val="000000"/>
          <w:spacing w:val="0"/>
          <w:sz w:val="24"/>
          <w:szCs w:val="24"/>
          <w:lang w:val="en-US" w:eastAsia="zh-CN"/>
        </w:rPr>
        <w:t>100</w:t>
      </w:r>
      <w:r>
        <w:rPr>
          <w:rFonts w:hint="eastAsia" w:ascii="宋体" w:hAnsi="宋体" w:eastAsia="宋体" w:cs="宋体"/>
          <w:i w:val="0"/>
          <w:iCs w:val="0"/>
          <w:caps w:val="0"/>
          <w:color w:val="000000"/>
          <w:spacing w:val="0"/>
          <w:sz w:val="24"/>
          <w:szCs w:val="24"/>
        </w:rPr>
        <w:t>%；上级补助收入0万元，占0%；事业收入0万元，占0%；经营收入0万元，占0%；附属单位上缴收入0万元，占0%；其他收入</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万元，占</w:t>
      </w:r>
      <w:r>
        <w:rPr>
          <w:rFonts w:hint="eastAsia" w:ascii="宋体" w:hAnsi="宋体" w:eastAsia="宋体" w:cs="宋体"/>
          <w:i w:val="0"/>
          <w:iCs w:val="0"/>
          <w:caps w:val="0"/>
          <w:color w:val="000000"/>
          <w:spacing w:val="0"/>
          <w:sz w:val="24"/>
          <w:szCs w:val="24"/>
          <w:lang w:val="en-US" w:eastAsia="zh-CN"/>
        </w:rPr>
        <w:t>0</w:t>
      </w:r>
      <w:r>
        <w:rPr>
          <w:rFonts w:hint="eastAsia" w:ascii="宋体" w:hAnsi="宋体" w:eastAsia="宋体" w:cs="宋体"/>
          <w:i w:val="0"/>
          <w:iCs w:val="0"/>
          <w:caps w:val="0"/>
          <w:color w:val="000000"/>
          <w:spacing w:val="0"/>
          <w:sz w:val="24"/>
          <w:szCs w:val="24"/>
        </w:rPr>
        <w:t>%</w:t>
      </w:r>
    </w:p>
    <w:p>
      <w:pPr>
        <w:spacing w:line="480" w:lineRule="auto"/>
        <w:ind w:firstLine="480" w:firstLineChars="200"/>
        <w:jc w:val="left"/>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2022年度支出合计</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000000"/>
          <w:spacing w:val="0"/>
          <w:sz w:val="24"/>
          <w:szCs w:val="24"/>
        </w:rPr>
        <w:t>万元，其中：基本支出</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000000"/>
          <w:spacing w:val="0"/>
          <w:sz w:val="24"/>
          <w:szCs w:val="24"/>
        </w:rPr>
        <w:t>万元，占100%；项目支出0万元，占0%；上缴上级支出0万元，占0%；经营支出0万元，占0%；对附属单位补助支出0万元，占0%。</w:t>
      </w:r>
    </w:p>
    <w:p>
      <w:pPr>
        <w:spacing w:line="480" w:lineRule="auto"/>
        <w:ind w:firstLine="482" w:firstLineChars="200"/>
        <w:jc w:val="left"/>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（二）基本支出情况</w:t>
      </w:r>
    </w:p>
    <w:p>
      <w:pPr>
        <w:spacing w:line="480" w:lineRule="auto"/>
        <w:ind w:firstLine="480" w:firstLineChars="200"/>
        <w:jc w:val="left"/>
        <w:rPr>
          <w:rFonts w:hint="eastAsia"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宋体"/>
          <w:i w:val="0"/>
          <w:iCs w:val="0"/>
          <w:caps w:val="0"/>
          <w:color w:val="auto"/>
          <w:spacing w:val="0"/>
          <w:kern w:val="2"/>
          <w:sz w:val="24"/>
          <w:szCs w:val="24"/>
          <w:highlight w:val="none"/>
          <w:shd w:val="clear" w:fill="FFFFFF"/>
          <w:lang w:val="en-US" w:eastAsia="zh-CN" w:bidi="ar-SA"/>
        </w:rPr>
        <w:t>2022年度北塔区融媒体中心基本支出年初预算安排</w:t>
      </w:r>
      <w:r>
        <w:rPr>
          <w:rFonts w:hint="eastAsia" w:ascii="宋体" w:hAnsi="宋体" w:eastAsia="宋体" w:cs="宋体"/>
          <w:i w:val="0"/>
          <w:iCs w:val="0"/>
          <w:caps w:val="0"/>
          <w:color w:val="000000"/>
          <w:spacing w:val="0"/>
          <w:sz w:val="24"/>
          <w:szCs w:val="24"/>
          <w:lang w:val="en-US" w:eastAsia="zh-CN"/>
        </w:rPr>
        <w:t>162.85</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万元，本年实际支出为</w:t>
      </w:r>
      <w:r>
        <w:rPr>
          <w:rFonts w:hint="eastAsia" w:ascii="宋体" w:hAnsi="宋体" w:eastAsia="宋体" w:cs="宋体"/>
          <w:i w:val="0"/>
          <w:iCs w:val="0"/>
          <w:caps w:val="0"/>
          <w:color w:val="000000"/>
          <w:spacing w:val="0"/>
          <w:sz w:val="24"/>
          <w:szCs w:val="24"/>
          <w:lang w:val="en-US" w:eastAsia="zh-CN"/>
        </w:rPr>
        <w:t>129.7</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万元，主要为人员经费支出和公用经费支出，其中人员经费支出65.25万元、公用经费支出64.45万元。</w:t>
      </w:r>
    </w:p>
    <w:p>
      <w:pPr>
        <w:numPr>
          <w:ilvl w:val="0"/>
          <w:numId w:val="1"/>
        </w:numPr>
        <w:spacing w:line="480" w:lineRule="auto"/>
        <w:ind w:left="0" w:leftChars="0" w:firstLine="482" w:firstLineChars="200"/>
        <w:jc w:val="left"/>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项目支出情况</w:t>
      </w:r>
    </w:p>
    <w:p>
      <w:pPr>
        <w:numPr>
          <w:ilvl w:val="0"/>
          <w:numId w:val="0"/>
        </w:numPr>
        <w:spacing w:line="480" w:lineRule="auto"/>
        <w:ind w:firstLine="480" w:firstLineChars="200"/>
        <w:jc w:val="left"/>
        <w:rPr>
          <w:rFonts w:hint="eastAsia"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宋体"/>
          <w:i w:val="0"/>
          <w:iCs w:val="0"/>
          <w:caps w:val="0"/>
          <w:color w:val="auto"/>
          <w:spacing w:val="0"/>
          <w:kern w:val="2"/>
          <w:sz w:val="24"/>
          <w:szCs w:val="24"/>
          <w:highlight w:val="none"/>
          <w:shd w:val="clear" w:fill="FFFFFF"/>
          <w:lang w:val="en-US" w:eastAsia="zh-CN" w:bidi="ar-SA"/>
        </w:rPr>
        <w:t>本年项目支出年初预算安排为110万元，本年实际支出为0万元，本部门2022年度无项目支出。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right="0" w:rightChars="0" w:firstLine="482" w:firstLineChars="200"/>
        <w:jc w:val="both"/>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lang w:val="en-US" w:eastAsia="zh-CN"/>
        </w:rPr>
        <w:t>三</w:t>
      </w:r>
      <w:r>
        <w:rPr>
          <w:rFonts w:hint="eastAsia" w:ascii="宋体" w:hAnsi="宋体" w:eastAsia="宋体" w:cs="宋体"/>
          <w:b/>
          <w:bCs/>
          <w:i w:val="0"/>
          <w:iCs w:val="0"/>
          <w:caps w:val="0"/>
          <w:color w:val="auto"/>
          <w:spacing w:val="0"/>
          <w:sz w:val="24"/>
          <w:szCs w:val="24"/>
          <w:highlight w:val="none"/>
          <w:shd w:val="clear" w:fill="FFFFFF"/>
        </w:rPr>
        <w:t>、部门整体支出绩效情况</w:t>
      </w:r>
    </w:p>
    <w:p>
      <w:pPr>
        <w:spacing w:line="480" w:lineRule="auto"/>
        <w:ind w:firstLine="482" w:firstLineChars="200"/>
        <w:jc w:val="left"/>
        <w:rPr>
          <w:rFonts w:hint="eastAsia"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b/>
          <w:bCs/>
          <w:i w:val="0"/>
          <w:iCs w:val="0"/>
          <w:caps w:val="0"/>
          <w:color w:val="auto"/>
          <w:spacing w:val="0"/>
          <w:sz w:val="24"/>
          <w:szCs w:val="24"/>
          <w:highlight w:val="none"/>
          <w:shd w:val="clear" w:fill="FFFFFF"/>
          <w:lang w:val="en-US" w:eastAsia="zh-CN"/>
        </w:rPr>
        <w:t>（一）主要绩效指标完成情况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1、预算执行情况。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default" w:ascii="宋体" w:hAnsi="宋体" w:eastAsia="宋体" w:cs="宋体"/>
          <w:i w:val="0"/>
          <w:iCs w:val="0"/>
          <w:caps w:val="0"/>
          <w:color w:val="auto"/>
          <w:spacing w:val="0"/>
          <w:kern w:val="2"/>
          <w:sz w:val="24"/>
          <w:szCs w:val="24"/>
          <w:highlight w:val="none"/>
          <w:shd w:val="clear" w:fill="FFFFFF"/>
          <w:lang w:val="en-US" w:eastAsia="zh-CN" w:bidi="ar-SA"/>
        </w:rPr>
      </w:pPr>
      <w:r>
        <w:rPr>
          <w:rFonts w:hint="eastAsia" w:ascii="宋体" w:hAnsi="宋体" w:eastAsia="宋体" w:cs="宋体"/>
          <w:i w:val="0"/>
          <w:iCs w:val="0"/>
          <w:caps w:val="0"/>
          <w:color w:val="auto"/>
          <w:spacing w:val="0"/>
          <w:kern w:val="2"/>
          <w:sz w:val="24"/>
          <w:szCs w:val="24"/>
          <w:highlight w:val="none"/>
          <w:shd w:val="clear" w:fill="FFFFFF"/>
          <w:lang w:val="en-US" w:eastAsia="zh-CN" w:bidi="ar-SA"/>
        </w:rPr>
        <w:t>⑴2022年财政拨款预算执行数129.7万元，预算安排数162.85万元，预算执行率为79.64%；当年预算有节约33.15万元。⑵公用经费预算116.76万元，实际支出64.45万元，公用经费控制率为55.20%；（3）“三公经费”年初预算安排0万元，实际支出0万元（4）政府采购年初预算96.01万元，实际政府采购金额52.01万元。政府采购执行率54.17%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kern w:val="2"/>
          <w:sz w:val="24"/>
          <w:szCs w:val="24"/>
          <w:highlight w:val="none"/>
          <w:shd w:val="clear" w:fill="FFFFFF"/>
          <w:lang w:val="en-US" w:eastAsia="zh-CN" w:bidi="ar-SA"/>
        </w:rPr>
        <w:t>（2）、</w:t>
      </w:r>
      <w:r>
        <w:rPr>
          <w:rFonts w:hint="eastAsia" w:ascii="宋体" w:hAnsi="宋体" w:eastAsia="宋体" w:cs="宋体"/>
          <w:b/>
          <w:bCs/>
          <w:i w:val="0"/>
          <w:iCs w:val="0"/>
          <w:caps w:val="0"/>
          <w:color w:val="auto"/>
          <w:spacing w:val="0"/>
          <w:sz w:val="24"/>
          <w:szCs w:val="24"/>
          <w:highlight w:val="none"/>
          <w:shd w:val="clear" w:fill="FFFFFF"/>
        </w:rPr>
        <w:t>预决算信息公开情况。</w:t>
      </w:r>
      <w:r>
        <w:rPr>
          <w:rFonts w:hint="eastAsia" w:ascii="宋体" w:hAnsi="宋体" w:eastAsia="宋体" w:cs="宋体"/>
          <w:b w:val="0"/>
          <w:bCs w:val="0"/>
          <w:i w:val="0"/>
          <w:iCs w:val="0"/>
          <w:caps w:val="0"/>
          <w:color w:val="auto"/>
          <w:spacing w:val="0"/>
          <w:sz w:val="24"/>
          <w:szCs w:val="24"/>
          <w:highlight w:val="none"/>
          <w:shd w:val="clear" w:fill="FFFFFF"/>
          <w:lang w:eastAsia="zh-CN"/>
        </w:rPr>
        <w:t>北塔区</w:t>
      </w:r>
      <w:r>
        <w:rPr>
          <w:rFonts w:hint="eastAsia" w:ascii="宋体" w:hAnsi="宋体" w:eastAsia="宋体" w:cs="宋体"/>
          <w:b w:val="0"/>
          <w:bCs w:val="0"/>
          <w:i w:val="0"/>
          <w:iCs w:val="0"/>
          <w:caps w:val="0"/>
          <w:color w:val="auto"/>
          <w:spacing w:val="0"/>
          <w:sz w:val="24"/>
          <w:szCs w:val="24"/>
          <w:highlight w:val="none"/>
          <w:shd w:val="clear" w:fill="FFFFFF"/>
          <w:lang w:val="en-US" w:eastAsia="zh-CN"/>
        </w:rPr>
        <w:t>融媒体中心</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及时在区政</w:t>
      </w:r>
      <w:r>
        <w:rPr>
          <w:rFonts w:hint="eastAsia" w:ascii="宋体" w:hAnsi="宋体" w:eastAsia="宋体" w:cs="宋体"/>
          <w:i w:val="0"/>
          <w:iCs w:val="0"/>
          <w:caps w:val="0"/>
          <w:color w:val="auto"/>
          <w:spacing w:val="0"/>
          <w:kern w:val="2"/>
          <w:sz w:val="24"/>
          <w:szCs w:val="24"/>
          <w:shd w:val="clear" w:fill="FFFFFF"/>
          <w:lang w:val="en-US" w:eastAsia="zh-CN" w:bidi="ar-SA"/>
        </w:rPr>
        <w:t>府统一平台公开了部门预算、决算和绩效目标、绩效自评报告、“三公经费”等信息，接受群众和社会监督。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480" w:lineRule="atLeast"/>
        <w:ind w:left="0" w:right="0" w:firstLine="420"/>
        <w:jc w:val="both"/>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rPr>
        <w:t>、资产管理情况。</w:t>
      </w:r>
      <w:r>
        <w:rPr>
          <w:rFonts w:hint="eastAsia" w:ascii="宋体" w:hAnsi="宋体" w:eastAsia="宋体" w:cs="宋体"/>
          <w:i w:val="0"/>
          <w:iCs w:val="0"/>
          <w:caps w:val="0"/>
          <w:color w:val="auto"/>
          <w:spacing w:val="0"/>
          <w:kern w:val="2"/>
          <w:sz w:val="24"/>
          <w:szCs w:val="24"/>
          <w:shd w:val="clear" w:fill="FFFFFF"/>
          <w:lang w:val="en-US" w:eastAsia="zh-CN" w:bidi="ar-SA"/>
        </w:rPr>
        <w:t>截止2022年12月31日，</w:t>
      </w:r>
      <w:r>
        <w:rPr>
          <w:rFonts w:hint="eastAsia" w:ascii="宋体" w:hAnsi="宋体" w:eastAsia="宋体" w:cs="宋体"/>
          <w:color w:val="auto"/>
          <w:sz w:val="24"/>
          <w:szCs w:val="24"/>
          <w:lang w:eastAsia="zh-CN"/>
        </w:rPr>
        <w:t>北塔区</w:t>
      </w:r>
      <w:r>
        <w:rPr>
          <w:rFonts w:hint="eastAsia" w:ascii="宋体" w:hAnsi="宋体" w:eastAsia="宋体" w:cs="宋体"/>
          <w:b w:val="0"/>
          <w:bCs w:val="0"/>
          <w:i w:val="0"/>
          <w:iCs w:val="0"/>
          <w:caps w:val="0"/>
          <w:color w:val="auto"/>
          <w:spacing w:val="0"/>
          <w:sz w:val="24"/>
          <w:szCs w:val="24"/>
          <w:highlight w:val="none"/>
          <w:shd w:val="clear" w:fill="FFFFFF"/>
          <w:lang w:val="en-US" w:eastAsia="zh-CN"/>
        </w:rPr>
        <w:t>融媒体中心</w:t>
      </w:r>
      <w:r>
        <w:rPr>
          <w:rFonts w:hint="eastAsia" w:ascii="宋体" w:hAnsi="宋体" w:eastAsia="宋体" w:cs="宋体"/>
          <w:i w:val="0"/>
          <w:iCs w:val="0"/>
          <w:caps w:val="0"/>
          <w:color w:val="auto"/>
          <w:spacing w:val="0"/>
          <w:kern w:val="2"/>
          <w:sz w:val="24"/>
          <w:szCs w:val="24"/>
          <w:highlight w:val="none"/>
          <w:shd w:val="clear" w:fill="FFFFFF"/>
          <w:lang w:val="en-US" w:eastAsia="zh-CN" w:bidi="ar-SA"/>
        </w:rPr>
        <w:t>拥有各类资产总额49.92万元，其中流动资产4.04万元，固定资产净值45.88万元。单位为加强资产管理，内部制定了资产管理制度，</w:t>
      </w:r>
      <w:r>
        <w:rPr>
          <w:rFonts w:hint="eastAsia" w:ascii="宋体" w:hAnsi="宋体" w:eastAsia="宋体" w:cs="宋体"/>
          <w:i w:val="0"/>
          <w:iCs w:val="0"/>
          <w:caps w:val="0"/>
          <w:color w:val="auto"/>
          <w:spacing w:val="0"/>
          <w:kern w:val="2"/>
          <w:sz w:val="24"/>
          <w:szCs w:val="24"/>
          <w:shd w:val="clear" w:fill="FFFFFF"/>
          <w:lang w:val="en-US" w:eastAsia="zh-CN" w:bidi="ar-SA"/>
        </w:rPr>
        <w:t>对各类资产的购置、保管、使用、报废、处置等方面都作出了明确的规定，制度要求所有办公设备（含办公用品）的添置，先由各委室提出申请，经业务分管领导审核同意后，再由办公室及时采购并建立固定资产实物登记台账，工作人员异动，必须及时办理固定资产移交手续，不得侵占和擅自带走，各委室不得擅自购买任何办公用品和设备，否则不予报销。</w:t>
      </w:r>
    </w:p>
    <w:p>
      <w:pPr>
        <w:spacing w:line="720" w:lineRule="auto"/>
        <w:ind w:firstLine="482" w:firstLineChars="20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（二）职责覆行和主要绩效情况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预算执行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一是建立预算执行责任制。将年度预算收入责任及预算支出额度逐一分解落实到各股室，形成领导重视、衔接紧密、齐抓共管的体制机制，建立预算指标额度台账，将预算执行情况作为年度目标考核的内容。二是建立预算执行信息化管理制度。在政务公开网公布部门财政预算批复及执行情况，及时公布“三公经费”支出情况，接受监督。三是建立健全项目资金管理制度。对于财政性专项资金，严格按专项资金项目实施方案执行，督促项目承担单位加快项目实施进度，及时办理报账、验收、结算等相关手续，做到不集中使用、不滥用资金，最大限度提高专项资金利用效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预算管理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为规范机关财务管理，建立健全财务管理制度，我</w:t>
      </w:r>
      <w:r>
        <w:rPr>
          <w:rFonts w:hint="eastAsia" w:ascii="宋体" w:hAnsi="宋体" w:eastAsia="宋体" w:cs="宋体"/>
          <w:b w:val="0"/>
          <w:bCs w:val="0"/>
          <w:sz w:val="24"/>
          <w:szCs w:val="24"/>
          <w:lang w:val="en-US" w:eastAsia="zh-CN"/>
        </w:rPr>
        <w:t>办</w:t>
      </w:r>
      <w:r>
        <w:rPr>
          <w:rFonts w:hint="eastAsia" w:ascii="宋体" w:hAnsi="宋体" w:eastAsia="宋体" w:cs="宋体"/>
          <w:b w:val="0"/>
          <w:bCs w:val="0"/>
          <w:sz w:val="24"/>
          <w:szCs w:val="24"/>
        </w:rPr>
        <w:t>根据《会计法》、《预算法》、《政府会计准则》等法律和财政部、省财政厅有关财务规章制度等一系列合法合规、较为完整的、具有很强的可操作性财务管理制度。坚持经费预算科学化、精细化，执行控制规范化、责任化，监督检查常态化、同步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资金的支付符合国家财经法规和财务管理制度规定，以及有关专项资金管理办法的规定；资金拨付有完整的审批程序和手续；支出符合部门预算批复的用途；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提升支出绩效</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年，我</w:t>
      </w:r>
      <w:r>
        <w:rPr>
          <w:rFonts w:hint="eastAsia" w:ascii="宋体" w:hAnsi="宋体" w:eastAsia="宋体" w:cs="宋体"/>
          <w:b w:val="0"/>
          <w:bCs w:val="0"/>
          <w:sz w:val="24"/>
          <w:szCs w:val="24"/>
          <w:lang w:val="en-US" w:eastAsia="zh-CN"/>
        </w:rPr>
        <w:t>办</w:t>
      </w:r>
      <w:r>
        <w:rPr>
          <w:rFonts w:hint="eastAsia" w:ascii="宋体" w:hAnsi="宋体" w:eastAsia="宋体" w:cs="宋体"/>
          <w:b w:val="0"/>
          <w:bCs w:val="0"/>
          <w:sz w:val="24"/>
          <w:szCs w:val="24"/>
        </w:rPr>
        <w:t>全面落实区委、区政府的各项工作部署，牢固树立发展意识，大力弘扬实干精神，扎实推进各项工作，各项工作任务全面完成，财务管理规范，单位行政运行稳定有序。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i w:val="0"/>
          <w:iCs w:val="0"/>
          <w:caps w:val="0"/>
          <w:color w:val="auto"/>
          <w:spacing w:val="0"/>
          <w:kern w:val="2"/>
          <w:sz w:val="24"/>
          <w:szCs w:val="24"/>
          <w:shd w:val="clear" w:fill="FFFFFF"/>
          <w:lang w:val="en-US" w:eastAsia="zh-CN" w:bidi="ar-SA"/>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评价结论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我</w:t>
      </w:r>
      <w:r>
        <w:rPr>
          <w:rFonts w:hint="eastAsia" w:ascii="宋体" w:hAnsi="宋体" w:eastAsia="宋体" w:cs="宋体"/>
          <w:b w:val="0"/>
          <w:bCs w:val="0"/>
          <w:sz w:val="24"/>
          <w:szCs w:val="24"/>
          <w:lang w:val="en-US" w:eastAsia="zh-CN"/>
        </w:rPr>
        <w:t>办</w:t>
      </w:r>
      <w:r>
        <w:rPr>
          <w:rFonts w:hint="eastAsia" w:ascii="宋体" w:hAnsi="宋体" w:eastAsia="宋体" w:cs="宋体"/>
          <w:b w:val="0"/>
          <w:bCs w:val="0"/>
          <w:sz w:val="24"/>
          <w:szCs w:val="24"/>
        </w:rPr>
        <w:t>认真组织开展整体支出绩效自评，自评等级“良好”。</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0" w:right="0" w:firstLine="42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存在的问题及原因分析</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42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预算编制不够明确和细化，预算编制的合理性需要提高，预算执行力还要进一步加强。资金使用效益有待进一步提高，绩效目标设立不够明确、细化和量化。</w:t>
      </w:r>
    </w:p>
    <w:p>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420" w:leftChars="0" w:right="0" w:right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人员素质有待提高。由于人员变动，单位对相关绩效管理业务的熟练，加上缺乏系统的培训，业务操作水平有限。</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240" w:beforeAutospacing="0" w:after="0" w:afterAutospacing="0" w:line="720" w:lineRule="auto"/>
        <w:ind w:left="0" w:leftChars="0" w:right="0" w:firstLine="420" w:firstLineChars="0"/>
        <w:jc w:val="both"/>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改进措施及有关建议</w:t>
      </w:r>
    </w:p>
    <w:p>
      <w:pPr>
        <w:widowControl/>
        <w:spacing w:line="600" w:lineRule="exact"/>
        <w:ind w:firstLine="645"/>
        <w:jc w:val="left"/>
        <w:rPr>
          <w:rFonts w:hint="eastAsia" w:ascii="宋体" w:hAnsi="宋体" w:eastAsia="宋体" w:cs="宋体"/>
          <w:kern w:val="0"/>
          <w:sz w:val="24"/>
          <w:szCs w:val="24"/>
          <w:lang w:val="en-US" w:eastAsia="zh-CN" w:bidi="ar"/>
        </w:rPr>
      </w:pPr>
      <w:r>
        <w:rPr>
          <w:rFonts w:hint="eastAsia" w:ascii="宋体" w:hAnsi="宋体" w:eastAsia="宋体" w:cs="宋体"/>
          <w:sz w:val="24"/>
          <w:szCs w:val="24"/>
        </w:rPr>
        <w:t>（一）</w:t>
      </w:r>
      <w:r>
        <w:rPr>
          <w:rFonts w:hint="eastAsia" w:ascii="宋体" w:hAnsi="宋体" w:eastAsia="宋体" w:cs="宋体"/>
          <w:kern w:val="0"/>
          <w:sz w:val="24"/>
          <w:szCs w:val="24"/>
          <w:lang w:val="en-US" w:eastAsia="zh-CN" w:bidi="ar"/>
        </w:rPr>
        <w:t>细化预算编制工作，认真做好预算的编制。进一步加强内设机构的预算管理意识，严格按照预算编制的相关制度和要求进行预算编制。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（二）加强政策学习，提高思想认识。组织相关人员认真学习《会计法》、《预算法》等相关法规、制度，提高业务人员的业务水平及思想认识，为绩效评价工作夯实基础。</w:t>
      </w:r>
    </w:p>
    <w:p>
      <w:pPr>
        <w:spacing w:line="600" w:lineRule="exact"/>
        <w:rPr>
          <w:rFonts w:ascii="宋体" w:hAnsi="宋体" w:cs="宋体"/>
          <w:kern w:val="0"/>
          <w:sz w:val="32"/>
          <w:szCs w:val="32"/>
        </w:rPr>
      </w:pPr>
      <w:r>
        <w:rPr>
          <w:rFonts w:hint="eastAsia" w:ascii="黑体" w:hAnsi="宋体" w:eastAsia="黑体" w:cs="宋体"/>
          <w:kern w:val="0"/>
          <w:sz w:val="32"/>
          <w:szCs w:val="32"/>
        </w:rPr>
        <w:t>附件1</w:t>
      </w:r>
      <w:r>
        <w:rPr>
          <w:rFonts w:ascii="黑体" w:hAnsi="宋体" w:eastAsia="黑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pPr>
        <w:widowControl/>
        <w:ind w:left="93"/>
        <w:jc w:val="center"/>
        <w:rPr>
          <w:rFonts w:hint="eastAsia" w:ascii="宋体" w:hAnsi="宋体" w:cs="宋体"/>
          <w:bCs/>
          <w:kern w:val="0"/>
          <w:sz w:val="32"/>
          <w:szCs w:val="32"/>
        </w:rPr>
      </w:pPr>
      <w:r>
        <w:rPr>
          <w:rFonts w:hint="eastAsia" w:ascii="宋体" w:hAnsi="宋体" w:cs="宋体"/>
          <w:bCs/>
          <w:kern w:val="0"/>
          <w:sz w:val="32"/>
          <w:szCs w:val="32"/>
        </w:rPr>
        <w:t>部门整体支出绩效评价指标评分表</w:t>
      </w:r>
    </w:p>
    <w:tbl>
      <w:tblPr>
        <w:tblStyle w:val="7"/>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
        <w:gridCol w:w="429"/>
        <w:gridCol w:w="567"/>
        <w:gridCol w:w="851"/>
        <w:gridCol w:w="567"/>
        <w:gridCol w:w="3118"/>
        <w:gridCol w:w="3472"/>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411"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一级指标</w:t>
            </w:r>
          </w:p>
        </w:tc>
        <w:tc>
          <w:tcPr>
            <w:tcW w:w="429"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二级指标</w:t>
            </w:r>
          </w:p>
        </w:tc>
        <w:tc>
          <w:tcPr>
            <w:tcW w:w="567"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851"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三级   指标</w:t>
            </w:r>
          </w:p>
        </w:tc>
        <w:tc>
          <w:tcPr>
            <w:tcW w:w="567"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分值</w:t>
            </w:r>
          </w:p>
        </w:tc>
        <w:tc>
          <w:tcPr>
            <w:tcW w:w="3118"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评价标准</w:t>
            </w:r>
          </w:p>
        </w:tc>
        <w:tc>
          <w:tcPr>
            <w:tcW w:w="3472" w:type="dxa"/>
            <w:vAlign w:val="center"/>
          </w:tcPr>
          <w:p>
            <w:pPr>
              <w:widowControl/>
              <w:jc w:val="center"/>
              <w:rPr>
                <w:rFonts w:hint="eastAsia" w:ascii="宋体" w:hAnsi="宋体" w:cs="宋体"/>
                <w:b/>
                <w:bCs/>
                <w:kern w:val="0"/>
                <w:sz w:val="20"/>
                <w:szCs w:val="20"/>
              </w:rPr>
            </w:pPr>
            <w:r>
              <w:rPr>
                <w:rFonts w:hint="eastAsia" w:ascii="宋体" w:hAnsi="宋体" w:cs="宋体"/>
                <w:b/>
                <w:bCs/>
                <w:kern w:val="0"/>
                <w:sz w:val="20"/>
                <w:szCs w:val="20"/>
              </w:rPr>
              <w:t>备注</w:t>
            </w:r>
          </w:p>
        </w:tc>
        <w:tc>
          <w:tcPr>
            <w:tcW w:w="617" w:type="dxa"/>
            <w:vAlign w:val="center"/>
          </w:tcPr>
          <w:p>
            <w:pPr>
              <w:widowControl/>
              <w:jc w:val="center"/>
              <w:rPr>
                <w:rFonts w:hint="eastAsia" w:ascii="宋体" w:hAnsi="宋体" w:eastAsia="宋体" w:cs="宋体"/>
                <w:b/>
                <w:bCs/>
                <w:kern w:val="0"/>
                <w:sz w:val="24"/>
                <w:szCs w:val="24"/>
              </w:rPr>
            </w:pPr>
            <w:r>
              <w:rPr>
                <w:rFonts w:hint="eastAsia" w:ascii="宋体" w:hAnsi="宋体" w:cs="宋体"/>
                <w:b/>
                <w:bCs/>
                <w:kern w:val="0"/>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11" w:type="dxa"/>
            <w:vMerge w:val="restart"/>
            <w:textDirection w:val="tbRlV"/>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投    入</w:t>
            </w:r>
          </w:p>
        </w:tc>
        <w:tc>
          <w:tcPr>
            <w:tcW w:w="429" w:type="dxa"/>
            <w:vMerge w:val="restart"/>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67" w:type="dxa"/>
            <w:vMerge w:val="restart"/>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18</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变动率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0,计3分；“三公经费”＞0，每超过一个百分点扣0.3分，扣完为止。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“三公经费”变动率=[（本年度“三公经费”总额-上年度“三公经费”总额）/上年度“三公经费”总额]×100%。</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“三公经费”：指政府部门人员因公出国（境）经费、公务车购置及运行费、公务招待费产生的消费。</w:t>
            </w:r>
          </w:p>
        </w:tc>
        <w:tc>
          <w:tcPr>
            <w:tcW w:w="617"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   管理</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①招待费用明确招待标准和招待人数,1分;②车辆维护、燃油使用政府定点，1分。③</w:t>
            </w:r>
            <w:r>
              <w:rPr>
                <w:rFonts w:hint="eastAsia" w:ascii="仿宋_GB2312" w:hAnsi="仿宋" w:eastAsia="仿宋_GB2312" w:cs="仿宋"/>
                <w:kern w:val="0"/>
                <w:sz w:val="20"/>
                <w:szCs w:val="20"/>
              </w:rPr>
              <w:t>制定“三公经费”管理办法，1分，每少一项扣1分，扣完为止。</w:t>
            </w:r>
          </w:p>
        </w:tc>
        <w:tc>
          <w:tcPr>
            <w:tcW w:w="3472" w:type="dxa"/>
            <w:vAlign w:val="center"/>
          </w:tcPr>
          <w:p>
            <w:pPr>
              <w:widowControl/>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招待费变动率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0,计2分；“公务招待费变动率”＞0，每超过一个百分点扣0.2分，扣完为止。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公务招待费变动率=[（本年度“公务招待费”总额-上年度“公务招待费”总额）/上年度“公务招待费”总额]×100%。</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411" w:type="dxa"/>
            <w:vMerge w:val="continue"/>
            <w:vAlign w:val="center"/>
          </w:tcPr>
          <w:p>
            <w:pPr>
              <w:widowControl/>
              <w:jc w:val="center"/>
              <w:rPr>
                <w:rFonts w:hint="eastAsia" w:ascii="仿宋_GB2312" w:hAnsi="宋体" w:eastAsia="仿宋_GB2312" w:cs="宋体"/>
                <w:kern w:val="0"/>
                <w:sz w:val="20"/>
                <w:szCs w:val="20"/>
                <w:lang w:eastAsia="zh-CN"/>
              </w:rPr>
            </w:pPr>
            <w:r>
              <w:rPr>
                <w:rFonts w:hint="eastAsia" w:ascii="仿宋_GB2312" w:hAnsi="宋体" w:eastAsia="仿宋_GB2312" w:cs="宋体"/>
                <w:kern w:val="0"/>
                <w:sz w:val="20"/>
                <w:szCs w:val="20"/>
                <w:lang w:eastAsia="zh-CN"/>
              </w:rPr>
              <w:t>2</w:t>
            </w: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运行费</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变动率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0,计2分；“公务用车购置运行费变动率”＞0，每超过一个百分点扣0.2分，扣完为止。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公务用车购置运行费变动率=[（本年度“公务用车购置运行费”总额-上年度“公务用车购置运行费”总额）/上年度“公务用车购置运行费”总额]×100%。</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 和服务支出 变动率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0,计2分；“商品和服务支出”变动率＞0，每超过一个百分点扣0.2分，扣完为止。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“商品和服务支出”变动率=[（本年度“商品和服务支出”总额-上年度“商品和服务支出”总额）/上年度“商品和服务支出”总额]×100%。</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支出  安排率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重点支出安排率≥90%，计2分；80%（含）-90%，计1分；70%（含）-80%，计0.5分；低于70%不得分。</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重点支出安排率=（重点项目支出/项目总支出）×100%</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重点项目支出：市政府确定的为民办实事和部门重点工程与重点工作支出。项目总支出：部门（单位）年度预算安排的项目支出总额。</w:t>
            </w:r>
          </w:p>
        </w:tc>
        <w:tc>
          <w:tcPr>
            <w:tcW w:w="617"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管理</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①实行收支两条线，1分；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②未发生截留、坐支或转移，1分。以上每发现一次违规现象扣1分，扣完为止。</w:t>
            </w:r>
          </w:p>
        </w:tc>
        <w:tc>
          <w:tcPr>
            <w:tcW w:w="3472" w:type="dxa"/>
            <w:vAlign w:val="center"/>
          </w:tcPr>
          <w:p>
            <w:pPr>
              <w:widowControl/>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411" w:type="dxa"/>
            <w:vMerge w:val="continue"/>
            <w:vAlign w:val="center"/>
          </w:tcPr>
          <w:p>
            <w:pPr>
              <w:widowControl/>
              <w:jc w:val="center"/>
              <w:rPr>
                <w:rFonts w:hint="eastAsia" w:ascii="仿宋_GB2312" w:hAnsi="宋体" w:eastAsia="仿宋_GB2312" w:cs="宋体"/>
                <w:kern w:val="0"/>
                <w:sz w:val="20"/>
                <w:szCs w:val="20"/>
              </w:rPr>
            </w:pPr>
          </w:p>
        </w:tc>
        <w:tc>
          <w:tcPr>
            <w:tcW w:w="429" w:type="dxa"/>
            <w:vMerge w:val="continue"/>
            <w:vAlign w:val="center"/>
          </w:tcPr>
          <w:p>
            <w:pPr>
              <w:widowControl/>
              <w:jc w:val="center"/>
              <w:rPr>
                <w:rFonts w:hint="eastAsia" w:ascii="仿宋_GB2312" w:hAnsi="宋体" w:eastAsia="仿宋_GB2312" w:cs="宋体"/>
                <w:kern w:val="0"/>
                <w:sz w:val="20"/>
                <w:szCs w:val="20"/>
              </w:rPr>
            </w:pPr>
          </w:p>
        </w:tc>
        <w:tc>
          <w:tcPr>
            <w:tcW w:w="567" w:type="dxa"/>
            <w:vMerge w:val="continue"/>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 收入 完成率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非税收入完成率100%，2分，每少一个百分点，扣0.1分，扣完为止。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非税收入完成率=（</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年度非税实际收入完成数/</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年度非税收入预算数）×100%，有减免因素的，以非税局确定的为准。</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11" w:type="dxa"/>
            <w:vMerge w:val="restart"/>
            <w:textDirection w:val="tbRlV"/>
            <w:vAlign w:val="center"/>
          </w:tcPr>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p>
            <w:pPr>
              <w:widowControl/>
              <w:ind w:left="113" w:right="113"/>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widowControl/>
              <w:jc w:val="center"/>
              <w:rPr>
                <w:rFonts w:hint="eastAsia" w:ascii="仿宋_GB2312" w:hAnsi="宋体" w:eastAsia="仿宋_GB2312" w:cs="宋体"/>
                <w:kern w:val="0"/>
                <w:sz w:val="20"/>
                <w:szCs w:val="20"/>
              </w:rPr>
            </w:pPr>
          </w:p>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429" w:type="dxa"/>
            <w:vMerge w:val="restart"/>
            <w:tcBorders>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67" w:type="dxa"/>
            <w:vMerge w:val="restart"/>
            <w:tcBorders>
              <w:lef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  完成率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完成率&lt;1，计2分，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完成率=1，计1分，</w:t>
            </w:r>
          </w:p>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完成率&gt;1，不得分。</w:t>
            </w:r>
          </w:p>
          <w:p>
            <w:pPr>
              <w:widowControl/>
              <w:jc w:val="left"/>
              <w:rPr>
                <w:rFonts w:hint="eastAsia" w:ascii="仿宋_GB2312" w:hAnsi="宋体" w:eastAsia="仿宋_GB2312" w:cs="宋体"/>
                <w:kern w:val="0"/>
                <w:sz w:val="20"/>
                <w:szCs w:val="20"/>
                <w:highlight w:val="none"/>
              </w:rPr>
            </w:pPr>
          </w:p>
        </w:tc>
        <w:tc>
          <w:tcPr>
            <w:tcW w:w="3472" w:type="dxa"/>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预算完成率=（预算完成数/预算数）×100%。预算完成数：部门（单位）本年度实际完成的预算数；预算数：财政部门批复的本年度部门（单位）预算数。</w:t>
            </w:r>
          </w:p>
        </w:tc>
        <w:tc>
          <w:tcPr>
            <w:tcW w:w="617" w:type="dxa"/>
            <w:vAlign w:val="center"/>
          </w:tcPr>
          <w:p>
            <w:pPr>
              <w:widowControl/>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1" w:type="dxa"/>
            <w:vMerge w:val="continue"/>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vAlign w:val="center"/>
          </w:tcPr>
          <w:p>
            <w:pPr>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资金  结余</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结余超过10%（不含），2分；结余在0-10%（含）的，1分；本年超支不得分。</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本项结余不含未完工项目资金的结转数。</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411" w:type="dxa"/>
            <w:vMerge w:val="continue"/>
            <w:vAlign w:val="center"/>
          </w:tcPr>
          <w:p>
            <w:pPr>
              <w:jc w:val="center"/>
              <w:rPr>
                <w:rFonts w:ascii="仿宋_GB2312" w:hAnsi="宋体" w:eastAsia="仿宋_GB2312" w:cs="宋体"/>
                <w:kern w:val="0"/>
                <w:sz w:val="20"/>
                <w:szCs w:val="20"/>
              </w:rPr>
            </w:pPr>
          </w:p>
        </w:tc>
        <w:tc>
          <w:tcPr>
            <w:tcW w:w="429" w:type="dxa"/>
            <w:vMerge w:val="continue"/>
            <w:tcBorders>
              <w:right w:val="single" w:color="auto" w:sz="4" w:space="0"/>
            </w:tcBorders>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vAlign w:val="center"/>
          </w:tcPr>
          <w:p>
            <w:pPr>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控制率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以100%为标准。三公经费控制率</w:t>
            </w:r>
            <w:r>
              <w:rPr>
                <w:rFonts w:hint="eastAsia" w:ascii="仿宋_GB2312" w:hAnsi="Arial" w:eastAsia="仿宋_GB2312" w:cs="Arial"/>
                <w:kern w:val="0"/>
                <w:sz w:val="20"/>
                <w:szCs w:val="20"/>
              </w:rPr>
              <w:t>≤</w:t>
            </w:r>
            <w:r>
              <w:rPr>
                <w:rFonts w:hint="eastAsia" w:ascii="仿宋_GB2312" w:hAnsi="宋体" w:eastAsia="仿宋_GB2312" w:cs="宋体"/>
                <w:kern w:val="0"/>
                <w:sz w:val="20"/>
                <w:szCs w:val="20"/>
              </w:rPr>
              <w:t>100%，计2分；每超过一个百分点扣0.2分，扣完为止。单位没有制定“三公”经费预算，该项不得分。</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11" w:type="dxa"/>
            <w:vMerge w:val="continue"/>
            <w:vAlign w:val="center"/>
          </w:tcPr>
          <w:p>
            <w:pPr>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采购</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①编</w:t>
            </w:r>
            <w:r>
              <w:rPr>
                <w:rFonts w:hint="eastAsia" w:ascii="仿宋_GB2312" w:hAnsi="宋体" w:eastAsia="仿宋_GB2312" w:cs="宋体"/>
                <w:kern w:val="0"/>
                <w:sz w:val="20"/>
                <w:szCs w:val="20"/>
              </w:rPr>
              <w:t>制政府采购年度预算并上报的，0.5分；②追加并编制政府采购预算的，0.5分；</w:t>
            </w:r>
            <w:r>
              <w:rPr>
                <w:rFonts w:hint="eastAsia" w:ascii="仿宋" w:hAnsi="仿宋" w:eastAsia="仿宋" w:cs="宋体"/>
                <w:kern w:val="0"/>
                <w:sz w:val="20"/>
                <w:szCs w:val="20"/>
              </w:rPr>
              <w:t>③</w:t>
            </w:r>
            <w:r>
              <w:rPr>
                <w:rFonts w:hint="eastAsia" w:ascii="仿宋_GB2312" w:hAnsi="宋体" w:eastAsia="仿宋_GB2312" w:cs="宋体"/>
                <w:kern w:val="0"/>
                <w:sz w:val="20"/>
                <w:szCs w:val="20"/>
              </w:rPr>
              <w:t>政府采购执行率=100%，计1分；每少一个百分点扣0.1分，扣完为止。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政府采购执行率=（实际实行政府采购金额/应实行政府采购金额）×100%。应实行政府采金额以《湘财购[2012]27号》文件为标准。</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jc w:val="center"/>
        </w:trPr>
        <w:tc>
          <w:tcPr>
            <w:tcW w:w="411" w:type="dxa"/>
            <w:vMerge w:val="continue"/>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right w:val="single" w:color="auto" w:sz="4" w:space="0"/>
            </w:tcBorders>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67" w:type="dxa"/>
            <w:vMerge w:val="restart"/>
            <w:tcBorders>
              <w:top w:val="single" w:color="auto" w:sz="4" w:space="0"/>
              <w:left w:val="single" w:color="auto" w:sz="4" w:space="0"/>
            </w:tcBorders>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28</w:t>
            </w:r>
          </w:p>
        </w:tc>
        <w:tc>
          <w:tcPr>
            <w:tcW w:w="851" w:type="dxa"/>
            <w:tcBorders>
              <w:top w:val="single" w:color="auto" w:sz="4" w:space="0"/>
            </w:tcBorders>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  制度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健全性</w:t>
            </w:r>
          </w:p>
        </w:tc>
        <w:tc>
          <w:tcPr>
            <w:tcW w:w="567" w:type="dxa"/>
            <w:tcBorders>
              <w:top w:val="single" w:color="auto" w:sz="4" w:space="0"/>
            </w:tcBorders>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6</w:t>
            </w:r>
          </w:p>
          <w:p>
            <w:pPr>
              <w:widowControl/>
              <w:jc w:val="both"/>
              <w:rPr>
                <w:rFonts w:hint="eastAsia" w:ascii="仿宋_GB2312" w:hAnsi="宋体" w:eastAsia="仿宋_GB2312" w:cs="宋体"/>
                <w:kern w:val="0"/>
                <w:sz w:val="20"/>
                <w:szCs w:val="20"/>
              </w:rPr>
            </w:pPr>
          </w:p>
        </w:tc>
        <w:tc>
          <w:tcPr>
            <w:tcW w:w="3118" w:type="dxa"/>
            <w:tcBorders>
              <w:top w:val="single" w:color="auto" w:sz="4" w:space="0"/>
            </w:tcBorders>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①已制定资金管理办法、内部财务管理制度、会计核算制度等管理制度，1分；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②建立健全单位内部控制制度，1分；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③会计人员、机构按规定设置，1分；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④会计基础工作健全，1分；</w:t>
            </w:r>
          </w:p>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⑤会计档案符合规定要求，1分；</w:t>
            </w:r>
          </w:p>
          <w:p>
            <w:pPr>
              <w:widowControl/>
              <w:jc w:val="left"/>
              <w:rPr>
                <w:rFonts w:hint="eastAsia" w:ascii="仿宋_GB2312" w:hAnsi="宋体" w:eastAsia="仿宋_GB2312" w:cs="宋体"/>
                <w:kern w:val="0"/>
                <w:sz w:val="20"/>
                <w:szCs w:val="20"/>
              </w:rPr>
            </w:pPr>
            <w:r>
              <w:rPr>
                <w:rFonts w:hint="eastAsia" w:ascii="仿宋_GB2312" w:hAnsi="仿宋" w:eastAsia="仿宋_GB2312" w:cs="仿宋"/>
                <w:kern w:val="0"/>
                <w:sz w:val="20"/>
                <w:szCs w:val="20"/>
              </w:rPr>
              <w:t>⑥项目管理规范（包括项目立项、申报、招投标、制度建立、按时完工等），1分，每发现少一项扣0.2分，扣完为止。</w:t>
            </w:r>
          </w:p>
        </w:tc>
        <w:tc>
          <w:tcPr>
            <w:tcW w:w="3472" w:type="dxa"/>
            <w:tcBorders>
              <w:top w:val="single" w:color="auto" w:sz="4" w:space="0"/>
            </w:tcBorders>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411" w:type="dxa"/>
            <w:vMerge w:val="continue"/>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right w:val="single" w:color="auto" w:sz="4" w:space="0"/>
            </w:tcBorders>
            <w:vAlign w:val="center"/>
          </w:tcPr>
          <w:p>
            <w:pPr>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tcBorders>
            <w:vAlign w:val="center"/>
          </w:tcPr>
          <w:p>
            <w:pPr>
              <w:jc w:val="center"/>
              <w:rPr>
                <w:rFonts w:hint="eastAsia" w:ascii="仿宋_GB2312" w:hAnsi="宋体" w:eastAsia="仿宋_GB2312" w:cs="宋体"/>
                <w:kern w:val="0"/>
                <w:sz w:val="20"/>
                <w:szCs w:val="20"/>
              </w:rPr>
            </w:pPr>
          </w:p>
        </w:tc>
        <w:tc>
          <w:tcPr>
            <w:tcW w:w="851" w:type="dxa"/>
            <w:tcBorders>
              <w:top w:val="single" w:color="auto" w:sz="4" w:space="0"/>
            </w:tcBorders>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内控制度情况</w:t>
            </w:r>
          </w:p>
        </w:tc>
        <w:tc>
          <w:tcPr>
            <w:tcW w:w="567" w:type="dxa"/>
            <w:tcBorders>
              <w:top w:val="single" w:color="auto" w:sz="4" w:space="0"/>
            </w:tcBorders>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4分</w:t>
            </w:r>
          </w:p>
        </w:tc>
        <w:tc>
          <w:tcPr>
            <w:tcW w:w="3118" w:type="dxa"/>
            <w:tcBorders>
              <w:top w:val="single" w:color="auto" w:sz="4" w:space="0"/>
            </w:tcBorders>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内部控制制度完全执行，4分，执行过程中，某个环节（节点）执行不到位的，每个环节（节点）扣1分，扣完为止。</w:t>
            </w:r>
          </w:p>
        </w:tc>
        <w:tc>
          <w:tcPr>
            <w:tcW w:w="3472" w:type="dxa"/>
            <w:tcBorders>
              <w:top w:val="single" w:color="auto" w:sz="4" w:space="0"/>
            </w:tcBorders>
            <w:vAlign w:val="center"/>
          </w:tcPr>
          <w:p>
            <w:pPr>
              <w:widowControl/>
              <w:jc w:val="left"/>
              <w:rPr>
                <w:rFonts w:hint="eastAsia" w:ascii="仿宋_GB2312" w:hAnsi="宋体" w:eastAsia="仿宋_GB2312" w:cs="宋体"/>
                <w:kern w:val="0"/>
                <w:sz w:val="20"/>
                <w:szCs w:val="20"/>
              </w:rPr>
            </w:pPr>
          </w:p>
        </w:tc>
        <w:tc>
          <w:tcPr>
            <w:tcW w:w="617" w:type="dxa"/>
            <w:tcBorders>
              <w:top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411" w:type="dxa"/>
            <w:vMerge w:val="restart"/>
            <w:tcBorders>
              <w:top w:val="nil"/>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过程</w:t>
            </w:r>
          </w:p>
        </w:tc>
        <w:tc>
          <w:tcPr>
            <w:tcW w:w="429" w:type="dxa"/>
            <w:vMerge w:val="continue"/>
            <w:tcBorders>
              <w:right w:val="single" w:color="auto" w:sz="4" w:space="0"/>
            </w:tcBorders>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tcBorders>
            <w:vAlign w:val="center"/>
          </w:tcPr>
          <w:p>
            <w:pPr>
              <w:jc w:val="center"/>
              <w:rPr>
                <w:rFonts w:hint="eastAsia" w:ascii="仿宋_GB2312" w:hAnsi="宋体" w:eastAsia="仿宋_GB2312" w:cs="宋体"/>
                <w:kern w:val="0"/>
                <w:sz w:val="20"/>
                <w:szCs w:val="20"/>
              </w:rPr>
            </w:pPr>
          </w:p>
        </w:tc>
        <w:tc>
          <w:tcPr>
            <w:tcW w:w="851" w:type="dxa"/>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资金  使用</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合规性</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14</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①支出符合国家财经法规和财务管理制度规定以及有关专项资金管理办法的规定；</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②资金（开支）拨付有完整的审批程序和手续；</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③支出符合部门预算批复的用途；</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④资金使用无截留、挤占、挪用、虚列支出、随意借用、大额现金支付等情况。</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⑤</w:t>
            </w:r>
            <w:r>
              <w:rPr>
                <w:rFonts w:hint="eastAsia" w:ascii="仿宋_GB2312" w:hAnsi="仿宋" w:eastAsia="仿宋_GB2312" w:cs="仿宋"/>
                <w:kern w:val="0"/>
                <w:sz w:val="20"/>
                <w:szCs w:val="20"/>
              </w:rPr>
              <w:t>重大财务事项经由集体研究决策；</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⑥</w:t>
            </w:r>
            <w:r>
              <w:rPr>
                <w:rFonts w:hint="eastAsia" w:ascii="仿宋_GB2312" w:hAnsi="仿宋" w:eastAsia="仿宋_GB2312" w:cs="仿宋"/>
                <w:kern w:val="0"/>
                <w:sz w:val="20"/>
                <w:szCs w:val="20"/>
              </w:rPr>
              <w:t>专项资金做到专款专用；</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⑦</w:t>
            </w:r>
            <w:r>
              <w:rPr>
                <w:rFonts w:hint="eastAsia" w:ascii="仿宋_GB2312" w:hAnsi="仿宋" w:eastAsia="仿宋_GB2312" w:cs="仿宋"/>
                <w:kern w:val="0"/>
                <w:sz w:val="20"/>
                <w:szCs w:val="20"/>
              </w:rPr>
              <w:t>原始凭证的取得真实有效；</w:t>
            </w:r>
          </w:p>
          <w:p>
            <w:pPr>
              <w:widowControl/>
              <w:jc w:val="left"/>
              <w:rPr>
                <w:rFonts w:hint="eastAsia" w:ascii="仿宋_GB2312" w:hAnsi="仿宋" w:eastAsia="仿宋_GB2312" w:cs="仿宋"/>
                <w:kern w:val="0"/>
                <w:sz w:val="20"/>
                <w:szCs w:val="20"/>
              </w:rPr>
            </w:pPr>
            <w:r>
              <w:rPr>
                <w:rFonts w:hint="eastAsia" w:ascii="仿宋_GB2312" w:hAnsi="微软雅黑" w:eastAsia="仿宋_GB2312" w:cs="微软雅黑"/>
                <w:kern w:val="0"/>
                <w:sz w:val="20"/>
                <w:szCs w:val="20"/>
              </w:rPr>
              <w:t>⑧</w:t>
            </w:r>
            <w:r>
              <w:rPr>
                <w:rFonts w:hint="eastAsia" w:ascii="仿宋_GB2312" w:hAnsi="仿宋" w:eastAsia="仿宋_GB2312" w:cs="仿宋"/>
                <w:kern w:val="0"/>
                <w:sz w:val="20"/>
                <w:szCs w:val="20"/>
              </w:rPr>
              <w:t>无超范围、超预算开支；</w:t>
            </w:r>
          </w:p>
          <w:p>
            <w:pPr>
              <w:widowControl/>
              <w:jc w:val="left"/>
              <w:rPr>
                <w:rFonts w:ascii="仿宋_GB2312" w:hAnsi="宋体" w:eastAsia="仿宋_GB2312" w:cs="宋体"/>
                <w:kern w:val="0"/>
                <w:sz w:val="20"/>
                <w:szCs w:val="20"/>
              </w:rPr>
            </w:pPr>
            <w:r>
              <w:rPr>
                <w:rFonts w:hint="eastAsia" w:ascii="仿宋" w:hAnsi="仿宋" w:eastAsia="仿宋" w:cs="仿宋"/>
                <w:kern w:val="0"/>
                <w:sz w:val="20"/>
                <w:szCs w:val="20"/>
              </w:rPr>
              <w:t>⑨</w:t>
            </w:r>
            <w:r>
              <w:rPr>
                <w:rFonts w:hint="eastAsia" w:ascii="仿宋_GB2312" w:hAnsi="仿宋" w:eastAsia="仿宋_GB2312" w:cs="仿宋"/>
                <w:kern w:val="0"/>
                <w:sz w:val="20"/>
                <w:szCs w:val="20"/>
              </w:rPr>
              <w:t>无超标准发放津补贴、奖金，无用公款支付应由个人支付的款项。</w:t>
            </w:r>
            <w:r>
              <w:rPr>
                <w:rFonts w:hint="eastAsia" w:ascii="仿宋_GB2312" w:hAnsi="仿宋" w:eastAsia="仿宋_GB2312" w:cs="仿宋"/>
                <w:kern w:val="0"/>
                <w:sz w:val="20"/>
                <w:szCs w:val="20"/>
              </w:rPr>
              <w:br w:type="textWrapping"/>
            </w:r>
            <w:r>
              <w:rPr>
                <w:rFonts w:hint="eastAsia" w:ascii="仿宋_GB2312" w:hAnsi="仿宋" w:eastAsia="仿宋_GB2312" w:cs="仿宋"/>
                <w:kern w:val="0"/>
                <w:sz w:val="20"/>
                <w:szCs w:val="20"/>
              </w:rPr>
              <w:t>以上情况每出现一例不</w:t>
            </w:r>
            <w:r>
              <w:rPr>
                <w:rFonts w:hint="eastAsia" w:ascii="仿宋_GB2312" w:hAnsi="宋体" w:eastAsia="仿宋_GB2312" w:cs="宋体"/>
                <w:kern w:val="0"/>
                <w:sz w:val="20"/>
                <w:szCs w:val="20"/>
              </w:rPr>
              <w:t>符合要求的扣2分，扣完为止。</w:t>
            </w:r>
          </w:p>
        </w:tc>
        <w:tc>
          <w:tcPr>
            <w:tcW w:w="3472" w:type="dxa"/>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部门（单位）使用预算资金是否符合相关的预算财务管理制度的规定，用以反映和考核部门（单位）预算资金的规范运行情况。</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411" w:type="dxa"/>
            <w:vMerge w:val="continue"/>
            <w:tcBorders>
              <w:top w:val="nil"/>
            </w:tcBorders>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p>
        </w:tc>
        <w:tc>
          <w:tcPr>
            <w:tcW w:w="567" w:type="dxa"/>
            <w:vMerge w:val="continue"/>
            <w:tcBorders>
              <w:left w:val="single" w:color="auto" w:sz="4" w:space="0"/>
              <w:bottom w:val="single" w:color="auto" w:sz="4" w:space="0"/>
            </w:tcBorders>
            <w:vAlign w:val="center"/>
          </w:tcPr>
          <w:p>
            <w:pPr>
              <w:widowControl/>
              <w:jc w:val="center"/>
              <w:rPr>
                <w:rFonts w:ascii="仿宋_GB2312" w:hAnsi="宋体" w:eastAsia="仿宋_GB2312" w:cs="宋体"/>
                <w:kern w:val="0"/>
                <w:sz w:val="20"/>
                <w:szCs w:val="20"/>
              </w:rPr>
            </w:pPr>
          </w:p>
        </w:tc>
        <w:tc>
          <w:tcPr>
            <w:tcW w:w="851" w:type="dxa"/>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预决算信息公开性和完善性</w:t>
            </w:r>
          </w:p>
        </w:tc>
        <w:tc>
          <w:tcPr>
            <w:tcW w:w="567" w:type="dxa"/>
            <w:vAlign w:val="center"/>
          </w:tcPr>
          <w:p>
            <w:pPr>
              <w:widowControl/>
              <w:jc w:val="both"/>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3118" w:type="dxa"/>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①按规定内容公开预决算信息，1分；②按规定时限公开预决算信息，1分；③基础数据信息和会计信息资料真实、完整，1分；④基础数据信息和汇集信息资料准确，1分。                                           </w:t>
            </w:r>
          </w:p>
        </w:tc>
        <w:tc>
          <w:tcPr>
            <w:tcW w:w="3472" w:type="dxa"/>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17"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continue"/>
            <w:tcBorders>
              <w:top w:val="nil"/>
            </w:tcBorders>
            <w:vAlign w:val="center"/>
          </w:tcPr>
          <w:p>
            <w:pPr>
              <w:widowControl/>
              <w:jc w:val="center"/>
              <w:rPr>
                <w:rFonts w:ascii="仿宋_GB2312" w:hAnsi="宋体" w:eastAsia="仿宋_GB2312" w:cs="宋体"/>
                <w:kern w:val="0"/>
                <w:sz w:val="20"/>
                <w:szCs w:val="20"/>
              </w:rPr>
            </w:pPr>
          </w:p>
        </w:tc>
        <w:tc>
          <w:tcPr>
            <w:tcW w:w="429" w:type="dxa"/>
            <w:vMerge w:val="restart"/>
            <w:tcBorders>
              <w:top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资产管理</w:t>
            </w:r>
          </w:p>
        </w:tc>
        <w:tc>
          <w:tcPr>
            <w:tcW w:w="567" w:type="dxa"/>
            <w:vMerge w:val="restart"/>
            <w:tcBorders>
              <w:top w:val="single" w:color="auto" w:sz="4" w:space="0"/>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  制度</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健全性</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①已制定资产管理制度，1分；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 xml:space="preserve">②相关资产管理制度得到有效执行，1分。                                           </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3" w:hRule="atLeast"/>
          <w:jc w:val="center"/>
        </w:trPr>
        <w:tc>
          <w:tcPr>
            <w:tcW w:w="411" w:type="dxa"/>
            <w:vMerge w:val="continue"/>
            <w:tcBorders>
              <w:top w:val="nil"/>
            </w:tcBorders>
            <w:vAlign w:val="center"/>
          </w:tcPr>
          <w:p>
            <w:pPr>
              <w:widowControl/>
              <w:jc w:val="center"/>
              <w:rPr>
                <w:rFonts w:hint="eastAsia"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资产  管理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安全性</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16</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 xml:space="preserve">①资产保存完整；②资产配置合理；③资产处置规范；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④资产账务管理合规，帐实帐卡、账账、账表（决算报表等）相符；⑤资产有偿使用及处置收入及时足额上缴；</w:t>
            </w:r>
            <w:r>
              <w:rPr>
                <w:rFonts w:hint="eastAsia" w:ascii="仿宋_GB2312" w:hAnsi="仿宋" w:eastAsia="仿宋_GB2312" w:cs="仿宋"/>
                <w:kern w:val="0"/>
                <w:sz w:val="20"/>
                <w:szCs w:val="20"/>
              </w:rPr>
              <w:t>⑥清查盘点：每年至少清查盘点一次；⑦产权明晰，权证齐全</w:t>
            </w:r>
            <w:r>
              <w:rPr>
                <w:rFonts w:hint="eastAsia" w:ascii="仿宋_GB2312" w:hAnsi="宋体" w:eastAsia="仿宋_GB2312" w:cs="宋体"/>
                <w:kern w:val="0"/>
                <w:sz w:val="20"/>
                <w:szCs w:val="20"/>
              </w:rPr>
              <w:t>；⑧按标准购置固定资产。</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以上情况每出现一例不符合要求的扣2分；⑨未按时报送20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年行政事业单位资产报表的，每延迟一天，扣1分，扣完为止。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部门（单位）的资产是否保存完整，使用合规、配置合理、处置规范、收入及时足额上缴，用以反映和考核部门（单位）资产安全运行情况。</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nil"/>
            </w:tcBorders>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  资产</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利用率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固定资产利用率,100%,2分,每低于一个百分点扣0.2分，扣完为止。</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固定资产利用率=（实际在用固定资产总额/所有固定资产总额）×100%</w:t>
            </w:r>
          </w:p>
        </w:tc>
        <w:tc>
          <w:tcPr>
            <w:tcW w:w="617"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11" w:type="dxa"/>
            <w:vMerge w:val="continue"/>
            <w:tcBorders>
              <w:top w:val="nil"/>
            </w:tcBorders>
            <w:vAlign w:val="center"/>
          </w:tcPr>
          <w:p>
            <w:pPr>
              <w:widowControl/>
              <w:jc w:val="center"/>
              <w:rPr>
                <w:rFonts w:ascii="仿宋_GB2312" w:hAnsi="宋体" w:eastAsia="仿宋_GB2312" w:cs="宋体"/>
                <w:kern w:val="0"/>
                <w:sz w:val="20"/>
                <w:szCs w:val="20"/>
              </w:rPr>
            </w:pPr>
          </w:p>
        </w:tc>
        <w:tc>
          <w:tcPr>
            <w:tcW w:w="429" w:type="dxa"/>
            <w:vMerge w:val="restart"/>
            <w:tcBorders>
              <w:right w:val="single" w:color="auto" w:sz="4" w:space="0"/>
            </w:tcBorders>
            <w:vAlign w:val="center"/>
          </w:tcPr>
          <w:p>
            <w:pPr>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绩效管理</w:t>
            </w:r>
          </w:p>
        </w:tc>
        <w:tc>
          <w:tcPr>
            <w:tcW w:w="567" w:type="dxa"/>
            <w:vMerge w:val="restart"/>
            <w:tcBorders>
              <w:top w:val="single" w:color="auto" w:sz="4" w:space="0"/>
              <w:lef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17</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目标 管理</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①本单位所有专项、项目资金均实行目标管理的，各2分,每少一个专项、项目的，扣1分，扣完为止；②编制并报送</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年度部门整体支出绩效目标的，2分；③在规定时间内报送、公开以上目标的，2分，否则不得分。</w:t>
            </w:r>
          </w:p>
        </w:tc>
        <w:tc>
          <w:tcPr>
            <w:tcW w:w="3472" w:type="dxa"/>
            <w:vAlign w:val="center"/>
          </w:tcPr>
          <w:p>
            <w:pPr>
              <w:widowControl/>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411" w:type="dxa"/>
            <w:vMerge w:val="continue"/>
            <w:tcBorders>
              <w:top w:val="nil"/>
              <w:bottom w:val="single" w:color="auto" w:sz="4" w:space="0"/>
            </w:tcBorders>
            <w:vAlign w:val="center"/>
          </w:tcPr>
          <w:p>
            <w:pPr>
              <w:widowControl/>
              <w:jc w:val="center"/>
              <w:rPr>
                <w:rFonts w:ascii="仿宋_GB2312" w:hAnsi="宋体" w:eastAsia="仿宋_GB2312" w:cs="宋体"/>
                <w:kern w:val="0"/>
                <w:sz w:val="20"/>
                <w:szCs w:val="20"/>
              </w:rPr>
            </w:pPr>
          </w:p>
        </w:tc>
        <w:tc>
          <w:tcPr>
            <w:tcW w:w="429" w:type="dxa"/>
            <w:vMerge w:val="continue"/>
            <w:tcBorders>
              <w:bottom w:val="single" w:color="auto" w:sz="4" w:space="0"/>
              <w:right w:val="single" w:color="auto" w:sz="4" w:space="0"/>
            </w:tcBorders>
            <w:vAlign w:val="center"/>
          </w:tcPr>
          <w:p>
            <w:pPr>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绩效 评价</w:t>
            </w:r>
          </w:p>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管理</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7</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 w:hAnsi="仿宋" w:eastAsia="仿宋" w:cs="宋体"/>
                <w:kern w:val="0"/>
                <w:sz w:val="20"/>
                <w:szCs w:val="20"/>
              </w:rPr>
              <w:t>①</w:t>
            </w:r>
            <w:r>
              <w:rPr>
                <w:rFonts w:hint="eastAsia" w:ascii="仿宋_GB2312" w:hAnsi="宋体" w:eastAsia="仿宋_GB2312" w:cs="宋体"/>
                <w:kern w:val="0"/>
                <w:sz w:val="20"/>
                <w:szCs w:val="20"/>
              </w:rPr>
              <w:t>开展20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年度专项资金绩效自评的，2分，每少一个专项资金的自评扣1分，扣完为止；</w:t>
            </w:r>
            <w:r>
              <w:rPr>
                <w:rFonts w:hint="eastAsia" w:ascii="仿宋" w:hAnsi="仿宋" w:eastAsia="仿宋" w:cs="宋体"/>
                <w:kern w:val="0"/>
                <w:sz w:val="20"/>
                <w:szCs w:val="20"/>
              </w:rPr>
              <w:t>②</w:t>
            </w:r>
            <w:r>
              <w:rPr>
                <w:rFonts w:hint="eastAsia" w:ascii="仿宋_GB2312" w:hAnsi="宋体" w:eastAsia="仿宋_GB2312" w:cs="宋体"/>
                <w:kern w:val="0"/>
                <w:sz w:val="20"/>
                <w:szCs w:val="20"/>
              </w:rPr>
              <w:t>开展20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年度已完工项目绩效自评的，2分，每少一个项目扣1分，扣完为止；</w:t>
            </w:r>
            <w:r>
              <w:rPr>
                <w:rFonts w:hint="eastAsia" w:ascii="仿宋" w:hAnsi="仿宋" w:eastAsia="仿宋" w:cs="宋体"/>
                <w:kern w:val="0"/>
                <w:sz w:val="20"/>
                <w:szCs w:val="20"/>
              </w:rPr>
              <w:t>③</w:t>
            </w:r>
            <w:r>
              <w:rPr>
                <w:rFonts w:hint="eastAsia" w:ascii="仿宋_GB2312" w:hAnsi="宋体" w:eastAsia="仿宋_GB2312" w:cs="宋体"/>
                <w:kern w:val="0"/>
                <w:sz w:val="20"/>
                <w:szCs w:val="20"/>
              </w:rPr>
              <w:t>开展20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年度部门整体支出绩效自评的，1分；</w:t>
            </w:r>
            <w:r>
              <w:rPr>
                <w:rFonts w:hint="eastAsia" w:ascii="仿宋" w:hAnsi="仿宋" w:eastAsia="仿宋" w:cs="宋体"/>
                <w:kern w:val="0"/>
                <w:sz w:val="20"/>
                <w:szCs w:val="20"/>
              </w:rPr>
              <w:t>④</w:t>
            </w:r>
            <w:r>
              <w:rPr>
                <w:rFonts w:hint="eastAsia" w:ascii="仿宋_GB2312" w:hAnsi="宋体" w:eastAsia="仿宋_GB2312" w:cs="宋体"/>
                <w:kern w:val="0"/>
                <w:sz w:val="20"/>
                <w:szCs w:val="20"/>
              </w:rPr>
              <w:t>在规定时间内报送、公开以上自评报告材料的，2分。</w:t>
            </w:r>
          </w:p>
        </w:tc>
        <w:tc>
          <w:tcPr>
            <w:tcW w:w="3472" w:type="dxa"/>
            <w:vAlign w:val="center"/>
          </w:tcPr>
          <w:p>
            <w:pPr>
              <w:widowControl/>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411" w:type="dxa"/>
            <w:tcBorders>
              <w:top w:val="nil"/>
              <w:bottom w:val="single" w:color="auto" w:sz="4" w:space="0"/>
            </w:tcBorders>
            <w:vAlign w:val="center"/>
          </w:tcPr>
          <w:p>
            <w:pPr>
              <w:widowControl/>
              <w:jc w:val="center"/>
              <w:rPr>
                <w:rFonts w:ascii="仿宋_GB2312" w:hAnsi="宋体" w:eastAsia="仿宋_GB2312" w:cs="宋体"/>
                <w:kern w:val="0"/>
                <w:sz w:val="20"/>
                <w:szCs w:val="20"/>
              </w:rPr>
            </w:pPr>
          </w:p>
        </w:tc>
        <w:tc>
          <w:tcPr>
            <w:tcW w:w="429" w:type="dxa"/>
            <w:tcBorders>
              <w:top w:val="nil"/>
              <w:bottom w:val="single" w:color="auto" w:sz="4" w:space="0"/>
              <w:right w:val="single" w:color="auto" w:sz="4" w:space="0"/>
            </w:tcBorders>
            <w:vAlign w:val="center"/>
          </w:tcPr>
          <w:p>
            <w:pPr>
              <w:jc w:val="center"/>
              <w:rPr>
                <w:rFonts w:hint="eastAsia" w:ascii="仿宋_GB2312" w:hAnsi="宋体" w:eastAsia="仿宋_GB2312" w:cs="宋体"/>
                <w:kern w:val="0"/>
                <w:sz w:val="20"/>
                <w:szCs w:val="20"/>
              </w:rPr>
            </w:pPr>
          </w:p>
        </w:tc>
        <w:tc>
          <w:tcPr>
            <w:tcW w:w="567" w:type="dxa"/>
            <w:tcBorders>
              <w:top w:val="nil"/>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评价 结果 运用</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 w:hAnsi="仿宋" w:eastAsia="仿宋" w:cs="宋体"/>
                <w:sz w:val="20"/>
                <w:szCs w:val="20"/>
              </w:rPr>
            </w:pPr>
            <w:r>
              <w:rPr>
                <w:rFonts w:hint="eastAsia" w:ascii="仿宋_GB2312" w:hAnsi="宋体" w:eastAsia="仿宋_GB2312" w:cs="宋体"/>
                <w:kern w:val="0"/>
                <w:sz w:val="20"/>
                <w:szCs w:val="20"/>
              </w:rPr>
              <w:t>根据20</w:t>
            </w:r>
            <w:r>
              <w:rPr>
                <w:rFonts w:hint="eastAsia" w:ascii="仿宋_GB2312" w:hAnsi="宋体" w:eastAsia="仿宋_GB2312" w:cs="宋体"/>
                <w:kern w:val="0"/>
                <w:sz w:val="20"/>
                <w:szCs w:val="20"/>
                <w:lang w:val="en-US" w:eastAsia="zh-CN"/>
              </w:rPr>
              <w:t>21</w:t>
            </w:r>
            <w:r>
              <w:rPr>
                <w:rFonts w:hint="eastAsia" w:ascii="仿宋_GB2312" w:hAnsi="宋体" w:eastAsia="仿宋_GB2312" w:cs="宋体"/>
                <w:kern w:val="0"/>
                <w:sz w:val="20"/>
                <w:szCs w:val="20"/>
              </w:rPr>
              <w:t>年度财政重点绩效评价和单位自评情况，向财政报送整改结果并整改到位的，2分，否则不得分。</w:t>
            </w:r>
          </w:p>
        </w:tc>
        <w:tc>
          <w:tcPr>
            <w:tcW w:w="3472" w:type="dxa"/>
            <w:vAlign w:val="center"/>
          </w:tcPr>
          <w:p>
            <w:pPr>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411" w:type="dxa"/>
            <w:vMerge w:val="restart"/>
            <w:tcBorders>
              <w:top w:val="single" w:color="auto" w:sz="4" w:space="0"/>
            </w:tcBorders>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   出</w:t>
            </w:r>
          </w:p>
        </w:tc>
        <w:tc>
          <w:tcPr>
            <w:tcW w:w="429" w:type="dxa"/>
            <w:vMerge w:val="restart"/>
            <w:tcBorders>
              <w:top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67" w:type="dxa"/>
            <w:vMerge w:val="restart"/>
            <w:tcBorders>
              <w:top w:val="single" w:color="auto" w:sz="4" w:space="0"/>
              <w:lef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　工作　完成率</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该项得分=重点工作完成率×2</w:t>
            </w:r>
          </w:p>
        </w:tc>
        <w:tc>
          <w:tcPr>
            <w:tcW w:w="3472" w:type="dxa"/>
            <w:vAlign w:val="center"/>
          </w:tcPr>
          <w:p>
            <w:pPr>
              <w:autoSpaceDN w:val="0"/>
              <w:jc w:val="left"/>
              <w:textAlignment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重点工作为市政府确定的为民办实事和部门重点工程与重点工作。</w:t>
            </w:r>
          </w:p>
        </w:tc>
        <w:tc>
          <w:tcPr>
            <w:tcW w:w="617" w:type="dxa"/>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411" w:type="dxa"/>
            <w:vMerge w:val="continue"/>
            <w:tcBorders>
              <w:bottom w:val="single" w:color="auto" w:sz="4" w:space="0"/>
            </w:tcBorders>
            <w:textDirection w:val="tbRlV"/>
            <w:vAlign w:val="center"/>
          </w:tcPr>
          <w:p>
            <w:pPr>
              <w:widowControl/>
              <w:jc w:val="center"/>
              <w:rPr>
                <w:rFonts w:hint="eastAsia" w:ascii="仿宋_GB2312" w:hAnsi="宋体" w:eastAsia="仿宋_GB2312" w:cs="宋体"/>
                <w:kern w:val="0"/>
                <w:sz w:val="20"/>
                <w:szCs w:val="20"/>
              </w:rPr>
            </w:pPr>
          </w:p>
        </w:tc>
        <w:tc>
          <w:tcPr>
            <w:tcW w:w="429" w:type="dxa"/>
            <w:vMerge w:val="continue"/>
            <w:tcBorders>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left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工作</w:t>
            </w:r>
          </w:p>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质量</w:t>
            </w:r>
          </w:p>
        </w:tc>
        <w:tc>
          <w:tcPr>
            <w:tcW w:w="567" w:type="dxa"/>
            <w:vAlign w:val="center"/>
          </w:tcPr>
          <w:p>
            <w:pPr>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3</w:t>
            </w:r>
          </w:p>
        </w:tc>
        <w:tc>
          <w:tcPr>
            <w:tcW w:w="3118" w:type="dxa"/>
            <w:vAlign w:val="center"/>
          </w:tcPr>
          <w:p>
            <w:pPr>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以绩效考核评估结果为标准，优秀，计3分；良好，2分；合格，1分；不合格，0分。</w:t>
            </w:r>
          </w:p>
        </w:tc>
        <w:tc>
          <w:tcPr>
            <w:tcW w:w="3472" w:type="dxa"/>
            <w:vAlign w:val="center"/>
          </w:tcPr>
          <w:p>
            <w:pPr>
              <w:autoSpaceDN w:val="0"/>
              <w:jc w:val="left"/>
              <w:textAlignment w:val="center"/>
              <w:rPr>
                <w:rFonts w:hint="eastAsia" w:ascii="仿宋_GB2312" w:hAnsi="宋体" w:eastAsia="仿宋_GB2312" w:cs="宋体"/>
                <w:kern w:val="0"/>
                <w:sz w:val="20"/>
                <w:szCs w:val="20"/>
              </w:rPr>
            </w:pPr>
          </w:p>
        </w:tc>
        <w:tc>
          <w:tcPr>
            <w:tcW w:w="617" w:type="dxa"/>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411" w:type="dxa"/>
            <w:vMerge w:val="restart"/>
            <w:tcBorders>
              <w:top w:val="single" w:color="auto" w:sz="4" w:space="0"/>
              <w:bottom w:val="single" w:color="auto" w:sz="4" w:space="0"/>
            </w:tcBorders>
            <w:textDirection w:val="tbRlV"/>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效  果</w:t>
            </w:r>
          </w:p>
        </w:tc>
        <w:tc>
          <w:tcPr>
            <w:tcW w:w="429" w:type="dxa"/>
            <w:vMerge w:val="restart"/>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履职效益</w:t>
            </w:r>
          </w:p>
        </w:tc>
        <w:tc>
          <w:tcPr>
            <w:tcW w:w="567" w:type="dxa"/>
            <w:vMerge w:val="restart"/>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经济  效益</w:t>
            </w:r>
          </w:p>
        </w:tc>
        <w:tc>
          <w:tcPr>
            <w:tcW w:w="567" w:type="dxa"/>
            <w:vMerge w:val="restart"/>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6590" w:type="dxa"/>
            <w:gridSpan w:val="2"/>
            <w:vMerge w:val="restart"/>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此三项指标可根据部门实际并结合</w:t>
            </w:r>
            <w:r>
              <w:rPr>
                <w:rFonts w:hint="eastAsia" w:ascii="仿宋_GB2312" w:hAnsi="宋体" w:eastAsia="仿宋_GB2312" w:cs="宋体"/>
                <w:kern w:val="0"/>
                <w:sz w:val="20"/>
                <w:szCs w:val="20"/>
                <w:lang w:eastAsia="zh-CN"/>
              </w:rPr>
              <w:t>2021</w:t>
            </w:r>
            <w:r>
              <w:rPr>
                <w:rFonts w:hint="eastAsia" w:ascii="仿宋_GB2312" w:hAnsi="宋体" w:eastAsia="仿宋_GB2312" w:cs="宋体"/>
                <w:kern w:val="0"/>
                <w:sz w:val="20"/>
                <w:szCs w:val="20"/>
              </w:rPr>
              <w:t>年度部门整体支出绩效目标设立情况有选择的进行评价。</w:t>
            </w:r>
          </w:p>
        </w:tc>
        <w:tc>
          <w:tcPr>
            <w:tcW w:w="617" w:type="dxa"/>
            <w:vMerge w:val="restart"/>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11" w:type="dxa"/>
            <w:vMerge w:val="continue"/>
            <w:tcBorders>
              <w:top w:val="single" w:color="auto" w:sz="4" w:space="0"/>
              <w:bottom w:val="single" w:color="auto" w:sz="4" w:space="0"/>
            </w:tcBorders>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  效益</w:t>
            </w:r>
          </w:p>
        </w:tc>
        <w:tc>
          <w:tcPr>
            <w:tcW w:w="567" w:type="dxa"/>
            <w:vMerge w:val="continue"/>
            <w:vAlign w:val="center"/>
          </w:tcPr>
          <w:p>
            <w:pPr>
              <w:widowControl/>
              <w:jc w:val="both"/>
              <w:rPr>
                <w:rFonts w:hint="eastAsia" w:ascii="仿宋_GB2312" w:hAnsi="宋体" w:eastAsia="仿宋_GB2312" w:cs="宋体"/>
                <w:kern w:val="0"/>
                <w:sz w:val="20"/>
                <w:szCs w:val="20"/>
              </w:rPr>
            </w:pPr>
          </w:p>
        </w:tc>
        <w:tc>
          <w:tcPr>
            <w:tcW w:w="6590" w:type="dxa"/>
            <w:gridSpan w:val="2"/>
            <w:vMerge w:val="continue"/>
            <w:vAlign w:val="center"/>
          </w:tcPr>
          <w:p>
            <w:pPr>
              <w:widowControl/>
              <w:jc w:val="left"/>
              <w:rPr>
                <w:rFonts w:hint="eastAsia" w:ascii="仿宋_GB2312" w:hAnsi="宋体" w:eastAsia="仿宋_GB2312" w:cs="宋体"/>
                <w:kern w:val="0"/>
                <w:sz w:val="20"/>
                <w:szCs w:val="20"/>
              </w:rPr>
            </w:pPr>
          </w:p>
        </w:tc>
        <w:tc>
          <w:tcPr>
            <w:tcW w:w="617" w:type="dxa"/>
            <w:vMerge w:val="continue"/>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411" w:type="dxa"/>
            <w:vMerge w:val="continue"/>
            <w:tcBorders>
              <w:top w:val="single" w:color="auto" w:sz="4" w:space="0"/>
              <w:bottom w:val="single" w:color="auto" w:sz="4" w:space="0"/>
            </w:tcBorders>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生态  效益</w:t>
            </w:r>
          </w:p>
        </w:tc>
        <w:tc>
          <w:tcPr>
            <w:tcW w:w="567" w:type="dxa"/>
            <w:vMerge w:val="continue"/>
            <w:vAlign w:val="center"/>
          </w:tcPr>
          <w:p>
            <w:pPr>
              <w:widowControl/>
              <w:jc w:val="both"/>
              <w:rPr>
                <w:rFonts w:hint="eastAsia" w:ascii="仿宋_GB2312" w:hAnsi="宋体" w:eastAsia="仿宋_GB2312" w:cs="宋体"/>
                <w:kern w:val="0"/>
                <w:sz w:val="20"/>
                <w:szCs w:val="20"/>
              </w:rPr>
            </w:pPr>
          </w:p>
        </w:tc>
        <w:tc>
          <w:tcPr>
            <w:tcW w:w="6590" w:type="dxa"/>
            <w:gridSpan w:val="2"/>
            <w:vMerge w:val="continue"/>
            <w:vAlign w:val="center"/>
          </w:tcPr>
          <w:p>
            <w:pPr>
              <w:widowControl/>
              <w:jc w:val="left"/>
              <w:rPr>
                <w:rFonts w:hint="eastAsia" w:ascii="仿宋_GB2312" w:hAnsi="宋体" w:eastAsia="仿宋_GB2312" w:cs="宋体"/>
                <w:kern w:val="0"/>
                <w:sz w:val="20"/>
                <w:szCs w:val="20"/>
              </w:rPr>
            </w:pPr>
          </w:p>
        </w:tc>
        <w:tc>
          <w:tcPr>
            <w:tcW w:w="617" w:type="dxa"/>
            <w:vMerge w:val="continue"/>
            <w:vAlign w:val="center"/>
          </w:tcPr>
          <w:p>
            <w:pPr>
              <w:widowControl/>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11" w:type="dxa"/>
            <w:vMerge w:val="continue"/>
            <w:tcBorders>
              <w:top w:val="single" w:color="auto" w:sz="4" w:space="0"/>
              <w:bottom w:val="single" w:color="auto" w:sz="4" w:space="0"/>
            </w:tcBorders>
            <w:vAlign w:val="center"/>
          </w:tcPr>
          <w:p>
            <w:pPr>
              <w:widowControl/>
              <w:jc w:val="center"/>
              <w:rPr>
                <w:rFonts w:ascii="仿宋_GB2312" w:hAnsi="宋体" w:eastAsia="仿宋_GB2312" w:cs="宋体"/>
                <w:kern w:val="0"/>
                <w:sz w:val="20"/>
                <w:szCs w:val="20"/>
              </w:rPr>
            </w:pPr>
          </w:p>
        </w:tc>
        <w:tc>
          <w:tcPr>
            <w:tcW w:w="429"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567" w:type="dxa"/>
            <w:vMerge w:val="continue"/>
            <w:tcBorders>
              <w:top w:val="single" w:color="auto" w:sz="4" w:space="0"/>
              <w:bottom w:val="single" w:color="auto" w:sz="4" w:space="0"/>
            </w:tcBorders>
            <w:vAlign w:val="center"/>
          </w:tcPr>
          <w:p>
            <w:pPr>
              <w:widowControl/>
              <w:jc w:val="center"/>
              <w:rPr>
                <w:rFonts w:hint="eastAsia" w:ascii="仿宋_GB2312" w:hAnsi="宋体" w:eastAsia="仿宋_GB2312" w:cs="宋体"/>
                <w:kern w:val="0"/>
                <w:sz w:val="20"/>
                <w:szCs w:val="20"/>
              </w:rPr>
            </w:pPr>
          </w:p>
        </w:tc>
        <w:tc>
          <w:tcPr>
            <w:tcW w:w="851"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67" w:type="dxa"/>
            <w:vAlign w:val="center"/>
          </w:tcPr>
          <w:p>
            <w:pPr>
              <w:widowControl/>
              <w:jc w:val="both"/>
              <w:rPr>
                <w:rFonts w:hint="eastAsia"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3118"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90%（含）以上计2分；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80%（含）-90%，计1分；70%（含）-80%，计0.5分；低于70%,计0分。</w:t>
            </w:r>
          </w:p>
        </w:tc>
        <w:tc>
          <w:tcPr>
            <w:tcW w:w="3472" w:type="dxa"/>
            <w:vAlign w:val="center"/>
          </w:tcPr>
          <w:p>
            <w:pPr>
              <w:widowControl/>
              <w:jc w:val="left"/>
              <w:rPr>
                <w:rFonts w:hint="eastAsia"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社会公众或服务对象是指部门（单位）履行职责而影响到的部门，群体或个人，一般采取社会调查的方式(不少于30份)。</w:t>
            </w: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40" w:type="dxa"/>
            <w:gridSpan w:val="2"/>
            <w:vAlign w:val="center"/>
          </w:tcPr>
          <w:p>
            <w:pPr>
              <w:widowControl/>
              <w:jc w:val="center"/>
              <w:rPr>
                <w:rFonts w:hint="eastAsia" w:ascii="仿宋_GB2312" w:hAnsi="宋体" w:eastAsia="仿宋_GB2312" w:cs="宋体"/>
                <w:kern w:val="0"/>
                <w:sz w:val="22"/>
                <w:szCs w:val="22"/>
              </w:rPr>
            </w:pPr>
            <w:r>
              <w:rPr>
                <w:rFonts w:hint="eastAsia" w:ascii="仿宋_GB2312" w:hAnsi="宋体" w:eastAsia="仿宋_GB2312" w:cs="宋体"/>
                <w:kern w:val="0"/>
                <w:sz w:val="22"/>
                <w:szCs w:val="22"/>
              </w:rPr>
              <w:t>合计</w:t>
            </w:r>
          </w:p>
        </w:tc>
        <w:tc>
          <w:tcPr>
            <w:tcW w:w="8575" w:type="dxa"/>
            <w:gridSpan w:val="5"/>
            <w:vAlign w:val="center"/>
          </w:tcPr>
          <w:p>
            <w:pPr>
              <w:widowControl/>
              <w:jc w:val="left"/>
              <w:rPr>
                <w:rFonts w:hint="eastAsia" w:ascii="仿宋_GB2312" w:hAnsi="宋体" w:eastAsia="仿宋_GB2312" w:cs="宋体"/>
                <w:kern w:val="0"/>
                <w:sz w:val="20"/>
                <w:szCs w:val="20"/>
              </w:rPr>
            </w:pPr>
          </w:p>
        </w:tc>
        <w:tc>
          <w:tcPr>
            <w:tcW w:w="617" w:type="dxa"/>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90</w:t>
            </w:r>
          </w:p>
        </w:tc>
      </w:tr>
    </w:tbl>
    <w:p>
      <w:pPr>
        <w:spacing w:line="600" w:lineRule="exact"/>
        <w:rPr>
          <w:rFonts w:ascii="宋体" w:hAnsi="宋体" w:cs="宋体"/>
          <w:kern w:val="0"/>
          <w:sz w:val="32"/>
          <w:szCs w:val="32"/>
        </w:rPr>
      </w:pPr>
    </w:p>
    <w:p/>
    <w:p>
      <w:pPr>
        <w:pStyle w:val="3"/>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E7161"/>
    <w:multiLevelType w:val="singleLevel"/>
    <w:tmpl w:val="A71E7161"/>
    <w:lvl w:ilvl="0" w:tentative="0">
      <w:start w:val="2"/>
      <w:numFmt w:val="chineseCounting"/>
      <w:suff w:val="nothing"/>
      <w:lvlText w:val="（%1）"/>
      <w:lvlJc w:val="left"/>
      <w:rPr>
        <w:rFonts w:hint="eastAsia"/>
      </w:rPr>
    </w:lvl>
  </w:abstractNum>
  <w:abstractNum w:abstractNumId="1">
    <w:nsid w:val="AA82F546"/>
    <w:multiLevelType w:val="singleLevel"/>
    <w:tmpl w:val="AA82F546"/>
    <w:lvl w:ilvl="0" w:tentative="0">
      <w:start w:val="1"/>
      <w:numFmt w:val="decimal"/>
      <w:suff w:val="nothing"/>
      <w:lvlText w:val="%1、"/>
      <w:lvlJc w:val="left"/>
    </w:lvl>
  </w:abstractNum>
  <w:abstractNum w:abstractNumId="2">
    <w:nsid w:val="47A77A8D"/>
    <w:multiLevelType w:val="singleLevel"/>
    <w:tmpl w:val="47A77A8D"/>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OGMzM2Y1OWYzYzdhMzQ0ZjU5ZmZlZjYzN2FhNzYifQ=="/>
  </w:docVars>
  <w:rsids>
    <w:rsidRoot w:val="00000000"/>
    <w:rsid w:val="00554C33"/>
    <w:rsid w:val="006D6F3B"/>
    <w:rsid w:val="00D51644"/>
    <w:rsid w:val="025D08EA"/>
    <w:rsid w:val="02A74CAA"/>
    <w:rsid w:val="02AE7D30"/>
    <w:rsid w:val="038872BA"/>
    <w:rsid w:val="0401638F"/>
    <w:rsid w:val="05213482"/>
    <w:rsid w:val="06FD0684"/>
    <w:rsid w:val="09E17252"/>
    <w:rsid w:val="0C9F6413"/>
    <w:rsid w:val="0D5E3707"/>
    <w:rsid w:val="10B70E37"/>
    <w:rsid w:val="11E84674"/>
    <w:rsid w:val="11FD2BEE"/>
    <w:rsid w:val="126C42B4"/>
    <w:rsid w:val="17042185"/>
    <w:rsid w:val="17546308"/>
    <w:rsid w:val="17B648CC"/>
    <w:rsid w:val="17DD6E2C"/>
    <w:rsid w:val="18FB06F6"/>
    <w:rsid w:val="191A5DFC"/>
    <w:rsid w:val="1AED7481"/>
    <w:rsid w:val="1D9A1B96"/>
    <w:rsid w:val="1F010C8F"/>
    <w:rsid w:val="20F63895"/>
    <w:rsid w:val="21A92AB0"/>
    <w:rsid w:val="22030E7C"/>
    <w:rsid w:val="22502017"/>
    <w:rsid w:val="2268661C"/>
    <w:rsid w:val="23BE3486"/>
    <w:rsid w:val="25F11D34"/>
    <w:rsid w:val="26166273"/>
    <w:rsid w:val="276A25B5"/>
    <w:rsid w:val="282D2052"/>
    <w:rsid w:val="283A2AB0"/>
    <w:rsid w:val="28565BEC"/>
    <w:rsid w:val="2ADF1D1C"/>
    <w:rsid w:val="2B032004"/>
    <w:rsid w:val="2C3A1B18"/>
    <w:rsid w:val="2C7529D1"/>
    <w:rsid w:val="2D6C05C8"/>
    <w:rsid w:val="2DB256DE"/>
    <w:rsid w:val="2F064022"/>
    <w:rsid w:val="3619015E"/>
    <w:rsid w:val="36334246"/>
    <w:rsid w:val="36E22B02"/>
    <w:rsid w:val="375C4F25"/>
    <w:rsid w:val="37A26170"/>
    <w:rsid w:val="37AC5E54"/>
    <w:rsid w:val="38AF35DE"/>
    <w:rsid w:val="38F247D2"/>
    <w:rsid w:val="3A365ACD"/>
    <w:rsid w:val="3A4B20C9"/>
    <w:rsid w:val="3B9303B2"/>
    <w:rsid w:val="3C5D6B3D"/>
    <w:rsid w:val="3C8416D7"/>
    <w:rsid w:val="3D1D5E40"/>
    <w:rsid w:val="3FAB09ED"/>
    <w:rsid w:val="424722F5"/>
    <w:rsid w:val="44AF5D78"/>
    <w:rsid w:val="45833892"/>
    <w:rsid w:val="45CB4E15"/>
    <w:rsid w:val="462F1B6A"/>
    <w:rsid w:val="47D12ED9"/>
    <w:rsid w:val="492E7EB7"/>
    <w:rsid w:val="49F7299F"/>
    <w:rsid w:val="4A4754D4"/>
    <w:rsid w:val="4ACA7AAB"/>
    <w:rsid w:val="4B991F60"/>
    <w:rsid w:val="4BDD74EA"/>
    <w:rsid w:val="4C455C43"/>
    <w:rsid w:val="4C76548C"/>
    <w:rsid w:val="4D113C42"/>
    <w:rsid w:val="4E58558A"/>
    <w:rsid w:val="4F3501F1"/>
    <w:rsid w:val="4FB97D79"/>
    <w:rsid w:val="514A0D2E"/>
    <w:rsid w:val="52C04276"/>
    <w:rsid w:val="53202F66"/>
    <w:rsid w:val="54517DF8"/>
    <w:rsid w:val="55C776C9"/>
    <w:rsid w:val="575435C3"/>
    <w:rsid w:val="58CA4CA4"/>
    <w:rsid w:val="59A70B1E"/>
    <w:rsid w:val="59E60318"/>
    <w:rsid w:val="59E6787C"/>
    <w:rsid w:val="5C8E7193"/>
    <w:rsid w:val="5CBC5F90"/>
    <w:rsid w:val="5E6D1153"/>
    <w:rsid w:val="5F83500A"/>
    <w:rsid w:val="60745B56"/>
    <w:rsid w:val="611076B5"/>
    <w:rsid w:val="61371BA7"/>
    <w:rsid w:val="641F097E"/>
    <w:rsid w:val="65236940"/>
    <w:rsid w:val="65C43C25"/>
    <w:rsid w:val="664A41B0"/>
    <w:rsid w:val="66D16D4F"/>
    <w:rsid w:val="66FE6113"/>
    <w:rsid w:val="6768407F"/>
    <w:rsid w:val="69416152"/>
    <w:rsid w:val="6B874FA2"/>
    <w:rsid w:val="6C3C4515"/>
    <w:rsid w:val="6C6B54E9"/>
    <w:rsid w:val="6CB322FE"/>
    <w:rsid w:val="6FD52562"/>
    <w:rsid w:val="70246EC1"/>
    <w:rsid w:val="70514092"/>
    <w:rsid w:val="70852420"/>
    <w:rsid w:val="71881FAB"/>
    <w:rsid w:val="722B120E"/>
    <w:rsid w:val="72BF541A"/>
    <w:rsid w:val="72DA6836"/>
    <w:rsid w:val="73125FD0"/>
    <w:rsid w:val="734F209E"/>
    <w:rsid w:val="76DC35F5"/>
    <w:rsid w:val="7832658D"/>
    <w:rsid w:val="79074D5F"/>
    <w:rsid w:val="7A21330E"/>
    <w:rsid w:val="7AF745AA"/>
    <w:rsid w:val="7B7D06A6"/>
    <w:rsid w:val="7BA62A3A"/>
    <w:rsid w:val="7CF23984"/>
    <w:rsid w:val="7D3D1E9B"/>
    <w:rsid w:val="7D5055C7"/>
    <w:rsid w:val="7DA26C81"/>
    <w:rsid w:val="7EEE7268"/>
    <w:rsid w:val="7F066102"/>
    <w:rsid w:val="7FF0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Indent"/>
    <w:basedOn w:val="1"/>
    <w:semiHidden/>
    <w:qFormat/>
    <w:uiPriority w:val="99"/>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semiHidden/>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2394</Words>
  <Characters>2540</Characters>
  <Lines>0</Lines>
  <Paragraphs>0</Paragraphs>
  <TotalTime>0</TotalTime>
  <ScaleCrop>false</ScaleCrop>
  <LinksUpToDate>false</LinksUpToDate>
  <CharactersWithSpaces>2541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2022-06-28T09:10:00Z</dcterms:created>
  <dc:creator>Administrator</dc:creator>
  <cp:lastModifiedBy>Administrator</cp:lastModifiedBy>
  <dcterms:modified xsi:type="dcterms:W3CDTF">2023-12-13T09:13:04Z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E5E4E8AA4B8D49FC88B6B1302C888163_13</vt:lpwstr>
  </property>
</Properties>
</file>