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ind w:left="0" w:leftChars="0" w:firstLine="0" w:firstLineChars="0"/>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ind w:firstLine="1320" w:firstLineChars="300"/>
        <w:jc w:val="both"/>
        <w:textAlignment w:val="auto"/>
        <w:outlineLvl w:val="9"/>
        <w:rPr>
          <w:rFonts w:hint="eastAsia"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w:t>
      </w:r>
      <w:r>
        <w:rPr>
          <w:rFonts w:hint="eastAsia" w:eastAsia="方正小标宋_GBK" w:cs="Times New Roman"/>
          <w:b w:val="0"/>
          <w:bCs w:val="0"/>
          <w:sz w:val="44"/>
          <w:szCs w:val="44"/>
          <w:lang w:val="en-US" w:eastAsia="zh-CN"/>
        </w:rPr>
        <w:t>供销合作联合社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7"/>
      </w:pPr>
    </w:p>
    <w:p>
      <w:pPr>
        <w:pStyle w:val="7"/>
      </w:pPr>
    </w:p>
    <w:p>
      <w:pPr>
        <w:pStyle w:val="23"/>
        <w:rPr>
          <w:rFonts w:ascii="宋体" w:hAnsi="宋体" w:eastAsia="宋体" w:cs="宋体"/>
          <w:spacing w:val="-8"/>
          <w:sz w:val="43"/>
          <w:szCs w:val="43"/>
          <w14:textOutline w14:w="7810"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b/>
          <w:bCs/>
          <w:sz w:val="30"/>
          <w:szCs w:val="30"/>
        </w:rPr>
      </w:pPr>
    </w:p>
    <w:p>
      <w:pPr>
        <w:pStyle w:val="24"/>
        <w:ind w:left="0" w:leftChars="0" w:firstLine="0" w:firstLineChars="0"/>
        <w:rPr>
          <w:rFonts w:hint="eastAsia" w:ascii="仿宋" w:hAnsi="仿宋" w:eastAsia="仿宋"/>
          <w:b/>
          <w:bCs/>
          <w:sz w:val="30"/>
          <w:szCs w:val="30"/>
        </w:rPr>
      </w:pPr>
    </w:p>
    <w:p>
      <w:pPr>
        <w:pStyle w:val="24"/>
        <w:ind w:left="0" w:leftChars="0" w:firstLine="0" w:firstLineChars="0"/>
        <w:rPr>
          <w:rFonts w:hint="eastAsia" w:ascii="仿宋" w:hAnsi="仿宋" w:eastAsia="仿宋"/>
          <w:b/>
          <w:bCs/>
          <w:sz w:val="30"/>
          <w:szCs w:val="30"/>
        </w:rPr>
      </w:pPr>
    </w:p>
    <w:p>
      <w:pPr>
        <w:pStyle w:val="24"/>
        <w:ind w:left="0" w:leftChars="0" w:firstLine="0" w:firstLineChars="0"/>
        <w:rPr>
          <w:rFonts w:hint="eastAsia" w:ascii="仿宋" w:hAnsi="仿宋" w:eastAsia="仿宋"/>
          <w:b/>
          <w:bCs/>
          <w:sz w:val="30"/>
          <w:szCs w:val="30"/>
        </w:rPr>
      </w:pPr>
    </w:p>
    <w:p>
      <w:pPr>
        <w:pStyle w:val="24"/>
        <w:ind w:left="0" w:leftChars="0" w:firstLine="0" w:firstLineChars="0"/>
        <w:rPr>
          <w:rFonts w:hint="eastAsia" w:ascii="仿宋" w:hAnsi="仿宋" w:eastAsia="仿宋"/>
          <w:b/>
          <w:bCs/>
          <w:sz w:val="30"/>
          <w:szCs w:val="30"/>
        </w:rPr>
      </w:pPr>
    </w:p>
    <w:p>
      <w:pPr>
        <w:pStyle w:val="24"/>
        <w:ind w:left="0" w:leftChars="0" w:firstLine="0" w:firstLineChars="0"/>
        <w:rPr>
          <w:rFonts w:hint="eastAsia" w:ascii="仿宋" w:hAnsi="仿宋" w:eastAsia="仿宋"/>
          <w:b/>
          <w:bCs/>
          <w:sz w:val="30"/>
          <w:szCs w:val="30"/>
        </w:rPr>
      </w:pPr>
    </w:p>
    <w:p>
      <w:pPr>
        <w:pStyle w:val="24"/>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after="313" w:afterLines="100" w:line="360" w:lineRule="auto"/>
        <w:ind w:left="0" w:right="0" w:rightChars="0" w:firstLine="0" w:firstLineChars="0"/>
        <w:jc w:val="center"/>
        <w:textAlignment w:val="auto"/>
        <w:outlineLvl w:val="9"/>
        <w:rPr>
          <w:rFonts w:hint="eastAsia" w:ascii="仿宋" w:hAnsi="仿宋" w:eastAsia="仿宋" w:cs="仿宋"/>
          <w:b/>
          <w:bCs/>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32"/>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1"/>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_Toc16976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一、单位基本情况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_Toc16976 \h </w:instrText>
          </w:r>
          <w:r>
            <w:rPr>
              <w:rFonts w:hint="default" w:ascii="Times New Roman" w:hAnsi="Times New Roman" w:eastAsia="仿宋" w:cs="Times New Roman"/>
            </w:rPr>
            <w:fldChar w:fldCharType="separate"/>
          </w:r>
          <w:r>
            <w:rPr>
              <w:rFonts w:hint="default" w:ascii="Times New Roman" w:hAnsi="Times New Roman" w:eastAsia="仿宋" w:cs="Times New Roman"/>
            </w:rPr>
            <w:t>2</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_Toc794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（一）部门概况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_Toc794 \h </w:instrText>
          </w:r>
          <w:r>
            <w:rPr>
              <w:rFonts w:hint="default" w:ascii="Times New Roman" w:hAnsi="Times New Roman" w:eastAsia="仿宋" w:cs="Times New Roman"/>
            </w:rPr>
            <w:fldChar w:fldCharType="separate"/>
          </w:r>
          <w:r>
            <w:rPr>
              <w:rFonts w:hint="default" w:ascii="Times New Roman" w:hAnsi="Times New Roman" w:eastAsia="仿宋" w:cs="Times New Roman"/>
            </w:rPr>
            <w:t>2</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_Toc1630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（二）主要职责</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_Toc1630 \h </w:instrText>
          </w:r>
          <w:r>
            <w:rPr>
              <w:rFonts w:hint="default" w:ascii="Times New Roman" w:hAnsi="Times New Roman" w:eastAsia="仿宋" w:cs="Times New Roman"/>
            </w:rPr>
            <w:fldChar w:fldCharType="separate"/>
          </w:r>
          <w:r>
            <w:rPr>
              <w:rFonts w:hint="default" w:ascii="Times New Roman" w:hAnsi="Times New Roman" w:eastAsia="仿宋" w:cs="Times New Roman"/>
            </w:rPr>
            <w:t>2</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_Toc23260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（三）人员情况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_Toc23260 \h </w:instrText>
          </w:r>
          <w:r>
            <w:rPr>
              <w:rFonts w:hint="default" w:ascii="Times New Roman" w:hAnsi="Times New Roman" w:eastAsia="仿宋" w:cs="Times New Roman"/>
            </w:rPr>
            <w:fldChar w:fldCharType="separate"/>
          </w:r>
          <w:r>
            <w:rPr>
              <w:rFonts w:hint="default" w:ascii="Times New Roman" w:hAnsi="Times New Roman" w:eastAsia="仿宋" w:cs="Times New Roman"/>
            </w:rPr>
            <w:t>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_Toc29940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二、部门整体收支情况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_Toc29940 \h </w:instrText>
          </w:r>
          <w:r>
            <w:rPr>
              <w:rFonts w:hint="default" w:ascii="Times New Roman" w:hAnsi="Times New Roman" w:eastAsia="仿宋" w:cs="Times New Roman"/>
            </w:rPr>
            <w:fldChar w:fldCharType="separate"/>
          </w:r>
          <w:r>
            <w:rPr>
              <w:rFonts w:hint="default" w:ascii="Times New Roman" w:hAnsi="Times New Roman" w:eastAsia="仿宋" w:cs="Times New Roman"/>
            </w:rPr>
            <w:t>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_Toc2212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（一）资金收入情况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_Toc2212 \h </w:instrText>
          </w:r>
          <w:r>
            <w:rPr>
              <w:rFonts w:hint="default" w:ascii="Times New Roman" w:hAnsi="Times New Roman" w:eastAsia="仿宋" w:cs="Times New Roman"/>
            </w:rPr>
            <w:fldChar w:fldCharType="separate"/>
          </w:r>
          <w:r>
            <w:rPr>
              <w:rFonts w:hint="default" w:ascii="Times New Roman" w:hAnsi="Times New Roman" w:eastAsia="仿宋" w:cs="Times New Roman"/>
            </w:rPr>
            <w:t>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_Toc19670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（二）资金使用情况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_Toc19670 \h </w:instrText>
          </w:r>
          <w:r>
            <w:rPr>
              <w:rFonts w:hint="default" w:ascii="Times New Roman" w:hAnsi="Times New Roman" w:eastAsia="仿宋" w:cs="Times New Roman"/>
            </w:rPr>
            <w:fldChar w:fldCharType="separate"/>
          </w:r>
          <w:r>
            <w:rPr>
              <w:rFonts w:hint="default" w:ascii="Times New Roman" w:hAnsi="Times New Roman" w:eastAsia="仿宋" w:cs="Times New Roman"/>
            </w:rPr>
            <w:t>3</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_Toc31287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（三）资金管理情况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_Toc31287 \h </w:instrText>
          </w:r>
          <w:r>
            <w:rPr>
              <w:rFonts w:hint="default" w:ascii="Times New Roman" w:hAnsi="Times New Roman" w:eastAsia="仿宋" w:cs="Times New Roman"/>
            </w:rPr>
            <w:fldChar w:fldCharType="separate"/>
          </w:r>
          <w:r>
            <w:rPr>
              <w:rFonts w:hint="default" w:ascii="Times New Roman" w:hAnsi="Times New Roman" w:eastAsia="仿宋" w:cs="Times New Roman"/>
            </w:rPr>
            <w:t>4</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_Toc28806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三、制度建设情况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_Toc28806 \h </w:instrText>
          </w:r>
          <w:r>
            <w:rPr>
              <w:rFonts w:hint="default" w:ascii="Times New Roman" w:hAnsi="Times New Roman" w:eastAsia="仿宋" w:cs="Times New Roman"/>
            </w:rPr>
            <w:fldChar w:fldCharType="separate"/>
          </w:r>
          <w:r>
            <w:rPr>
              <w:rFonts w:hint="default" w:ascii="Times New Roman" w:hAnsi="Times New Roman" w:eastAsia="仿宋" w:cs="Times New Roman"/>
            </w:rPr>
            <w:t>5</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_Toc13104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（一）内控制度建设情况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_Toc13104 \h </w:instrText>
          </w:r>
          <w:r>
            <w:rPr>
              <w:rFonts w:hint="default" w:ascii="Times New Roman" w:hAnsi="Times New Roman" w:eastAsia="仿宋" w:cs="Times New Roman"/>
            </w:rPr>
            <w:fldChar w:fldCharType="separate"/>
          </w:r>
          <w:r>
            <w:rPr>
              <w:rFonts w:hint="default" w:ascii="Times New Roman" w:hAnsi="Times New Roman" w:eastAsia="仿宋" w:cs="Times New Roman"/>
            </w:rPr>
            <w:t>5</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_Toc22433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（二）资产管理制度建设及执行情况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_Toc22433 \h </w:instrText>
          </w:r>
          <w:r>
            <w:rPr>
              <w:rFonts w:hint="default" w:ascii="Times New Roman" w:hAnsi="Times New Roman" w:eastAsia="仿宋" w:cs="Times New Roman"/>
            </w:rPr>
            <w:fldChar w:fldCharType="separate"/>
          </w:r>
          <w:r>
            <w:rPr>
              <w:rFonts w:hint="default" w:ascii="Times New Roman" w:hAnsi="Times New Roman" w:eastAsia="仿宋" w:cs="Times New Roman"/>
            </w:rPr>
            <w:t>5</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_Toc19825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（三）政府采购制度建设情况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_Toc19825 \h </w:instrText>
          </w:r>
          <w:r>
            <w:rPr>
              <w:rFonts w:hint="default" w:ascii="Times New Roman" w:hAnsi="Times New Roman" w:eastAsia="仿宋" w:cs="Times New Roman"/>
            </w:rPr>
            <w:fldChar w:fldCharType="separate"/>
          </w:r>
          <w:r>
            <w:rPr>
              <w:rFonts w:hint="default" w:ascii="Times New Roman" w:hAnsi="Times New Roman" w:eastAsia="仿宋" w:cs="Times New Roman"/>
            </w:rPr>
            <w:t>5</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_Toc2379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四、第三方重点绩效评价工作情况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_Toc2379 \h </w:instrText>
          </w:r>
          <w:r>
            <w:rPr>
              <w:rFonts w:hint="default" w:ascii="Times New Roman" w:hAnsi="Times New Roman" w:eastAsia="仿宋" w:cs="Times New Roman"/>
            </w:rPr>
            <w:fldChar w:fldCharType="separate"/>
          </w:r>
          <w:r>
            <w:rPr>
              <w:rFonts w:hint="default" w:ascii="Times New Roman" w:hAnsi="Times New Roman" w:eastAsia="仿宋" w:cs="Times New Roman"/>
            </w:rPr>
            <w:t>5</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_Toc27085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（一）重点绩效评价目的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_Toc27085 \h </w:instrText>
          </w:r>
          <w:r>
            <w:rPr>
              <w:rFonts w:hint="default" w:ascii="Times New Roman" w:hAnsi="Times New Roman" w:eastAsia="仿宋" w:cs="Times New Roman"/>
            </w:rPr>
            <w:fldChar w:fldCharType="separate"/>
          </w:r>
          <w:r>
            <w:rPr>
              <w:rFonts w:hint="default" w:ascii="Times New Roman" w:hAnsi="Times New Roman" w:eastAsia="仿宋" w:cs="Times New Roman"/>
            </w:rPr>
            <w:t>5</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_Toc2115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（二）重点绩效评价工作过程</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_Toc2115 \h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_Toc14430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五、部门整体支出绩效情况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_Toc14430 \h </w:instrText>
          </w:r>
          <w:r>
            <w:rPr>
              <w:rFonts w:hint="default" w:ascii="Times New Roman" w:hAnsi="Times New Roman" w:eastAsia="仿宋" w:cs="Times New Roman"/>
            </w:rPr>
            <w:fldChar w:fldCharType="separate"/>
          </w:r>
          <w:r>
            <w:rPr>
              <w:rFonts w:hint="default" w:ascii="Times New Roman" w:hAnsi="Times New Roman" w:eastAsia="仿宋" w:cs="Times New Roman"/>
            </w:rPr>
            <w:t>7</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_Toc25417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（一）部门整体实际产出情况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_Toc25417 \h </w:instrText>
          </w:r>
          <w:r>
            <w:rPr>
              <w:rFonts w:hint="default" w:ascii="Times New Roman" w:hAnsi="Times New Roman" w:eastAsia="仿宋" w:cs="Times New Roman"/>
            </w:rPr>
            <w:fldChar w:fldCharType="separate"/>
          </w:r>
          <w:r>
            <w:rPr>
              <w:rFonts w:hint="default" w:ascii="Times New Roman" w:hAnsi="Times New Roman" w:eastAsia="仿宋" w:cs="Times New Roman"/>
            </w:rPr>
            <w:t>7</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_Toc22465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（二）部门整体效益情况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_Toc22465 \h </w:instrText>
          </w:r>
          <w:r>
            <w:rPr>
              <w:rFonts w:hint="default" w:ascii="Times New Roman" w:hAnsi="Times New Roman" w:eastAsia="仿宋" w:cs="Times New Roman"/>
            </w:rPr>
            <w:fldChar w:fldCharType="separate"/>
          </w:r>
          <w:r>
            <w:rPr>
              <w:rFonts w:hint="default" w:ascii="Times New Roman" w:hAnsi="Times New Roman" w:eastAsia="仿宋" w:cs="Times New Roman"/>
            </w:rPr>
            <w:t>7</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_Toc26078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（三）部门整体满意度</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_Toc26078 \h </w:instrText>
          </w:r>
          <w:r>
            <w:rPr>
              <w:rFonts w:hint="default" w:ascii="Times New Roman" w:hAnsi="Times New Roman" w:eastAsia="仿宋" w:cs="Times New Roman"/>
            </w:rPr>
            <w:fldChar w:fldCharType="separate"/>
          </w:r>
          <w:r>
            <w:rPr>
              <w:rFonts w:hint="default" w:ascii="Times New Roman" w:hAnsi="Times New Roman" w:eastAsia="仿宋" w:cs="Times New Roman"/>
            </w:rPr>
            <w:t>9</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_Toc22377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六、综合评价情况及评价结论</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_Toc22377 \h </w:instrText>
          </w:r>
          <w:r>
            <w:rPr>
              <w:rFonts w:hint="default" w:ascii="Times New Roman" w:hAnsi="Times New Roman" w:eastAsia="仿宋" w:cs="Times New Roman"/>
            </w:rPr>
            <w:fldChar w:fldCharType="separate"/>
          </w:r>
          <w:r>
            <w:rPr>
              <w:rFonts w:hint="default" w:ascii="Times New Roman" w:hAnsi="Times New Roman" w:eastAsia="仿宋" w:cs="Times New Roman"/>
            </w:rPr>
            <w:t>9</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_Toc21460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七、存在的主要问题</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_Toc21460 \h </w:instrText>
          </w:r>
          <w:r>
            <w:rPr>
              <w:rFonts w:hint="default" w:ascii="Times New Roman" w:hAnsi="Times New Roman" w:eastAsia="仿宋" w:cs="Times New Roman"/>
            </w:rPr>
            <w:fldChar w:fldCharType="separate"/>
          </w:r>
          <w:r>
            <w:rPr>
              <w:rFonts w:hint="default" w:ascii="Times New Roman" w:hAnsi="Times New Roman" w:eastAsia="仿宋" w:cs="Times New Roman"/>
            </w:rPr>
            <w:t>9</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_Toc11909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w:t>
          </w:r>
          <w:r>
            <w:rPr>
              <w:rFonts w:hint="eastAsia" w:cs="Times New Roman"/>
              <w:lang w:val="en-US" w:eastAsia="zh-CN"/>
            </w:rPr>
            <w:t>一</w:t>
          </w:r>
          <w:r>
            <w:rPr>
              <w:rFonts w:hint="default" w:ascii="Times New Roman" w:hAnsi="Times New Roman" w:eastAsia="仿宋" w:cs="Times New Roman"/>
              <w:lang w:val="en-US" w:eastAsia="zh-CN"/>
            </w:rPr>
            <w:t>）财务管理方面</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_Toc11909 \h </w:instrText>
          </w:r>
          <w:r>
            <w:rPr>
              <w:rFonts w:hint="default" w:ascii="Times New Roman" w:hAnsi="Times New Roman" w:eastAsia="仿宋" w:cs="Times New Roman"/>
            </w:rPr>
            <w:fldChar w:fldCharType="separate"/>
          </w:r>
          <w:r>
            <w:rPr>
              <w:rFonts w:hint="default" w:ascii="Times New Roman" w:hAnsi="Times New Roman" w:eastAsia="仿宋" w:cs="Times New Roman"/>
            </w:rPr>
            <w:t>9</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_Toc13098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w:t>
          </w:r>
          <w:r>
            <w:rPr>
              <w:rFonts w:hint="eastAsia" w:cs="Times New Roman"/>
              <w:lang w:val="en-US" w:eastAsia="zh-CN"/>
            </w:rPr>
            <w:t>二</w:t>
          </w:r>
          <w:r>
            <w:rPr>
              <w:rFonts w:hint="default" w:ascii="Times New Roman" w:hAnsi="Times New Roman" w:eastAsia="仿宋" w:cs="Times New Roman"/>
              <w:lang w:val="en-US" w:eastAsia="zh-CN"/>
            </w:rPr>
            <w:t>）资产管理方面</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_Toc13098 \h </w:instrText>
          </w:r>
          <w:r>
            <w:rPr>
              <w:rFonts w:hint="default" w:ascii="Times New Roman" w:hAnsi="Times New Roman" w:eastAsia="仿宋" w:cs="Times New Roman"/>
            </w:rPr>
            <w:fldChar w:fldCharType="separate"/>
          </w:r>
          <w:r>
            <w:rPr>
              <w:rFonts w:hint="default" w:ascii="Times New Roman" w:hAnsi="Times New Roman" w:eastAsia="仿宋" w:cs="Times New Roman"/>
            </w:rPr>
            <w:t>9</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_Toc14513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八、相关建议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_Toc14513 \h </w:instrText>
          </w:r>
          <w:r>
            <w:rPr>
              <w:rFonts w:hint="default" w:ascii="Times New Roman" w:hAnsi="Times New Roman" w:eastAsia="仿宋" w:cs="Times New Roman"/>
            </w:rPr>
            <w:fldChar w:fldCharType="separate"/>
          </w:r>
          <w:r>
            <w:rPr>
              <w:rFonts w:hint="default" w:ascii="Times New Roman" w:hAnsi="Times New Roman" w:eastAsia="仿宋" w:cs="Times New Roman"/>
            </w:rPr>
            <w:t>10</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_Toc22094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w:t>
          </w:r>
          <w:r>
            <w:rPr>
              <w:rFonts w:hint="eastAsia" w:cs="Times New Roman"/>
              <w:lang w:val="en-US" w:eastAsia="zh-CN"/>
            </w:rPr>
            <w:t>一</w:t>
          </w:r>
          <w:r>
            <w:rPr>
              <w:rFonts w:hint="default" w:ascii="Times New Roman" w:hAnsi="Times New Roman" w:eastAsia="仿宋" w:cs="Times New Roman"/>
              <w:lang w:val="en-US" w:eastAsia="zh-CN"/>
            </w:rPr>
            <w:t>）加强财务报账审核</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_Toc22094 \h </w:instrText>
          </w:r>
          <w:r>
            <w:rPr>
              <w:rFonts w:hint="default" w:ascii="Times New Roman" w:hAnsi="Times New Roman" w:eastAsia="仿宋" w:cs="Times New Roman"/>
            </w:rPr>
            <w:fldChar w:fldCharType="separate"/>
          </w:r>
          <w:r>
            <w:rPr>
              <w:rFonts w:hint="default" w:ascii="Times New Roman" w:hAnsi="Times New Roman" w:eastAsia="仿宋" w:cs="Times New Roman"/>
            </w:rPr>
            <w:t>10</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3"/>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_Toc4909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w:t>
          </w:r>
          <w:r>
            <w:rPr>
              <w:rFonts w:hint="eastAsia" w:cs="Times New Roman"/>
              <w:lang w:val="en-US" w:eastAsia="zh-CN"/>
            </w:rPr>
            <w:t>二</w:t>
          </w:r>
          <w:r>
            <w:rPr>
              <w:rFonts w:hint="default" w:ascii="Times New Roman" w:hAnsi="Times New Roman" w:eastAsia="仿宋" w:cs="Times New Roman"/>
              <w:lang w:val="en-US" w:eastAsia="zh-CN"/>
            </w:rPr>
            <w:t>）规范资产管理</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_Toc4909 \h </w:instrText>
          </w:r>
          <w:r>
            <w:rPr>
              <w:rFonts w:hint="default" w:ascii="Times New Roman" w:hAnsi="Times New Roman" w:eastAsia="仿宋" w:cs="Times New Roman"/>
            </w:rPr>
            <w:fldChar w:fldCharType="separate"/>
          </w:r>
          <w:r>
            <w:rPr>
              <w:rFonts w:hint="default" w:ascii="Times New Roman" w:hAnsi="Times New Roman" w:eastAsia="仿宋" w:cs="Times New Roman"/>
            </w:rPr>
            <w:t>10</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pStyle w:val="11"/>
            <w:keepNext w:val="0"/>
            <w:keepLines w:val="0"/>
            <w:pageBreakBefore w:val="0"/>
            <w:widowControl w:val="0"/>
            <w:tabs>
              <w:tab w:val="right" w:leader="dot" w:pos="8392"/>
            </w:tabs>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szCs w:val="31"/>
            </w:rPr>
            <w:fldChar w:fldCharType="begin"/>
          </w:r>
          <w:r>
            <w:rPr>
              <w:rFonts w:hint="default" w:ascii="Times New Roman" w:hAnsi="Times New Roman" w:eastAsia="仿宋" w:cs="Times New Roman"/>
              <w:szCs w:val="31"/>
            </w:rPr>
            <w:instrText xml:space="preserve"> HYPERLINK \l _Toc4045 </w:instrText>
          </w:r>
          <w:r>
            <w:rPr>
              <w:rFonts w:hint="default" w:ascii="Times New Roman" w:hAnsi="Times New Roman" w:eastAsia="仿宋" w:cs="Times New Roman"/>
              <w:szCs w:val="31"/>
            </w:rPr>
            <w:fldChar w:fldCharType="separate"/>
          </w:r>
          <w:r>
            <w:rPr>
              <w:rFonts w:hint="default" w:ascii="Times New Roman" w:hAnsi="Times New Roman" w:eastAsia="仿宋" w:cs="Times New Roman"/>
              <w:lang w:val="en-US" w:eastAsia="zh-CN"/>
            </w:rPr>
            <w:t>九、报告使用情况说明</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_Toc4045 \h </w:instrText>
          </w:r>
          <w:r>
            <w:rPr>
              <w:rFonts w:hint="default" w:ascii="Times New Roman" w:hAnsi="Times New Roman" w:eastAsia="仿宋" w:cs="Times New Roman"/>
            </w:rPr>
            <w:fldChar w:fldCharType="separate"/>
          </w:r>
          <w:r>
            <w:rPr>
              <w:rFonts w:hint="default" w:ascii="Times New Roman" w:hAnsi="Times New Roman" w:eastAsia="仿宋" w:cs="Times New Roman"/>
            </w:rPr>
            <w:t>11</w:t>
          </w:r>
          <w:r>
            <w:rPr>
              <w:rFonts w:hint="default" w:ascii="Times New Roman" w:hAnsi="Times New Roman" w:eastAsia="仿宋" w:cs="Times New Roman"/>
            </w:rPr>
            <w:fldChar w:fldCharType="end"/>
          </w:r>
          <w:r>
            <w:rPr>
              <w:rFonts w:hint="default" w:ascii="Times New Roman" w:hAnsi="Times New Roman" w:eastAsia="仿宋" w:cs="Times New Roman"/>
              <w:szCs w:val="31"/>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-499745</wp:posOffset>
                </wp:positionH>
                <wp:positionV relativeFrom="paragraph">
                  <wp:posOffset>48260</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1"/>
                                  <w:w w:val="58"/>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74"/>
                                  <w:w w:val="58"/>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39.35pt;margin-top:3.8pt;height:106.95pt;width:501.8pt;z-index:251661312;mso-width-relative:page;mso-height-relative:page;" coordorigin="1452,1627" coordsize="10036,2139" o:gfxdata="UEsDBAoAAAAAAIdO4kAAAAAAAAAAAAAAAAAEAAAAZHJzL1BLAwQUAAAACACHTuJAOVSIMtoAAAAJ&#10;AQAADwAAAGRycy9kb3ducmV2LnhtbE2PQWvCQBSE74X+h+UVetPNptVomhcp0vYkhWpBvD2TZxLM&#10;7obsmui/7/bUHocZZr7JVlfdioF711iDoKYRCDaFLRtTIXzv3icLEM6TKam1hhFu7GCV399llJZ2&#10;NF88bH0lQolxKSHU3neplK6oWZOb2o5N8E621+SD7CtZ9jSGct3KOIrmUlNjwkJNHa9rLs7bi0b4&#10;GGl8fVJvw+Z8Wt8Ou9nnfqMY8fFBRS8gPF/9Xxh+8QM65IHpaC+mdKJFmCSLJEQRkjmI4C/j5yWI&#10;I0IcqxnIPJP/H+Q/UEsDBBQAAAAIAIdO4kC3m2Xl+gIAAF8IAAAOAAAAZHJzL2Uyb0RvYy54bWzt&#10;ls1uEzEQx+9IvIPlO93NbnbTrppUoml6QVCp8ACO1/sh7dqW7WSTOwKOnDghIbgh8QaIx2n7Goy9&#10;u0laigggbuSQ+HM8/59nPDk+WdUVWjKlS8HHeHDgY8Q4FWnJ8zF+8Xz26BAjbQhPSSU4G+M10/hk&#10;8vDBcSMTFohCVClTCIxwnTRyjAtjZOJ5mhasJvpASMZhMhOqJga6KvdSRRqwXlde4Pux1wiVSiUo&#10;0xpGp+0k7iyqfQyKLCspmwq6qBk3rVXFKmJAki5KqfHEeZtljJpnWaaZQdUYg1LjvuEQaM/ttzc5&#10;JkmuiCxK2rlA9nHhjqaalBwO3ZiaEkPQQpU/mKpLqoQWmTmgovZaIY4IqBj4d9icK7GQTkueNLnc&#10;QIeLukP9j83Sp8sLhcp0jIcYcVLDhd98fXn19g0aWjaNzBNYcq7kpbxQ3UDe9qzcVaZq+wtC0MpR&#10;XW+ospVBFAbjcBQcxgCcwtwgjA6DOGq50wIux+4bDKMAIzsdB6N+7qzbP/D9MG53B4PwyE57/cme&#10;dXDjTyMhJPWWk/47TpcFkczh1xZCxynqOV2/e339/sv1x1fIybGHwyrLCZnVY2FlWV/tuIbBe3Dd&#10;I7uHtiN6MBrEt0STRCptzpmokW2MsYIwd9FHlk+0afn0S+yxXMzKqoJxklQcNfZKIt9t2MwA0YoD&#10;2K23tmVW81UnYS7SNShbSFXmBZzptLnlQLxV+c/RQxS0IbpF78j8CfqRDwEPERf6Q2eDJD36oyAK&#10;23CL4+A/ePs2jHrwNx8+X337hFyO7lD/RZjHYZvd4ch36bvDOuwfhsjZ3CT2b8e4FlWZ2jC3Ua5V&#10;Pj+tFFoSePZnMx8+3UXeWtYmQxANYRpRAsUsgyICzVqCaM1zlyO3tuxp2WbflOii9cBZsA6QBF50&#10;nrpWwUh6xlNk1hIeXQ61FtvUrFmKUcWgNNuWW2lIWe2z8v4c7hKXcFoIKHzUKIzazqlpC+HPcto9&#10;rlB33Hvb1Uhb2Hb77snY/i+Y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5VIgy2gAAAAkBAAAP&#10;AAAAAAAAAAEAIAAAACIAAABkcnMvZG93bnJldi54bWxQSwECFAAUAAAACACHTuJAt5tl5foCAABf&#10;CAAADgAAAAAAAAABACAAAAApAQAAZHJzL2Uyb0RvYy54bWxQSwUGAAAAAAYABgBZAQAAlQYAAA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1"/>
                            <w:w w:val="58"/>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74"/>
                            <w:w w:val="58"/>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eastAsia" w:ascii="仿宋" w:hAnsi="仿宋" w:eastAsia="仿宋" w:cs="仿宋"/>
          <w:b/>
          <w:bCs/>
          <w:sz w:val="32"/>
          <w:szCs w:val="32"/>
          <w:lang w:val="en-US" w:eastAsia="zh-CN"/>
        </w:rPr>
        <w:t>湘财正咨字</w:t>
      </w:r>
      <w:r>
        <w:rPr>
          <w:rFonts w:hint="default" w:ascii="Times New Roman" w:hAnsi="Times New Roman" w:eastAsia="仿宋" w:cs="Times New Roman"/>
          <w:b w:val="0"/>
          <w:bCs w:val="0"/>
          <w:sz w:val="32"/>
          <w:szCs w:val="32"/>
          <w:lang w:val="en-US" w:eastAsia="zh-CN"/>
        </w:rPr>
        <w:t>[2023]</w:t>
      </w:r>
      <w:r>
        <w:rPr>
          <w:rFonts w:hint="eastAsia" w:ascii="仿宋" w:hAnsi="仿宋" w:eastAsia="仿宋" w:cs="仿宋"/>
          <w:b/>
          <w:bCs/>
          <w:sz w:val="32"/>
          <w:szCs w:val="32"/>
          <w:lang w:val="en-US" w:eastAsia="zh-CN"/>
        </w:rPr>
        <w:t>第</w:t>
      </w:r>
      <w:r>
        <w:rPr>
          <w:rFonts w:hint="default" w:ascii="Times New Roman" w:hAnsi="Times New Roman" w:eastAsia="仿宋" w:cs="Times New Roman"/>
          <w:b w:val="0"/>
          <w:bCs w:val="0"/>
          <w:color w:val="auto"/>
          <w:sz w:val="32"/>
          <w:szCs w:val="32"/>
          <w:lang w:val="en-US" w:eastAsia="zh-CN"/>
        </w:rPr>
        <w:t>0</w:t>
      </w:r>
      <w:r>
        <w:rPr>
          <w:rFonts w:hint="default" w:ascii="Times New Roman" w:hAnsi="Times New Roman" w:cs="Times New Roman"/>
          <w:b w:val="0"/>
          <w:bCs w:val="0"/>
          <w:color w:val="auto"/>
          <w:sz w:val="32"/>
          <w:szCs w:val="32"/>
          <w:lang w:val="en-US" w:eastAsia="zh-CN"/>
        </w:rPr>
        <w:t>87</w:t>
      </w:r>
      <w:r>
        <w:rPr>
          <w:rFonts w:hint="eastAsia" w:ascii="仿宋" w:hAnsi="仿宋" w:eastAsia="仿宋" w:cs="仿宋"/>
          <w:b/>
          <w:bCs/>
          <w:sz w:val="32"/>
          <w:szCs w:val="32"/>
          <w:lang w:val="en-US" w:eastAsia="zh-CN"/>
        </w:rPr>
        <w:t>号</w:t>
      </w:r>
    </w:p>
    <w:p>
      <w:pPr>
        <w:jc w:val="center"/>
        <w:rPr>
          <w:rFonts w:hint="default" w:ascii="Times New Roman Regular" w:hAnsi="Times New Roman Regular" w:eastAsia="仿宋" w:cs="Times New Roman Regular"/>
          <w:sz w:val="33"/>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eastAsia="方正小标宋_GBK" w:cs="Times New Roman"/>
          <w:b w:val="0"/>
          <w:bCs w:val="0"/>
          <w:sz w:val="44"/>
          <w:szCs w:val="44"/>
          <w:lang w:val="en-US" w:eastAsia="zh-CN"/>
        </w:rPr>
        <w:t>邵阳市北塔区供销合作联合社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w:t>
      </w:r>
      <w:r>
        <w:rPr>
          <w:rFonts w:hint="eastAsia" w:cs="Times New Roman"/>
          <w:b w:val="0"/>
          <w:bCs w:val="0"/>
          <w:sz w:val="32"/>
          <w:szCs w:val="32"/>
          <w:lang w:val="en-US" w:eastAsia="zh-CN"/>
        </w:rPr>
        <w:t>邵阳市北塔区供销合作联合社</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6"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bidi w:val="0"/>
        <w:rPr>
          <w:rFonts w:hint="default"/>
          <w:lang w:val="en-US" w:eastAsia="zh-CN"/>
        </w:rPr>
      </w:pPr>
      <w:bookmarkStart w:id="0" w:name="_Toc16976"/>
      <w:r>
        <w:rPr>
          <w:rFonts w:hint="default"/>
          <w:lang w:val="en-US" w:eastAsia="zh-CN"/>
        </w:rPr>
        <w:t>一、单位基本情况</w:t>
      </w:r>
      <w:bookmarkEnd w:id="0"/>
    </w:p>
    <w:p>
      <w:pPr>
        <w:pStyle w:val="4"/>
        <w:bidi w:val="0"/>
        <w:rPr>
          <w:rFonts w:hint="default"/>
          <w:lang w:val="en-US" w:eastAsia="zh-CN"/>
        </w:rPr>
      </w:pPr>
      <w:bookmarkStart w:id="1" w:name="_Toc794"/>
      <w:r>
        <w:rPr>
          <w:rFonts w:hint="default"/>
          <w:lang w:val="en-US" w:eastAsia="zh-CN"/>
        </w:rPr>
        <w:t>（一）部门概况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邵阳市北塔区供销合作联合社</w:t>
      </w:r>
      <w:r>
        <w:rPr>
          <w:rFonts w:hint="eastAsia" w:ascii="Times New Roman Regular" w:hAnsi="Times New Roman Regular" w:eastAsia="仿宋" w:cs="Times New Roman Regular"/>
          <w:b w:val="0"/>
          <w:bCs w:val="0"/>
          <w:color w:val="auto"/>
          <w:sz w:val="32"/>
          <w:szCs w:val="32"/>
          <w:lang w:val="en-US" w:eastAsia="zh-CN"/>
        </w:rPr>
        <w:t>（以下简称“</w:t>
      </w:r>
      <w:r>
        <w:rPr>
          <w:rFonts w:hint="eastAsia" w:ascii="Times New Roman Regular" w:hAnsi="Times New Roman Regular" w:cs="Times New Roman Regular"/>
          <w:b w:val="0"/>
          <w:bCs w:val="0"/>
          <w:color w:val="auto"/>
          <w:sz w:val="32"/>
          <w:szCs w:val="32"/>
          <w:lang w:val="en-US" w:eastAsia="zh-CN"/>
        </w:rPr>
        <w:t>供销社</w:t>
      </w:r>
      <w:r>
        <w:rPr>
          <w:rFonts w:hint="eastAsia"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cs="Times New Roman Regular"/>
          <w:b w:val="0"/>
          <w:bCs w:val="0"/>
          <w:color w:val="auto"/>
          <w:sz w:val="32"/>
          <w:szCs w:val="32"/>
          <w:lang w:val="en-US" w:eastAsia="zh-CN"/>
        </w:rPr>
        <w:t>为北塔区人民政府直属的正科级公益一类全额拨款事业单位。内设机构4个，分别是办公室、财务审计股、业务股、合作指导股。</w:t>
      </w:r>
    </w:p>
    <w:p>
      <w:pPr>
        <w:pStyle w:val="4"/>
        <w:bidi w:val="0"/>
        <w:rPr>
          <w:rFonts w:hint="default"/>
          <w:lang w:val="en-US" w:eastAsia="zh-CN"/>
        </w:rPr>
      </w:pPr>
      <w:bookmarkStart w:id="2" w:name="_Toc1630"/>
      <w:r>
        <w:rPr>
          <w:rFonts w:hint="default"/>
          <w:lang w:val="en-US" w:eastAsia="zh-CN"/>
        </w:rPr>
        <w:t>（二）主要职责</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供销社主要职责是：研究制订并组织实施供销合作社发展战略和规划，指导供销合作社的改革与发展；参与组织发展农产品行业协会、农民专业合作社和农村综合服务社，构建面向专业合作社的服务平台；指导社有企业和基层社开展农业生产资料经营、 农副产品购销、日用消费品和再生资源回收利用等现代服务网络建设，参与农业产业化经营和农业综合开发等工作；受政府及有关部门委托，承担重要农业生产资料，防汛救灾物资等商品的储备；指导供销合作社的组织制度建设，协调成员社之间的关系，促进合作社的联合与合作，维护供销合作社及其社员的合法权益；管理、监督本级社有资产，行使社有资产控股、参股企业的资产所有者代表职能，确保社有资产保值增值；代表区本级联合社参加上级社的活动，组织开展与国内外各合作组织之间的交流活动；积极推进并组织实施供销社、信用社与专业合作社的“三位一体” 发展战略和规划，指导专业合作社的改革和发展；承担区委、区</w:t>
      </w:r>
      <w:r>
        <w:rPr>
          <w:rFonts w:hint="eastAsia" w:ascii="Times New Roman Regular" w:hAnsi="Times New Roman Regular" w:cs="Times New Roman Regular"/>
          <w:b w:val="0"/>
          <w:bCs w:val="0"/>
          <w:color w:val="auto"/>
          <w:sz w:val="32"/>
          <w:szCs w:val="32"/>
          <w:lang w:val="en-US" w:eastAsia="zh-CN"/>
        </w:rPr>
        <w:t>政</w:t>
      </w:r>
      <w:r>
        <w:rPr>
          <w:rFonts w:hint="eastAsia" w:ascii="Times New Roman Regular" w:hAnsi="Times New Roman Regular" w:eastAsia="仿宋" w:cs="Times New Roman Regular"/>
          <w:b w:val="0"/>
          <w:bCs w:val="0"/>
          <w:color w:val="auto"/>
          <w:sz w:val="32"/>
          <w:szCs w:val="32"/>
          <w:lang w:val="en-US" w:eastAsia="zh-CN"/>
        </w:rPr>
        <w:t>府及上级社交办的其他工作。</w:t>
      </w:r>
    </w:p>
    <w:p>
      <w:pPr>
        <w:pStyle w:val="4"/>
        <w:bidi w:val="0"/>
        <w:rPr>
          <w:rFonts w:hint="default"/>
          <w:lang w:val="en-US" w:eastAsia="zh-CN"/>
        </w:rPr>
      </w:pPr>
      <w:bookmarkStart w:id="3" w:name="_Toc23260"/>
      <w:r>
        <w:rPr>
          <w:rFonts w:hint="default"/>
          <w:lang w:val="en-US" w:eastAsia="zh-CN"/>
        </w:rPr>
        <w:t>（三）人员情况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供销社实有在职</w:t>
      </w:r>
      <w:r>
        <w:rPr>
          <w:rFonts w:hint="eastAsia" w:ascii="Times New Roman Regular" w:hAnsi="Times New Roman Regular" w:cs="Times New Roman Regular"/>
          <w:b w:val="0"/>
          <w:bCs w:val="0"/>
          <w:color w:val="auto"/>
          <w:sz w:val="32"/>
          <w:szCs w:val="32"/>
          <w:lang w:val="en-US" w:eastAsia="zh-CN"/>
        </w:rPr>
        <w:t>人数</w:t>
      </w:r>
      <w:r>
        <w:rPr>
          <w:rFonts w:hint="eastAsia" w:ascii="Times New Roman Regular" w:hAnsi="Times New Roman Regular" w:eastAsia="仿宋" w:cs="Times New Roman Regular"/>
          <w:b w:val="0"/>
          <w:bCs w:val="0"/>
          <w:color w:val="auto"/>
          <w:sz w:val="32"/>
          <w:szCs w:val="32"/>
          <w:lang w:val="en-US" w:eastAsia="zh-CN"/>
        </w:rPr>
        <w:t>6人，离退休人员3人</w:t>
      </w:r>
      <w:r>
        <w:rPr>
          <w:rFonts w:hint="eastAsia" w:ascii="Times New Roman Regular" w:hAnsi="Times New Roman Regular" w:cs="Times New Roman Regular"/>
          <w:b w:val="0"/>
          <w:bCs w:val="0"/>
          <w:color w:val="auto"/>
          <w:sz w:val="32"/>
          <w:szCs w:val="32"/>
          <w:lang w:val="en-US" w:eastAsia="zh-CN"/>
        </w:rPr>
        <w:t>。</w:t>
      </w:r>
    </w:p>
    <w:p>
      <w:pPr>
        <w:pStyle w:val="3"/>
        <w:bidi w:val="0"/>
        <w:rPr>
          <w:rFonts w:hint="default"/>
          <w:lang w:val="en-US" w:eastAsia="zh-CN"/>
        </w:rPr>
      </w:pPr>
      <w:bookmarkStart w:id="4" w:name="_Toc29940"/>
      <w:r>
        <w:rPr>
          <w:rFonts w:hint="default"/>
          <w:lang w:val="en-US" w:eastAsia="zh-CN"/>
        </w:rPr>
        <w:t>二、部门整体收支情况</w:t>
      </w:r>
      <w:bookmarkEnd w:id="4"/>
    </w:p>
    <w:p>
      <w:pPr>
        <w:pStyle w:val="4"/>
        <w:bidi w:val="0"/>
        <w:rPr>
          <w:rFonts w:hint="default"/>
          <w:lang w:val="en-US" w:eastAsia="zh-CN"/>
        </w:rPr>
      </w:pPr>
      <w:bookmarkStart w:id="5" w:name="_Toc2212"/>
      <w:r>
        <w:rPr>
          <w:rFonts w:hint="default"/>
          <w:lang w:val="en-US" w:eastAsia="zh-CN"/>
        </w:rPr>
        <w:t>（一）资金收入情况</w:t>
      </w:r>
      <w:bookmarkEnd w:id="5"/>
    </w:p>
    <w:p>
      <w:pPr>
        <w:pStyle w:val="4"/>
        <w:bidi w:val="0"/>
        <w:rPr>
          <w:rFonts w:hint="default" w:ascii="Times New Roman Regular" w:hAnsi="Times New Roman Regular" w:eastAsia="仿宋" w:cs="Times New Roman Regular"/>
          <w:b w:val="0"/>
          <w:bCs w:val="0"/>
          <w:kern w:val="2"/>
          <w:sz w:val="32"/>
          <w:szCs w:val="32"/>
          <w:lang w:val="en-US" w:eastAsia="zh-CN" w:bidi="ar-SA"/>
        </w:rPr>
      </w:pPr>
      <w:bookmarkStart w:id="6" w:name="_Toc28058"/>
      <w:bookmarkStart w:id="7" w:name="_Toc14031"/>
      <w:r>
        <w:rPr>
          <w:rFonts w:hint="default" w:ascii="Times New Roman Regular" w:hAnsi="Times New Roman Regular" w:eastAsia="仿宋" w:cs="Times New Roman Regular"/>
          <w:b w:val="0"/>
          <w:bCs w:val="0"/>
          <w:kern w:val="2"/>
          <w:sz w:val="32"/>
          <w:szCs w:val="32"/>
          <w:lang w:val="en-US" w:eastAsia="zh-CN" w:bidi="ar-SA"/>
        </w:rPr>
        <w:t>根据</w:t>
      </w:r>
      <w:r>
        <w:rPr>
          <w:rFonts w:hint="eastAsia" w:ascii="Times New Roman Regular" w:hAnsi="Times New Roman Regular" w:eastAsia="仿宋" w:cs="Times New Roman Regular"/>
          <w:b w:val="0"/>
          <w:bCs w:val="0"/>
          <w:kern w:val="2"/>
          <w:sz w:val="32"/>
          <w:szCs w:val="32"/>
          <w:lang w:val="en-US" w:eastAsia="zh-CN" w:bidi="ar-SA"/>
        </w:rPr>
        <w:t>供销社</w:t>
      </w:r>
      <w:r>
        <w:rPr>
          <w:rFonts w:hint="default" w:ascii="Times New Roman Regular" w:hAnsi="Times New Roman Regular" w:eastAsia="仿宋" w:cs="Times New Roman Regular"/>
          <w:b w:val="0"/>
          <w:bCs w:val="0"/>
          <w:kern w:val="2"/>
          <w:sz w:val="32"/>
          <w:szCs w:val="32"/>
          <w:lang w:val="en-US" w:eastAsia="zh-CN" w:bidi="ar-SA"/>
        </w:rPr>
        <w:t>2022年度部门决算报表，</w:t>
      </w:r>
      <w:r>
        <w:rPr>
          <w:rFonts w:hint="eastAsia" w:ascii="Times New Roman Regular" w:hAnsi="Times New Roman Regular" w:eastAsia="仿宋" w:cs="Times New Roman Regular"/>
          <w:b w:val="0"/>
          <w:bCs w:val="0"/>
          <w:kern w:val="2"/>
          <w:sz w:val="32"/>
          <w:szCs w:val="32"/>
          <w:lang w:val="en-US" w:eastAsia="zh-CN" w:bidi="ar-SA"/>
        </w:rPr>
        <w:t>2022年部门预算收入决算数为99.40万元，其中一般公共预算财政拨款收入93.40万元，政府性基金预算财政拨款收入0万元，其他收入6万元</w:t>
      </w:r>
      <w:r>
        <w:rPr>
          <w:rFonts w:hint="default" w:ascii="Times New Roman Regular" w:hAnsi="Times New Roman Regular" w:eastAsia="仿宋" w:cs="Times New Roman Regular"/>
          <w:b w:val="0"/>
          <w:bCs w:val="0"/>
          <w:kern w:val="2"/>
          <w:sz w:val="32"/>
          <w:szCs w:val="32"/>
          <w:lang w:val="en-US" w:eastAsia="zh-CN" w:bidi="ar-SA"/>
        </w:rPr>
        <w:t>。</w:t>
      </w:r>
      <w:bookmarkEnd w:id="6"/>
      <w:bookmarkEnd w:id="7"/>
    </w:p>
    <w:p>
      <w:pPr>
        <w:pStyle w:val="4"/>
        <w:bidi w:val="0"/>
        <w:rPr>
          <w:rFonts w:hint="default"/>
          <w:lang w:val="en-US" w:eastAsia="zh-CN"/>
        </w:rPr>
      </w:pPr>
      <w:bookmarkStart w:id="8" w:name="_Toc19670"/>
      <w:r>
        <w:rPr>
          <w:rFonts w:hint="default"/>
          <w:lang w:val="en-US" w:eastAsia="zh-CN"/>
        </w:rPr>
        <w:t>（二）资金使用情况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2022年度部门决算报表，2022年度</w:t>
      </w:r>
      <w:r>
        <w:rPr>
          <w:rFonts w:hint="eastAsia" w:ascii="Times New Roman Regular" w:hAnsi="Times New Roman Regular" w:eastAsia="仿宋"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共计支出99</w:t>
      </w:r>
      <w:r>
        <w:rPr>
          <w:rFonts w:hint="eastAsia" w:ascii="Times New Roman Regular" w:hAnsi="Times New Roman Regular" w:eastAsia="仿宋" w:cs="Times New Roman Regular"/>
          <w:b w:val="0"/>
          <w:bCs w:val="0"/>
          <w:color w:val="auto"/>
          <w:sz w:val="32"/>
          <w:szCs w:val="32"/>
          <w:lang w:val="en-US" w:eastAsia="zh-CN"/>
        </w:rPr>
        <w:t>.40</w:t>
      </w:r>
      <w:r>
        <w:rPr>
          <w:rFonts w:hint="default" w:ascii="Times New Roman Regular" w:hAnsi="Times New Roman Regular" w:eastAsia="仿宋" w:cs="Times New Roman Regular"/>
          <w:b w:val="0"/>
          <w:bCs w:val="0"/>
          <w:color w:val="auto"/>
          <w:sz w:val="32"/>
          <w:szCs w:val="32"/>
          <w:lang w:val="en-US" w:eastAsia="zh-CN"/>
        </w:rPr>
        <w:t>万元，其中：基本支出99</w:t>
      </w:r>
      <w:r>
        <w:rPr>
          <w:rFonts w:hint="eastAsia" w:ascii="Times New Roman Regular" w:hAnsi="Times New Roman Regular" w:eastAsia="仿宋" w:cs="Times New Roman Regular"/>
          <w:b w:val="0"/>
          <w:bCs w:val="0"/>
          <w:color w:val="auto"/>
          <w:sz w:val="32"/>
          <w:szCs w:val="32"/>
          <w:lang w:val="en-US" w:eastAsia="zh-CN"/>
        </w:rPr>
        <w:t>.40</w:t>
      </w:r>
      <w:r>
        <w:rPr>
          <w:rFonts w:hint="default" w:ascii="Times New Roman Regular" w:hAnsi="Times New Roman Regular" w:eastAsia="仿宋" w:cs="Times New Roman Regular"/>
          <w:b w:val="0"/>
          <w:bCs w:val="0"/>
          <w:color w:val="auto"/>
          <w:sz w:val="32"/>
          <w:szCs w:val="32"/>
          <w:lang w:val="en-US" w:eastAsia="zh-CN"/>
        </w:rPr>
        <w:t>万元，项目支出</w:t>
      </w:r>
      <w:r>
        <w:rPr>
          <w:rFonts w:hint="eastAsia" w:ascii="Times New Roman Regular" w:hAnsi="Times New Roman Regular" w:eastAsia="仿宋" w:cs="Times New Roman Regular"/>
          <w:b w:val="0"/>
          <w:bCs w:val="0"/>
          <w:color w:val="auto"/>
          <w:sz w:val="32"/>
          <w:szCs w:val="32"/>
          <w:lang w:val="en-US" w:eastAsia="zh-CN"/>
        </w:rPr>
        <w:t>0</w:t>
      </w:r>
      <w:r>
        <w:rPr>
          <w:rFonts w:hint="default" w:ascii="Times New Roman Regular" w:hAnsi="Times New Roman Regular" w:eastAsia="仿宋" w:cs="Times New Roman Regular"/>
          <w:b w:val="0"/>
          <w:bCs w:val="0"/>
          <w:color w:val="auto"/>
          <w:sz w:val="32"/>
          <w:szCs w:val="32"/>
          <w:lang w:val="en-US" w:eastAsia="zh-CN"/>
        </w:rPr>
        <w:t>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2022年度部门决算报表，2022年度</w:t>
      </w:r>
      <w:r>
        <w:rPr>
          <w:rFonts w:hint="eastAsia" w:ascii="Times New Roman Regular" w:hAnsi="Times New Roman Regular" w:eastAsia="仿宋"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基本支出共计9</w:t>
      </w:r>
      <w:r>
        <w:rPr>
          <w:rFonts w:hint="eastAsia" w:ascii="Times New Roman Regular" w:hAnsi="Times New Roman Regular" w:eastAsia="仿宋" w:cs="Times New Roman Regular"/>
          <w:b w:val="0"/>
          <w:bCs w:val="0"/>
          <w:color w:val="auto"/>
          <w:sz w:val="32"/>
          <w:szCs w:val="32"/>
          <w:lang w:val="en-US" w:eastAsia="zh-CN"/>
        </w:rPr>
        <w:t>9.</w:t>
      </w:r>
      <w:r>
        <w:rPr>
          <w:rFonts w:hint="eastAsia" w:ascii="Times New Roman Regular" w:hAnsi="Times New Roman Regular" w:cs="Times New Roman Regular"/>
          <w:b w:val="0"/>
          <w:bCs w:val="0"/>
          <w:color w:val="auto"/>
          <w:sz w:val="32"/>
          <w:szCs w:val="32"/>
          <w:lang w:val="en-US" w:eastAsia="zh-CN"/>
        </w:rPr>
        <w:t>40</w:t>
      </w:r>
      <w:r>
        <w:rPr>
          <w:rFonts w:hint="default" w:ascii="Times New Roman Regular" w:hAnsi="Times New Roman Regular" w:eastAsia="仿宋" w:cs="Times New Roman Regular"/>
          <w:b w:val="0"/>
          <w:bCs w:val="0"/>
          <w:color w:val="auto"/>
          <w:sz w:val="32"/>
          <w:szCs w:val="32"/>
          <w:lang w:val="en-US" w:eastAsia="zh-CN"/>
        </w:rPr>
        <w:t>万元，其中人员经费支出</w:t>
      </w:r>
      <w:r>
        <w:rPr>
          <w:rFonts w:hint="eastAsia" w:ascii="Times New Roman Regular" w:hAnsi="Times New Roman Regular" w:eastAsia="仿宋" w:cs="Times New Roman Regular"/>
          <w:b w:val="0"/>
          <w:bCs w:val="0"/>
          <w:color w:val="auto"/>
          <w:sz w:val="32"/>
          <w:szCs w:val="32"/>
          <w:lang w:val="en-US" w:eastAsia="zh-CN"/>
        </w:rPr>
        <w:t>68.8</w:t>
      </w:r>
      <w:r>
        <w:rPr>
          <w:rFonts w:hint="eastAsia" w:ascii="Times New Roman Regular" w:hAnsi="Times New Roman Regular" w:cs="Times New Roman Regular"/>
          <w:b w:val="0"/>
          <w:bCs w:val="0"/>
          <w:color w:val="auto"/>
          <w:sz w:val="32"/>
          <w:szCs w:val="32"/>
          <w:lang w:val="en-US" w:eastAsia="zh-CN"/>
        </w:rPr>
        <w:t>5</w:t>
      </w:r>
      <w:r>
        <w:rPr>
          <w:rFonts w:hint="default" w:ascii="Times New Roman Regular" w:hAnsi="Times New Roman Regular" w:eastAsia="仿宋" w:cs="Times New Roman Regular"/>
          <w:b w:val="0"/>
          <w:bCs w:val="0"/>
          <w:color w:val="auto"/>
          <w:sz w:val="32"/>
          <w:szCs w:val="32"/>
          <w:lang w:val="en-US" w:eastAsia="zh-CN"/>
        </w:rPr>
        <w:t>万元，公用经费支出</w:t>
      </w:r>
      <w:r>
        <w:rPr>
          <w:rFonts w:hint="eastAsia" w:ascii="Times New Roman Regular" w:hAnsi="Times New Roman Regular" w:eastAsia="仿宋" w:cs="Times New Roman Regular"/>
          <w:b w:val="0"/>
          <w:bCs w:val="0"/>
          <w:color w:val="auto"/>
          <w:sz w:val="32"/>
          <w:szCs w:val="32"/>
          <w:lang w:val="en-US" w:eastAsia="zh-CN"/>
        </w:rPr>
        <w:t>30.5</w:t>
      </w:r>
      <w:r>
        <w:rPr>
          <w:rFonts w:hint="eastAsia" w:ascii="Times New Roman Regular" w:hAnsi="Times New Roman Regular" w:cs="Times New Roman Regular"/>
          <w:b w:val="0"/>
          <w:bCs w:val="0"/>
          <w:color w:val="auto"/>
          <w:sz w:val="32"/>
          <w:szCs w:val="32"/>
          <w:lang w:val="en-US" w:eastAsia="zh-CN"/>
        </w:rPr>
        <w:t>5</w:t>
      </w:r>
      <w:r>
        <w:rPr>
          <w:rFonts w:hint="default" w:ascii="Times New Roman Regular" w:hAnsi="Times New Roman Regular" w:eastAsia="仿宋" w:cs="Times New Roman Regular"/>
          <w:b w:val="0"/>
          <w:bCs w:val="0"/>
          <w:color w:val="auto"/>
          <w:sz w:val="32"/>
          <w:szCs w:val="32"/>
          <w:lang w:val="en-US" w:eastAsia="zh-CN"/>
        </w:rPr>
        <w:t>万元。</w:t>
      </w:r>
      <w:r>
        <w:rPr>
          <w:rFonts w:hint="eastAsia" w:ascii="Times New Roman Regular" w:hAnsi="Times New Roman Regular" w:eastAsia="仿宋" w:cs="Times New Roman Regular"/>
          <w:b w:val="0"/>
          <w:bCs w:val="0"/>
          <w:color w:val="auto"/>
          <w:sz w:val="32"/>
          <w:szCs w:val="32"/>
          <w:lang w:val="en-US" w:eastAsia="zh-CN"/>
        </w:rPr>
        <w:t>一般公共预算财政拨款支出中人员经费和公用经费</w:t>
      </w:r>
      <w:r>
        <w:rPr>
          <w:rFonts w:hint="default" w:ascii="Times New Roman Regular" w:hAnsi="Times New Roman Regular" w:eastAsia="仿宋" w:cs="Times New Roman Regular"/>
          <w:b w:val="0"/>
          <w:bCs w:val="0"/>
          <w:color w:val="auto"/>
          <w:sz w:val="32"/>
          <w:szCs w:val="32"/>
          <w:lang w:val="en-US" w:eastAsia="zh-CN"/>
        </w:rPr>
        <w:t>具体明细如下：</w:t>
      </w:r>
    </w:p>
    <w:tbl>
      <w:tblPr>
        <w:tblStyle w:val="20"/>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9"/>
        <w:gridCol w:w="4983"/>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5"/>
                <w:sz w:val="21"/>
                <w:szCs w:val="21"/>
              </w:rPr>
              <w:t>序号</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6"/>
                <w:sz w:val="21"/>
                <w:szCs w:val="21"/>
              </w:rPr>
              <w:t>支出项目</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spacing w:val="4"/>
                <w:sz w:val="21"/>
                <w:szCs w:val="21"/>
              </w:rPr>
              <w:t>金额</w:t>
            </w:r>
            <w:r>
              <w:rPr>
                <w:rFonts w:hint="default" w:ascii="Times New Roman" w:hAnsi="Times New Roman" w:eastAsia="宋体" w:cs="Times New Roman"/>
                <w:b/>
                <w:bCs/>
                <w:spacing w:val="4"/>
                <w:sz w:val="21"/>
                <w:szCs w:val="21"/>
                <w:lang w:eastAsia="zh-CN"/>
              </w:rPr>
              <w:t>（</w:t>
            </w:r>
            <w:r>
              <w:rPr>
                <w:rFonts w:hint="default" w:ascii="Times New Roman" w:hAnsi="Times New Roman" w:eastAsia="宋体" w:cs="Times New Roman"/>
                <w:b/>
                <w:bCs/>
                <w:spacing w:val="4"/>
                <w:sz w:val="21"/>
                <w:szCs w:val="21"/>
              </w:rPr>
              <w:t>万元</w:t>
            </w:r>
            <w:r>
              <w:rPr>
                <w:rFonts w:hint="default" w:ascii="Times New Roman" w:hAnsi="Times New Roman" w:eastAsia="宋体" w:cs="Times New Roman"/>
                <w:b/>
                <w:bCs/>
                <w:spacing w:val="4"/>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一</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pacing w:val="-5"/>
                <w:sz w:val="21"/>
                <w:szCs w:val="21"/>
              </w:rPr>
              <w:t>人员经费</w:t>
            </w:r>
          </w:p>
        </w:tc>
        <w:tc>
          <w:tcPr>
            <w:tcW w:w="1235"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4"/>
                <w:lang w:val="en-US" w:eastAsia="zh-CN"/>
              </w:rPr>
            </w:pPr>
            <w:r>
              <w:rPr>
                <w:rFonts w:hint="eastAsia" w:ascii="Times New Roman" w:hAnsi="Times New Roman" w:eastAsia="宋体" w:cs="Times New Roman"/>
                <w:b/>
                <w:bCs/>
                <w:sz w:val="21"/>
                <w:szCs w:val="24"/>
                <w:lang w:val="en-US" w:eastAsia="zh-CN"/>
              </w:rPr>
              <w:t>68.8</w:t>
            </w:r>
            <w:r>
              <w:rPr>
                <w:rFonts w:hint="eastAsia" w:eastAsia="宋体" w:cs="Times New Roman"/>
                <w:b/>
                <w:bCs/>
                <w:sz w:val="21"/>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bookmarkStart w:id="9" w:name="OLE_LINK1" w:colFirst="2" w:colLast="2"/>
            <w:r>
              <w:rPr>
                <w:rFonts w:hint="default" w:ascii="Times New Roman" w:hAnsi="Times New Roman" w:eastAsia="宋体" w:cs="Times New Roman"/>
                <w:sz w:val="21"/>
                <w:szCs w:val="21"/>
                <w:lang w:val="en-US" w:eastAsia="zh-CN"/>
              </w:rPr>
              <w:t>1</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i w:val="0"/>
                <w:iCs w:val="0"/>
                <w:color w:val="000000"/>
                <w:kern w:val="0"/>
                <w:sz w:val="21"/>
                <w:szCs w:val="22"/>
                <w:u w:val="none"/>
                <w:lang w:val="en-US" w:eastAsia="zh-CN" w:bidi="ar"/>
              </w:rPr>
              <w:t>基本工资</w:t>
            </w:r>
          </w:p>
        </w:tc>
        <w:tc>
          <w:tcPr>
            <w:tcW w:w="1235"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13</w:t>
            </w:r>
            <w:r>
              <w:rPr>
                <w:rFonts w:hint="eastAsia" w:ascii="Times New Roman" w:hAnsi="Times New Roman" w:eastAsia="宋体" w:cs="Times New Roman"/>
                <w:sz w:val="21"/>
                <w:szCs w:val="24"/>
                <w:lang w:val="en-US" w:eastAsia="zh-CN"/>
              </w:rPr>
              <w:t>.</w:t>
            </w:r>
            <w:r>
              <w:rPr>
                <w:rFonts w:hint="default" w:ascii="Times New Roman" w:hAnsi="Times New Roman" w:eastAsia="宋体" w:cs="Times New Roman"/>
                <w:sz w:val="21"/>
                <w:szCs w:val="24"/>
                <w:lang w:val="en-US" w:eastAsia="zh-CN"/>
              </w:rPr>
              <w:t>5</w:t>
            </w:r>
            <w:r>
              <w:rPr>
                <w:rFonts w:hint="eastAsia" w:ascii="Times New Roman" w:hAnsi="Times New Roman" w:eastAsia="宋体" w:cs="Times New Roman"/>
                <w:sz w:val="21"/>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i w:val="0"/>
                <w:iCs w:val="0"/>
                <w:color w:val="000000"/>
                <w:kern w:val="0"/>
                <w:sz w:val="21"/>
                <w:szCs w:val="22"/>
                <w:u w:val="none"/>
                <w:lang w:val="en-US" w:eastAsia="zh-CN" w:bidi="ar"/>
              </w:rPr>
              <w:t>津贴补贴</w:t>
            </w:r>
          </w:p>
        </w:tc>
        <w:tc>
          <w:tcPr>
            <w:tcW w:w="1235"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default" w:ascii="Times New Roman" w:hAnsi="Times New Roman" w:eastAsia="宋体" w:cs="Times New Roman"/>
                <w:snapToGrid w:val="0"/>
                <w:color w:val="000000"/>
                <w:kern w:val="0"/>
                <w:sz w:val="21"/>
                <w:szCs w:val="24"/>
                <w:lang w:val="en-US" w:eastAsia="zh-CN"/>
              </w:rPr>
              <w:t>10</w:t>
            </w:r>
            <w:r>
              <w:rPr>
                <w:rFonts w:hint="eastAsia" w:ascii="Times New Roman" w:hAnsi="Times New Roman" w:eastAsia="宋体" w:cs="Times New Roman"/>
                <w:snapToGrid w:val="0"/>
                <w:color w:val="000000"/>
                <w:kern w:val="0"/>
                <w:sz w:val="21"/>
                <w:szCs w:val="24"/>
                <w:lang w:val="en-US" w:eastAsia="zh-CN"/>
              </w:rPr>
              <w:t>.</w:t>
            </w:r>
            <w:r>
              <w:rPr>
                <w:rFonts w:hint="default" w:ascii="Times New Roman" w:hAnsi="Times New Roman" w:eastAsia="宋体" w:cs="Times New Roman"/>
                <w:snapToGrid w:val="0"/>
                <w:color w:val="000000"/>
                <w:kern w:val="0"/>
                <w:sz w:val="21"/>
                <w:szCs w:val="24"/>
                <w:lang w:val="en-US" w:eastAsia="zh-CN"/>
              </w:rPr>
              <w:t>6</w:t>
            </w:r>
            <w:r>
              <w:rPr>
                <w:rFonts w:hint="eastAsia" w:ascii="Times New Roman" w:hAnsi="Times New Roman" w:eastAsia="宋体" w:cs="Times New Roman"/>
                <w:snapToGrid w:val="0"/>
                <w:color w:val="000000"/>
                <w:kern w:val="0"/>
                <w:sz w:val="21"/>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napToGrid w:val="0"/>
                <w:color w:val="000000"/>
                <w:spacing w:val="-2"/>
                <w:kern w:val="0"/>
                <w:sz w:val="21"/>
                <w:szCs w:val="21"/>
                <w:lang w:val="en-US" w:eastAsia="zh-CN"/>
              </w:rPr>
            </w:pPr>
            <w:r>
              <w:rPr>
                <w:rFonts w:hint="eastAsia" w:ascii="Times New Roman" w:hAnsi="Times New Roman" w:eastAsia="宋体" w:cs="Times New Roman"/>
                <w:i w:val="0"/>
                <w:iCs w:val="0"/>
                <w:color w:val="000000"/>
                <w:kern w:val="0"/>
                <w:sz w:val="21"/>
                <w:szCs w:val="22"/>
                <w:u w:val="none"/>
                <w:lang w:val="en-US" w:eastAsia="zh-CN" w:bidi="ar"/>
              </w:rPr>
              <w:t>奖金</w:t>
            </w:r>
          </w:p>
        </w:tc>
        <w:tc>
          <w:tcPr>
            <w:tcW w:w="1235"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default" w:ascii="Times New Roman" w:hAnsi="Times New Roman" w:eastAsia="宋体" w:cs="Times New Roman"/>
                <w:snapToGrid w:val="0"/>
                <w:color w:val="000000"/>
                <w:kern w:val="0"/>
                <w:sz w:val="21"/>
                <w:szCs w:val="24"/>
                <w:lang w:val="en-US" w:eastAsia="zh-CN"/>
              </w:rPr>
              <w:t>2</w:t>
            </w:r>
            <w:r>
              <w:rPr>
                <w:rFonts w:hint="eastAsia" w:ascii="Times New Roman" w:hAnsi="Times New Roman" w:eastAsia="宋体" w:cs="Times New Roman"/>
                <w:snapToGrid w:val="0"/>
                <w:color w:val="000000"/>
                <w:kern w:val="0"/>
                <w:sz w:val="21"/>
                <w:szCs w:val="24"/>
                <w:lang w:val="en-US" w:eastAsia="zh-CN"/>
              </w:rPr>
              <w:t>.</w:t>
            </w:r>
            <w:r>
              <w:rPr>
                <w:rFonts w:hint="default" w:ascii="Times New Roman" w:hAnsi="Times New Roman" w:eastAsia="宋体" w:cs="Times New Roman"/>
                <w:snapToGrid w:val="0"/>
                <w:color w:val="000000"/>
                <w:kern w:val="0"/>
                <w:sz w:val="21"/>
                <w:szCs w:val="24"/>
                <w:lang w:val="en-US" w:eastAsia="zh-CN"/>
              </w:rPr>
              <w:t>0</w:t>
            </w:r>
            <w:r>
              <w:rPr>
                <w:rFonts w:hint="eastAsia" w:ascii="Times New Roman" w:hAnsi="Times New Roman" w:eastAsia="宋体" w:cs="Times New Roman"/>
                <w:snapToGrid w:val="0"/>
                <w:color w:val="000000"/>
                <w:kern w:val="0"/>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i w:val="0"/>
                <w:iCs w:val="0"/>
                <w:color w:val="000000"/>
                <w:kern w:val="0"/>
                <w:sz w:val="21"/>
                <w:szCs w:val="22"/>
                <w:u w:val="none"/>
                <w:lang w:val="en-US" w:eastAsia="zh-CN" w:bidi="ar"/>
              </w:rPr>
              <w:t>伙食补助费</w:t>
            </w:r>
          </w:p>
        </w:tc>
        <w:tc>
          <w:tcPr>
            <w:tcW w:w="1235"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napToGrid w:val="0"/>
                <w:color w:val="000000"/>
                <w:kern w:val="0"/>
                <w:sz w:val="21"/>
                <w:szCs w:val="21"/>
              </w:rPr>
            </w:pPr>
            <w:r>
              <w:rPr>
                <w:rFonts w:hint="eastAsia" w:ascii="Times New Roman" w:hAnsi="Times New Roman" w:eastAsia="宋体" w:cs="Times New Roman"/>
                <w:i w:val="0"/>
                <w:iCs w:val="0"/>
                <w:color w:val="000000"/>
                <w:kern w:val="0"/>
                <w:sz w:val="21"/>
                <w:szCs w:val="22"/>
                <w:u w:val="none"/>
                <w:lang w:val="en-US" w:eastAsia="zh-CN" w:bidi="ar"/>
              </w:rPr>
              <w:t>机关事业单位基本养老保险缴费</w:t>
            </w:r>
          </w:p>
        </w:tc>
        <w:tc>
          <w:tcPr>
            <w:tcW w:w="1235"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default" w:ascii="Times New Roman" w:hAnsi="Times New Roman" w:eastAsia="宋体" w:cs="Times New Roman"/>
                <w:snapToGrid w:val="0"/>
                <w:color w:val="000000"/>
                <w:kern w:val="0"/>
                <w:sz w:val="21"/>
                <w:szCs w:val="24"/>
                <w:lang w:val="en-US" w:eastAsia="zh-CN"/>
              </w:rPr>
              <w:t>3</w:t>
            </w:r>
            <w:r>
              <w:rPr>
                <w:rFonts w:hint="eastAsia" w:ascii="Times New Roman" w:hAnsi="Times New Roman" w:eastAsia="宋体" w:cs="Times New Roman"/>
                <w:snapToGrid w:val="0"/>
                <w:color w:val="000000"/>
                <w:kern w:val="0"/>
                <w:sz w:val="21"/>
                <w:szCs w:val="24"/>
                <w:lang w:val="en-US" w:eastAsia="zh-CN"/>
              </w:rPr>
              <w:t>.</w:t>
            </w:r>
            <w:r>
              <w:rPr>
                <w:rFonts w:hint="default" w:ascii="Times New Roman" w:hAnsi="Times New Roman" w:eastAsia="宋体" w:cs="Times New Roman"/>
                <w:snapToGrid w:val="0"/>
                <w:color w:val="000000"/>
                <w:kern w:val="0"/>
                <w:sz w:val="21"/>
                <w:szCs w:val="24"/>
                <w:lang w:val="en-US" w:eastAsia="zh-CN"/>
              </w:rPr>
              <w:t>2</w:t>
            </w:r>
            <w:r>
              <w:rPr>
                <w:rFonts w:hint="eastAsia" w:eastAsia="宋体" w:cs="Times New Roman"/>
                <w:snapToGrid w:val="0"/>
                <w:color w:val="000000"/>
                <w:kern w:val="0"/>
                <w:sz w:val="21"/>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6</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pacing w:val="1"/>
                <w:sz w:val="21"/>
                <w:szCs w:val="21"/>
              </w:rPr>
            </w:pPr>
            <w:r>
              <w:rPr>
                <w:rFonts w:hint="eastAsia" w:ascii="Times New Roman" w:hAnsi="Times New Roman" w:eastAsia="宋体" w:cs="Times New Roman"/>
                <w:i w:val="0"/>
                <w:iCs w:val="0"/>
                <w:color w:val="000000"/>
                <w:kern w:val="0"/>
                <w:sz w:val="21"/>
                <w:szCs w:val="22"/>
                <w:u w:val="none"/>
                <w:lang w:val="en-US" w:eastAsia="zh-CN" w:bidi="ar"/>
              </w:rPr>
              <w:t>职工基本医疗保险缴费</w:t>
            </w:r>
          </w:p>
        </w:tc>
        <w:tc>
          <w:tcPr>
            <w:tcW w:w="1235"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7</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napToGrid w:val="0"/>
                <w:color w:val="000000"/>
                <w:kern w:val="0"/>
                <w:sz w:val="21"/>
                <w:szCs w:val="21"/>
              </w:rPr>
            </w:pPr>
            <w:r>
              <w:rPr>
                <w:rFonts w:hint="eastAsia" w:ascii="Times New Roman" w:hAnsi="Times New Roman" w:eastAsia="宋体" w:cs="Times New Roman"/>
                <w:i w:val="0"/>
                <w:iCs w:val="0"/>
                <w:color w:val="000000"/>
                <w:kern w:val="0"/>
                <w:sz w:val="21"/>
                <w:szCs w:val="22"/>
                <w:u w:val="none"/>
                <w:lang w:val="en-US" w:eastAsia="zh-CN" w:bidi="ar"/>
              </w:rPr>
              <w:t>其他社会保障缴费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8</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napToGrid w:val="0"/>
                <w:color w:val="000000"/>
                <w:kern w:val="0"/>
                <w:sz w:val="21"/>
                <w:szCs w:val="21"/>
              </w:rPr>
            </w:pPr>
            <w:r>
              <w:rPr>
                <w:rFonts w:hint="eastAsia" w:ascii="Times New Roman" w:hAnsi="Times New Roman" w:eastAsia="宋体" w:cs="Times New Roman"/>
                <w:i w:val="0"/>
                <w:iCs w:val="0"/>
                <w:color w:val="000000"/>
                <w:kern w:val="0"/>
                <w:sz w:val="21"/>
                <w:szCs w:val="22"/>
                <w:u w:val="none"/>
                <w:lang w:val="en-US" w:eastAsia="zh-CN" w:bidi="ar"/>
              </w:rPr>
              <w:t>住房公积金</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11.6</w:t>
            </w:r>
            <w:r>
              <w:rPr>
                <w:rFonts w:hint="eastAsia" w:eastAsia="宋体" w:cs="Times New Roman"/>
                <w:snapToGrid w:val="0"/>
                <w:color w:val="000000"/>
                <w:kern w:val="0"/>
                <w:sz w:val="21"/>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9</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napToGrid w:val="0"/>
                <w:color w:val="000000"/>
                <w:kern w:val="0"/>
                <w:sz w:val="21"/>
                <w:szCs w:val="21"/>
              </w:rPr>
            </w:pPr>
            <w:r>
              <w:rPr>
                <w:rFonts w:hint="eastAsia" w:ascii="Times New Roman" w:hAnsi="Times New Roman" w:eastAsia="宋体" w:cs="Times New Roman"/>
                <w:i w:val="0"/>
                <w:iCs w:val="0"/>
                <w:color w:val="000000"/>
                <w:kern w:val="0"/>
                <w:sz w:val="21"/>
                <w:szCs w:val="22"/>
                <w:u w:val="none"/>
                <w:lang w:val="en-US" w:eastAsia="zh-CN" w:bidi="ar"/>
              </w:rPr>
              <w:t>其他工资福利支出</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kern w:val="0"/>
                <w:sz w:val="21"/>
                <w:szCs w:val="22"/>
                <w:u w:val="none"/>
                <w:lang w:val="en-US" w:eastAsia="zh-CN" w:bidi="ar"/>
              </w:rPr>
            </w:pPr>
            <w:r>
              <w:rPr>
                <w:rFonts w:hint="eastAsia" w:ascii="Times New Roman Regular" w:hAnsi="Times New Roman Regular" w:eastAsia="仿宋" w:cs="Times New Roman Regular"/>
                <w:spacing w:val="2"/>
                <w:sz w:val="24"/>
                <w:szCs w:val="24"/>
                <w:lang w:val="en-US" w:eastAsia="zh-CN"/>
              </w:rPr>
              <w:t>绩效工资</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13.72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29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spacing w:val="2"/>
                <w:sz w:val="21"/>
                <w:szCs w:val="21"/>
              </w:rPr>
            </w:pPr>
            <w:r>
              <w:rPr>
                <w:rFonts w:hint="eastAsia" w:ascii="Times New Roman" w:hAnsi="Times New Roman" w:eastAsia="宋体" w:cs="Times New Roman"/>
                <w:i w:val="0"/>
                <w:iCs w:val="0"/>
                <w:color w:val="000000"/>
                <w:kern w:val="0"/>
                <w:sz w:val="21"/>
                <w:szCs w:val="22"/>
                <w:u w:val="none"/>
                <w:lang w:val="en-US" w:eastAsia="zh-CN" w:bidi="ar"/>
              </w:rPr>
              <w:t>对个人和家庭的补助</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b/>
                <w:bCs/>
                <w:position w:val="-4"/>
                <w:sz w:val="21"/>
                <w:szCs w:val="21"/>
              </w:rPr>
              <w:t>二</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b/>
                <w:bCs/>
                <w:spacing w:val="-1"/>
                <w:sz w:val="21"/>
                <w:szCs w:val="21"/>
              </w:rPr>
              <w:t>公用经费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b/>
                <w:bCs/>
                <w:sz w:val="21"/>
                <w:szCs w:val="24"/>
                <w:lang w:val="en-US" w:eastAsia="zh-CN"/>
              </w:rPr>
              <w:t>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1</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pacing w:val="4"/>
                <w:sz w:val="21"/>
                <w:szCs w:val="24"/>
              </w:rPr>
              <w:t>办公费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default" w:ascii="Times New Roman" w:hAnsi="Times New Roman" w:eastAsia="宋体" w:cs="Times New Roman"/>
                <w:snapToGrid w:val="0"/>
                <w:color w:val="000000"/>
                <w:kern w:val="0"/>
                <w:sz w:val="21"/>
                <w:szCs w:val="24"/>
                <w:lang w:val="en-US" w:eastAsia="zh-CN"/>
              </w:rPr>
              <w:t>3</w:t>
            </w:r>
            <w:r>
              <w:rPr>
                <w:rFonts w:hint="eastAsia" w:ascii="Times New Roman" w:hAnsi="Times New Roman" w:eastAsia="宋体" w:cs="Times New Roman"/>
                <w:snapToGrid w:val="0"/>
                <w:color w:val="000000"/>
                <w:kern w:val="0"/>
                <w:sz w:val="21"/>
                <w:szCs w:val="24"/>
                <w:lang w:val="en-US" w:eastAsia="zh-CN"/>
              </w:rPr>
              <w:t>.</w:t>
            </w:r>
            <w:r>
              <w:rPr>
                <w:rFonts w:hint="default" w:ascii="Times New Roman" w:hAnsi="Times New Roman" w:eastAsia="宋体" w:cs="Times New Roman"/>
                <w:snapToGrid w:val="0"/>
                <w:color w:val="000000"/>
                <w:kern w:val="0"/>
                <w:sz w:val="21"/>
                <w:szCs w:val="24"/>
                <w:lang w:val="en-US" w:eastAsia="zh-CN"/>
              </w:rPr>
              <w:t>4</w:t>
            </w:r>
            <w:r>
              <w:rPr>
                <w:rFonts w:hint="eastAsia" w:ascii="Times New Roman" w:hAnsi="Times New Roman" w:eastAsia="宋体" w:cs="Times New Roman"/>
                <w:snapToGrid w:val="0"/>
                <w:color w:val="000000"/>
                <w:kern w:val="0"/>
                <w:sz w:val="21"/>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2</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pacing w:val="4"/>
                <w:sz w:val="21"/>
                <w:szCs w:val="24"/>
              </w:rPr>
              <w:t>印刷费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default" w:ascii="Times New Roman" w:hAnsi="Times New Roman" w:eastAsia="宋体" w:cs="Times New Roman"/>
                <w:snapToGrid w:val="0"/>
                <w:color w:val="000000"/>
                <w:kern w:val="0"/>
                <w:sz w:val="21"/>
                <w:szCs w:val="24"/>
                <w:lang w:val="en-US" w:eastAsia="zh-CN"/>
              </w:rPr>
              <w:t>2</w:t>
            </w:r>
            <w:r>
              <w:rPr>
                <w:rFonts w:hint="eastAsia" w:ascii="Times New Roman" w:hAnsi="Times New Roman" w:eastAsia="宋体" w:cs="Times New Roman"/>
                <w:snapToGrid w:val="0"/>
                <w:color w:val="000000"/>
                <w:kern w:val="0"/>
                <w:sz w:val="21"/>
                <w:szCs w:val="24"/>
                <w:lang w:val="en-US" w:eastAsia="zh-CN"/>
              </w:rPr>
              <w:t>.</w:t>
            </w:r>
            <w:r>
              <w:rPr>
                <w:rFonts w:hint="default" w:ascii="Times New Roman" w:hAnsi="Times New Roman" w:eastAsia="宋体" w:cs="Times New Roman"/>
                <w:snapToGrid w:val="0"/>
                <w:color w:val="000000"/>
                <w:kern w:val="0"/>
                <w:sz w:val="21"/>
                <w:szCs w:val="24"/>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3</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pacing w:val="4"/>
                <w:sz w:val="21"/>
                <w:szCs w:val="24"/>
              </w:rPr>
              <w:t>水电费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4</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4"/>
                <w:lang w:val="en-US" w:eastAsia="zh-CN"/>
              </w:rPr>
              <w:t>邮电费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5</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pacing w:val="4"/>
                <w:sz w:val="21"/>
                <w:szCs w:val="24"/>
              </w:rPr>
              <w:t>差旅费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6</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4"/>
                <w:sz w:val="21"/>
                <w:szCs w:val="24"/>
              </w:rPr>
            </w:pPr>
            <w:r>
              <w:rPr>
                <w:rFonts w:hint="default" w:ascii="Times New Roman Regular" w:hAnsi="Times New Roman Regular" w:eastAsia="仿宋" w:cs="Times New Roman Regular"/>
                <w:spacing w:val="4"/>
                <w:sz w:val="24"/>
                <w:szCs w:val="24"/>
              </w:rPr>
              <w:t>劳务费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eastAsia="宋体" w:cs="Times New Roman"/>
                <w:spacing w:val="-6"/>
                <w:sz w:val="21"/>
                <w:szCs w:val="21"/>
                <w:lang w:val="en-US" w:eastAsia="zh-CN"/>
              </w:rPr>
              <w:t>7</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4"/>
                <w:sz w:val="21"/>
                <w:szCs w:val="24"/>
              </w:rPr>
            </w:pPr>
            <w:r>
              <w:rPr>
                <w:rFonts w:hint="default" w:ascii="Times New Roman" w:hAnsi="Times New Roman" w:eastAsia="宋体" w:cs="Times New Roman"/>
                <w:spacing w:val="4"/>
                <w:sz w:val="21"/>
                <w:szCs w:val="24"/>
              </w:rPr>
              <w:t>工会经费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6"/>
                <w:sz w:val="21"/>
                <w:szCs w:val="21"/>
                <w:lang w:val="en-US" w:eastAsia="zh-CN"/>
              </w:rPr>
            </w:pPr>
            <w:r>
              <w:rPr>
                <w:rFonts w:hint="eastAsia" w:eastAsia="宋体" w:cs="Times New Roman"/>
                <w:spacing w:val="-6"/>
                <w:sz w:val="21"/>
                <w:szCs w:val="21"/>
                <w:lang w:val="en-US" w:eastAsia="zh-CN"/>
              </w:rPr>
              <w:t>8</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eastAsia" w:ascii="Times New Roman Regular" w:hAnsi="Times New Roman Regular" w:eastAsia="仿宋" w:cs="Times New Roman Regular"/>
                <w:sz w:val="24"/>
                <w:szCs w:val="24"/>
                <w:lang w:val="en-US" w:eastAsia="zh-CN"/>
              </w:rPr>
              <w:t>租赁费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spacing w:val="-6"/>
                <w:kern w:val="0"/>
                <w:sz w:val="21"/>
                <w:szCs w:val="21"/>
                <w:lang w:val="en-US" w:eastAsia="zh-CN"/>
              </w:rPr>
            </w:pPr>
            <w:r>
              <w:rPr>
                <w:rFonts w:hint="eastAsia" w:eastAsia="宋体" w:cs="Times New Roman"/>
                <w:spacing w:val="-6"/>
                <w:sz w:val="21"/>
                <w:szCs w:val="21"/>
                <w:lang w:val="en-US" w:eastAsia="zh-CN"/>
              </w:rPr>
              <w:t>9</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default" w:ascii="Times New Roman" w:hAnsi="Times New Roman" w:eastAsia="宋体" w:cs="Times New Roman"/>
                <w:spacing w:val="4"/>
                <w:sz w:val="21"/>
                <w:szCs w:val="24"/>
                <w:lang w:val="en-US" w:eastAsia="zh-CN"/>
              </w:rPr>
              <w:t>福利费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6"/>
                <w:sz w:val="21"/>
                <w:szCs w:val="21"/>
                <w:lang w:val="en-US" w:eastAsia="zh-CN"/>
              </w:rPr>
            </w:pPr>
            <w:r>
              <w:rPr>
                <w:rFonts w:hint="eastAsia" w:eastAsia="宋体" w:cs="Times New Roman"/>
                <w:spacing w:val="-6"/>
                <w:sz w:val="21"/>
                <w:szCs w:val="21"/>
                <w:lang w:val="en-US" w:eastAsia="zh-CN"/>
              </w:rPr>
              <w:t>10</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eastAsia" w:ascii="Times New Roman Regular" w:hAnsi="Times New Roman Regular" w:eastAsia="仿宋" w:cs="Times New Roman Regular"/>
                <w:sz w:val="24"/>
                <w:szCs w:val="24"/>
                <w:lang w:val="en-US" w:eastAsia="zh-CN"/>
              </w:rPr>
              <w:t>委托业务费</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6"/>
                <w:sz w:val="21"/>
                <w:szCs w:val="21"/>
                <w:lang w:val="en-US" w:eastAsia="zh-CN"/>
              </w:rPr>
            </w:pPr>
            <w:r>
              <w:rPr>
                <w:rFonts w:hint="eastAsia" w:ascii="Times New Roman" w:hAnsi="Times New Roman" w:eastAsia="宋体" w:cs="Times New Roman"/>
                <w:spacing w:val="-6"/>
                <w:sz w:val="21"/>
                <w:szCs w:val="21"/>
                <w:lang w:val="en-US" w:eastAsia="zh-CN"/>
              </w:rPr>
              <w:t>1</w:t>
            </w:r>
            <w:r>
              <w:rPr>
                <w:rFonts w:hint="eastAsia" w:eastAsia="宋体" w:cs="Times New Roman"/>
                <w:spacing w:val="-6"/>
                <w:sz w:val="21"/>
                <w:szCs w:val="21"/>
                <w:lang w:val="en-US" w:eastAsia="zh-CN"/>
              </w:rPr>
              <w:t>1</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default" w:ascii="Times New Roman" w:hAnsi="Times New Roman" w:eastAsia="宋体" w:cs="Times New Roman"/>
                <w:spacing w:val="4"/>
                <w:sz w:val="21"/>
                <w:szCs w:val="24"/>
                <w:lang w:val="en-US" w:eastAsia="zh-CN"/>
              </w:rPr>
              <w:t>其他交通费用</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6"/>
                <w:sz w:val="21"/>
                <w:szCs w:val="21"/>
                <w:lang w:val="en-US" w:eastAsia="zh-CN"/>
              </w:rPr>
            </w:pPr>
            <w:r>
              <w:rPr>
                <w:rFonts w:hint="eastAsia" w:ascii="Times New Roman" w:hAnsi="Times New Roman" w:eastAsia="宋体" w:cs="Times New Roman"/>
                <w:spacing w:val="-6"/>
                <w:sz w:val="21"/>
                <w:szCs w:val="21"/>
                <w:lang w:val="en-US" w:eastAsia="zh-CN"/>
              </w:rPr>
              <w:t>1</w:t>
            </w:r>
            <w:r>
              <w:rPr>
                <w:rFonts w:hint="eastAsia" w:eastAsia="宋体" w:cs="Times New Roman"/>
                <w:spacing w:val="-6"/>
                <w:sz w:val="21"/>
                <w:szCs w:val="21"/>
                <w:lang w:val="en-US" w:eastAsia="zh-CN"/>
              </w:rPr>
              <w:t>2</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default" w:ascii="Times New Roman" w:hAnsi="Times New Roman" w:eastAsia="宋体" w:cs="Times New Roman"/>
                <w:spacing w:val="4"/>
                <w:sz w:val="21"/>
                <w:szCs w:val="24"/>
              </w:rPr>
              <w:t>其他商品和服务支出</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default" w:ascii="Times New Roman" w:hAnsi="Times New Roman" w:eastAsia="宋体" w:cs="Times New Roman"/>
                <w:snapToGrid w:val="0"/>
                <w:color w:val="000000"/>
                <w:kern w:val="0"/>
                <w:sz w:val="21"/>
                <w:szCs w:val="24"/>
                <w:lang w:val="en-US" w:eastAsia="zh-CN"/>
              </w:rPr>
              <w:t>8</w:t>
            </w:r>
            <w:r>
              <w:rPr>
                <w:rFonts w:hint="eastAsia" w:ascii="Times New Roman" w:hAnsi="Times New Roman" w:eastAsia="宋体" w:cs="Times New Roman"/>
                <w:snapToGrid w:val="0"/>
                <w:color w:val="000000"/>
                <w:kern w:val="0"/>
                <w:sz w:val="21"/>
                <w:szCs w:val="24"/>
                <w:lang w:val="en-US" w:eastAsia="zh-CN"/>
              </w:rPr>
              <w:t>.</w:t>
            </w:r>
            <w:r>
              <w:rPr>
                <w:rFonts w:hint="default" w:ascii="Times New Roman" w:hAnsi="Times New Roman" w:eastAsia="宋体" w:cs="Times New Roman"/>
                <w:snapToGrid w:val="0"/>
                <w:color w:val="000000"/>
                <w:kern w:val="0"/>
                <w:sz w:val="21"/>
                <w:szCs w:val="24"/>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6"/>
                <w:sz w:val="21"/>
                <w:szCs w:val="21"/>
                <w:lang w:val="en-US" w:eastAsia="zh-CN"/>
              </w:rPr>
            </w:pPr>
            <w:r>
              <w:rPr>
                <w:rFonts w:hint="eastAsia" w:ascii="Times New Roman" w:hAnsi="Times New Roman" w:eastAsia="宋体" w:cs="Times New Roman"/>
                <w:spacing w:val="-6"/>
                <w:sz w:val="21"/>
                <w:szCs w:val="21"/>
                <w:lang w:val="en-US" w:eastAsia="zh-CN"/>
              </w:rPr>
              <w:t>1</w:t>
            </w:r>
            <w:r>
              <w:rPr>
                <w:rFonts w:hint="eastAsia" w:eastAsia="宋体" w:cs="Times New Roman"/>
                <w:spacing w:val="-6"/>
                <w:sz w:val="21"/>
                <w:szCs w:val="21"/>
                <w:lang w:val="en-US" w:eastAsia="zh-CN"/>
              </w:rPr>
              <w:t>3</w:t>
            </w:r>
          </w:p>
        </w:tc>
        <w:tc>
          <w:tcPr>
            <w:tcW w:w="29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pacing w:val="4"/>
                <w:sz w:val="21"/>
                <w:szCs w:val="24"/>
                <w:lang w:val="en-US" w:eastAsia="zh-CN"/>
              </w:rPr>
            </w:pPr>
            <w:r>
              <w:rPr>
                <w:rFonts w:hint="eastAsia" w:ascii="Times New Roman" w:hAnsi="Times New Roman" w:eastAsia="宋体" w:cs="Times New Roman"/>
                <w:spacing w:val="4"/>
                <w:sz w:val="21"/>
                <w:szCs w:val="24"/>
                <w:lang w:val="en-US" w:eastAsia="zh-CN"/>
              </w:rPr>
              <w:t>资本性支出</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4"/>
                <w:lang w:val="en-US" w:eastAsia="zh-CN"/>
              </w:rPr>
            </w:pPr>
            <w:r>
              <w:rPr>
                <w:rFonts w:hint="eastAsia" w:ascii="Times New Roman" w:hAnsi="Times New Roman" w:eastAsia="宋体" w:cs="Times New Roman"/>
                <w:snapToGrid w:val="0"/>
                <w:color w:val="000000"/>
                <w:kern w:val="0"/>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6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b/>
                <w:bCs/>
                <w:spacing w:val="-3"/>
                <w:sz w:val="21"/>
                <w:szCs w:val="21"/>
              </w:rPr>
              <w:t>合计</w:t>
            </w:r>
          </w:p>
        </w:tc>
        <w:tc>
          <w:tcPr>
            <w:tcW w:w="1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b/>
                <w:bCs/>
                <w:sz w:val="21"/>
                <w:szCs w:val="24"/>
                <w:lang w:val="en-US" w:eastAsia="zh-CN"/>
              </w:rPr>
              <w:t>99.4</w:t>
            </w:r>
            <w:r>
              <w:rPr>
                <w:rFonts w:hint="eastAsia" w:eastAsia="宋体" w:cs="Times New Roman"/>
                <w:b/>
                <w:bCs/>
                <w:sz w:val="21"/>
                <w:szCs w:val="24"/>
                <w:lang w:val="en-US" w:eastAsia="zh-CN"/>
              </w:rPr>
              <w:t>0</w:t>
            </w:r>
          </w:p>
        </w:tc>
      </w:tr>
      <w:bookmarkEnd w:id="9"/>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2022年度部门决算报表，</w:t>
      </w:r>
      <w:r>
        <w:rPr>
          <w:rFonts w:hint="eastAsia" w:ascii="Times New Roman Regular" w:hAnsi="Times New Roman Regular" w:eastAsia="仿宋"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2022年“三公经费”年初预算数为</w:t>
      </w:r>
      <w:r>
        <w:rPr>
          <w:rFonts w:hint="eastAsia" w:ascii="Times New Roman Regular" w:hAnsi="Times New Roman Regular" w:eastAsia="仿宋" w:cs="Times New Roman Regular"/>
          <w:b w:val="0"/>
          <w:bCs w:val="0"/>
          <w:color w:val="auto"/>
          <w:sz w:val="32"/>
          <w:szCs w:val="32"/>
          <w:lang w:val="en-US" w:eastAsia="zh-CN"/>
        </w:rPr>
        <w:t>0</w:t>
      </w:r>
      <w:r>
        <w:rPr>
          <w:rFonts w:hint="default" w:ascii="Times New Roman Regular" w:hAnsi="Times New Roman Regular" w:eastAsia="仿宋" w:cs="Times New Roman Regular"/>
          <w:b w:val="0"/>
          <w:bCs w:val="0"/>
          <w:color w:val="auto"/>
          <w:sz w:val="32"/>
          <w:szCs w:val="32"/>
          <w:lang w:val="en-US" w:eastAsia="zh-CN"/>
        </w:rPr>
        <w:t>.00万元，2022年共计支出0.00万元，其中公务用车及运行维护0.00万元，公务接待费0.00万元，因公出</w:t>
      </w:r>
      <w:r>
        <w:rPr>
          <w:rFonts w:hint="eastAsia" w:ascii="Times New Roman Regular" w:hAnsi="Times New Roman Regular" w:eastAsia="仿宋" w:cs="Times New Roman Regular"/>
          <w:b w:val="0"/>
          <w:bCs w:val="0"/>
          <w:color w:val="auto"/>
          <w:sz w:val="32"/>
          <w:szCs w:val="32"/>
          <w:lang w:val="en-US" w:eastAsia="zh-CN"/>
        </w:rPr>
        <w:t>国（境）</w:t>
      </w:r>
      <w:r>
        <w:rPr>
          <w:rFonts w:hint="default" w:ascii="Times New Roman Regular" w:hAnsi="Times New Roman Regular" w:eastAsia="仿宋" w:cs="Times New Roman Regular"/>
          <w:b w:val="0"/>
          <w:bCs w:val="0"/>
          <w:color w:val="auto"/>
          <w:sz w:val="32"/>
          <w:szCs w:val="32"/>
          <w:lang w:val="en-US" w:eastAsia="zh-CN"/>
        </w:rPr>
        <w:t>费用0.00元。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color w:val="auto"/>
          <w:sz w:val="32"/>
          <w:szCs w:val="32"/>
          <w:lang w:val="en-US" w:eastAsia="zh-CN"/>
        </w:rPr>
      </w:pPr>
      <w:r>
        <w:rPr>
          <w:rFonts w:hint="default" w:ascii="Times New Roman Regular" w:hAnsi="Times New Roman Regular" w:eastAsia="仿宋" w:cs="Times New Roman Regular"/>
          <w:b/>
          <w:bCs/>
          <w:color w:val="auto"/>
          <w:sz w:val="32"/>
          <w:szCs w:val="32"/>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2022年度部门决算报表，2022年度</w:t>
      </w:r>
      <w:r>
        <w:rPr>
          <w:rFonts w:hint="eastAsia" w:ascii="Times New Roman Regular" w:hAnsi="Times New Roman Regular" w:eastAsia="仿宋"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项目</w:t>
      </w:r>
      <w:r>
        <w:rPr>
          <w:rFonts w:hint="eastAsia" w:ascii="Times New Roman Regular" w:hAnsi="Times New Roman Regular" w:eastAsia="仿宋" w:cs="Times New Roman Regular"/>
          <w:b w:val="0"/>
          <w:bCs w:val="0"/>
          <w:color w:val="auto"/>
          <w:sz w:val="32"/>
          <w:szCs w:val="32"/>
          <w:lang w:val="en-US" w:eastAsia="zh-CN"/>
        </w:rPr>
        <w:t>无</w:t>
      </w:r>
      <w:r>
        <w:rPr>
          <w:rFonts w:hint="default" w:ascii="Times New Roman Regular" w:hAnsi="Times New Roman Regular" w:eastAsia="仿宋" w:cs="Times New Roman Regular"/>
          <w:b w:val="0"/>
          <w:bCs w:val="0"/>
          <w:color w:val="auto"/>
          <w:sz w:val="32"/>
          <w:szCs w:val="32"/>
          <w:lang w:val="en-US" w:eastAsia="zh-CN"/>
        </w:rPr>
        <w:t>支出</w:t>
      </w:r>
      <w:r>
        <w:rPr>
          <w:rFonts w:hint="eastAsia" w:ascii="Times New Roman Regular" w:hAnsi="Times New Roman Regular" w:eastAsia="仿宋" w:cs="Times New Roman Regular"/>
          <w:b w:val="0"/>
          <w:bCs w:val="0"/>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bookmarkStart w:id="10" w:name="_Toc31287"/>
      <w:r>
        <w:rPr>
          <w:rFonts w:hint="default"/>
          <w:lang w:val="en-US" w:eastAsia="zh-CN"/>
        </w:rPr>
        <w:t>（三）资金管理情况</w:t>
      </w:r>
      <w:bookmarkEnd w:id="1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制定了</w:t>
      </w:r>
      <w:r>
        <w:rPr>
          <w:rFonts w:hint="default" w:ascii="Times New Roman Regular" w:hAnsi="Times New Roman Regular" w:cs="Times New Roman Regular"/>
          <w:b w:val="0"/>
          <w:bCs w:val="0"/>
          <w:color w:val="auto"/>
          <w:sz w:val="32"/>
          <w:szCs w:val="32"/>
          <w:lang w:val="en-US" w:eastAsia="zh-CN"/>
        </w:rPr>
        <w:t>《北塔区供销社资金管理制度》，</w:t>
      </w:r>
      <w:r>
        <w:rPr>
          <w:rFonts w:hint="eastAsia" w:ascii="Times New Roman Regular" w:hAnsi="Times New Roman Regular" w:cs="Times New Roman Regular"/>
          <w:b w:val="0"/>
          <w:bCs w:val="0"/>
          <w:color w:val="auto"/>
          <w:sz w:val="32"/>
          <w:szCs w:val="32"/>
          <w:lang w:val="en-US" w:eastAsia="zh-CN"/>
        </w:rPr>
        <w:t>严格财务审批制度，节约费用开支，防止资产流失，提高资金使用效益。</w:t>
      </w:r>
    </w:p>
    <w:p>
      <w:pPr>
        <w:pStyle w:val="3"/>
        <w:bidi w:val="0"/>
        <w:rPr>
          <w:rFonts w:hint="default"/>
          <w:lang w:val="en-US" w:eastAsia="zh-CN"/>
        </w:rPr>
      </w:pPr>
      <w:bookmarkStart w:id="11" w:name="_Toc28806"/>
      <w:r>
        <w:rPr>
          <w:rFonts w:hint="default"/>
          <w:lang w:val="en-US" w:eastAsia="zh-CN"/>
        </w:rPr>
        <w:t>三、制度建设情况</w:t>
      </w:r>
      <w:bookmarkEnd w:id="11"/>
    </w:p>
    <w:p>
      <w:pPr>
        <w:pStyle w:val="4"/>
        <w:bidi w:val="0"/>
        <w:rPr>
          <w:rFonts w:hint="default"/>
          <w:color w:val="auto"/>
          <w:lang w:val="en-US" w:eastAsia="zh-CN"/>
        </w:rPr>
      </w:pPr>
      <w:bookmarkStart w:id="12" w:name="_Toc13104"/>
      <w:r>
        <w:rPr>
          <w:rFonts w:hint="default"/>
          <w:lang w:val="en-US" w:eastAsia="zh-CN"/>
        </w:rPr>
        <w:t>（一）</w:t>
      </w:r>
      <w:bookmarkStart w:id="13" w:name="_Toc18084"/>
      <w:r>
        <w:rPr>
          <w:rFonts w:hint="eastAsia"/>
          <w:color w:val="auto"/>
          <w:lang w:val="en-US" w:eastAsia="zh-CN"/>
        </w:rPr>
        <w:t>内控</w:t>
      </w:r>
      <w:r>
        <w:rPr>
          <w:rFonts w:hint="default"/>
          <w:color w:val="auto"/>
          <w:lang w:val="en-US" w:eastAsia="zh-CN"/>
        </w:rPr>
        <w:t>制度建设情况</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供销社</w:t>
      </w:r>
      <w:r>
        <w:rPr>
          <w:rFonts w:hint="default" w:ascii="Times New Roman Regular" w:hAnsi="Times New Roman Regular" w:cs="Times New Roman Regular"/>
          <w:b w:val="0"/>
          <w:bCs w:val="0"/>
          <w:color w:val="auto"/>
          <w:sz w:val="32"/>
          <w:szCs w:val="32"/>
          <w:lang w:val="en-US" w:eastAsia="zh-CN"/>
        </w:rPr>
        <w:t>制定了《北塔区供销社财务部门管理制度》，其中包含《北塔区供销社内部监管制度与措施》等各项工作制度，对财务管理</w:t>
      </w:r>
      <w:r>
        <w:rPr>
          <w:rFonts w:hint="eastAsia" w:ascii="Times New Roman Regular" w:hAnsi="Times New Roman Regular" w:cs="Times New Roman Regular"/>
          <w:b w:val="0"/>
          <w:bCs w:val="0"/>
          <w:color w:val="auto"/>
          <w:sz w:val="32"/>
          <w:szCs w:val="32"/>
          <w:lang w:val="en-US" w:eastAsia="zh-CN"/>
        </w:rPr>
        <w:t>、财务制度、</w:t>
      </w:r>
      <w:r>
        <w:rPr>
          <w:rFonts w:hint="default" w:ascii="Times New Roman Regular" w:hAnsi="Times New Roman Regular" w:cs="Times New Roman Regular"/>
          <w:b w:val="0"/>
          <w:bCs w:val="0"/>
          <w:color w:val="auto"/>
          <w:sz w:val="32"/>
          <w:szCs w:val="32"/>
          <w:lang w:val="en-US" w:eastAsia="zh-CN"/>
        </w:rPr>
        <w:t>日常管理等做出了具体规定。</w:t>
      </w:r>
    </w:p>
    <w:p>
      <w:pPr>
        <w:pStyle w:val="4"/>
        <w:bidi w:val="0"/>
        <w:rPr>
          <w:rFonts w:hint="default"/>
          <w:lang w:val="en-US" w:eastAsia="zh-CN"/>
        </w:rPr>
      </w:pPr>
      <w:bookmarkStart w:id="14" w:name="_Toc22433"/>
      <w:r>
        <w:rPr>
          <w:rFonts w:hint="default"/>
          <w:lang w:val="en-US" w:eastAsia="zh-CN"/>
        </w:rPr>
        <w:t>（</w:t>
      </w:r>
      <w:r>
        <w:rPr>
          <w:rFonts w:hint="eastAsia"/>
          <w:lang w:val="en-US" w:eastAsia="zh-CN"/>
        </w:rPr>
        <w:t>二</w:t>
      </w:r>
      <w:r>
        <w:rPr>
          <w:rFonts w:hint="default"/>
          <w:lang w:val="en-US" w:eastAsia="zh-CN"/>
        </w:rPr>
        <w:t>）资产管理制度建设及</w:t>
      </w:r>
      <w:r>
        <w:rPr>
          <w:rFonts w:hint="eastAsia"/>
          <w:lang w:val="en-US" w:eastAsia="zh-CN"/>
        </w:rPr>
        <w:t>执行</w:t>
      </w:r>
      <w:r>
        <w:rPr>
          <w:rFonts w:hint="default"/>
          <w:lang w:val="en-US" w:eastAsia="zh-CN"/>
        </w:rPr>
        <w:t>情况</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为</w:t>
      </w:r>
      <w:r>
        <w:rPr>
          <w:rFonts w:hint="default" w:ascii="Times New Roman Regular" w:hAnsi="Times New Roman Regular" w:eastAsia="仿宋" w:cs="Times New Roman Regular"/>
          <w:b w:val="0"/>
          <w:bCs w:val="0"/>
          <w:color w:val="auto"/>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color w:val="auto"/>
          <w:sz w:val="32"/>
          <w:szCs w:val="32"/>
          <w:lang w:val="en-US" w:eastAsia="zh-CN"/>
        </w:rPr>
        <w:t>制定了《北塔区供销合作联合社社有资产监督管理实施办法</w:t>
      </w:r>
      <w:r>
        <w:rPr>
          <w:rFonts w:hint="eastAsia" w:ascii="Times New Roman Regular" w:hAnsi="Times New Roman Regular"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试行</w:t>
      </w:r>
      <w:r>
        <w:rPr>
          <w:rFonts w:hint="eastAsia" w:ascii="Times New Roman Regular" w:hAnsi="Times New Roman Regular"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对有关资产管理进行了规定。</w:t>
      </w:r>
    </w:p>
    <w:p>
      <w:pPr>
        <w:numPr>
          <w:ilvl w:val="0"/>
          <w:numId w:val="0"/>
        </w:numPr>
        <w:ind w:firstLine="640" w:firstLineChars="200"/>
        <w:jc w:val="both"/>
        <w:rPr>
          <w:rFonts w:hint="default" w:ascii="Times New Roman Regular" w:hAnsi="Times New Roman Regular" w:eastAsia="仿宋" w:cs="Times New Roman Regular"/>
          <w:b w:val="0"/>
          <w:bCs w:val="0"/>
          <w:color w:val="auto"/>
          <w:kern w:val="2"/>
          <w:sz w:val="32"/>
          <w:szCs w:val="32"/>
          <w:lang w:val="en-US" w:eastAsia="zh-CN" w:bidi="ar-SA"/>
        </w:rPr>
      </w:pPr>
      <w:r>
        <w:rPr>
          <w:rFonts w:hint="default" w:ascii="Times New Roman Regular" w:hAnsi="Times New Roman Regular" w:eastAsia="仿宋" w:cs="Times New Roman Regular"/>
          <w:b w:val="0"/>
          <w:bCs w:val="0"/>
          <w:color w:val="auto"/>
          <w:kern w:val="2"/>
          <w:sz w:val="32"/>
          <w:szCs w:val="32"/>
          <w:lang w:val="en-US" w:eastAsia="zh-CN" w:bidi="ar-SA"/>
        </w:rPr>
        <w:t>截</w:t>
      </w:r>
      <w:r>
        <w:rPr>
          <w:rFonts w:hint="eastAsia" w:ascii="Times New Roman Regular" w:hAnsi="Times New Roman Regular" w:eastAsia="仿宋" w:cs="Times New Roman Regular"/>
          <w:b w:val="0"/>
          <w:bCs w:val="0"/>
          <w:color w:val="auto"/>
          <w:kern w:val="2"/>
          <w:sz w:val="32"/>
          <w:szCs w:val="32"/>
          <w:lang w:val="en-US" w:eastAsia="zh-CN" w:bidi="ar-SA"/>
        </w:rPr>
        <w:t>至</w:t>
      </w:r>
      <w:r>
        <w:rPr>
          <w:rFonts w:hint="default" w:ascii="Times New Roman Regular" w:hAnsi="Times New Roman Regular" w:eastAsia="仿宋" w:cs="Times New Roman Regular"/>
          <w:b w:val="0"/>
          <w:bCs w:val="0"/>
          <w:color w:val="auto"/>
          <w:kern w:val="2"/>
          <w:sz w:val="32"/>
          <w:szCs w:val="32"/>
          <w:lang w:val="en-US" w:eastAsia="zh-CN" w:bidi="ar-SA"/>
        </w:rPr>
        <w:t>2022年12月31日，</w:t>
      </w:r>
      <w:r>
        <w:rPr>
          <w:rFonts w:hint="eastAsia" w:ascii="Times New Roman Regular" w:hAnsi="Times New Roman Regular" w:eastAsia="仿宋" w:cs="Times New Roman Regular"/>
          <w:b w:val="0"/>
          <w:bCs w:val="0"/>
          <w:color w:val="auto"/>
          <w:kern w:val="2"/>
          <w:sz w:val="32"/>
          <w:szCs w:val="32"/>
          <w:lang w:val="en-US" w:eastAsia="zh-CN" w:bidi="ar-SA"/>
        </w:rPr>
        <w:t>供销社</w:t>
      </w:r>
      <w:r>
        <w:rPr>
          <w:rFonts w:hint="default" w:ascii="Times New Roman Regular" w:hAnsi="Times New Roman Regular" w:eastAsia="仿宋" w:cs="Times New Roman Regular"/>
          <w:b w:val="0"/>
          <w:bCs w:val="0"/>
          <w:color w:val="auto"/>
          <w:kern w:val="2"/>
          <w:sz w:val="32"/>
          <w:szCs w:val="32"/>
          <w:lang w:val="en-US" w:eastAsia="zh-CN" w:bidi="ar-SA"/>
        </w:rPr>
        <w:t>固定资产账面原值</w:t>
      </w:r>
      <w:r>
        <w:rPr>
          <w:rFonts w:hint="eastAsia" w:ascii="Times New Roman Regular" w:hAnsi="Times New Roman Regular" w:eastAsia="仿宋" w:cs="Times New Roman Regular"/>
          <w:b w:val="0"/>
          <w:bCs w:val="0"/>
          <w:color w:val="auto"/>
          <w:kern w:val="2"/>
          <w:sz w:val="32"/>
          <w:szCs w:val="32"/>
          <w:lang w:val="en-US" w:eastAsia="zh-CN" w:bidi="ar-SA"/>
        </w:rPr>
        <w:t>3.45</w:t>
      </w:r>
      <w:r>
        <w:rPr>
          <w:rFonts w:hint="default" w:ascii="Times New Roman Regular" w:hAnsi="Times New Roman Regular" w:eastAsia="仿宋" w:cs="Times New Roman Regular"/>
          <w:b w:val="0"/>
          <w:bCs w:val="0"/>
          <w:color w:val="auto"/>
          <w:kern w:val="2"/>
          <w:sz w:val="32"/>
          <w:szCs w:val="32"/>
          <w:lang w:val="en-US" w:eastAsia="zh-CN" w:bidi="ar-SA"/>
        </w:rPr>
        <w:t>万元。其中：通用设备</w:t>
      </w:r>
      <w:r>
        <w:rPr>
          <w:rFonts w:hint="eastAsia" w:ascii="Times New Roman Regular" w:hAnsi="Times New Roman Regular" w:eastAsia="仿宋" w:cs="Times New Roman Regular"/>
          <w:b w:val="0"/>
          <w:bCs w:val="0"/>
          <w:color w:val="auto"/>
          <w:kern w:val="2"/>
          <w:sz w:val="32"/>
          <w:szCs w:val="32"/>
          <w:lang w:val="en-US" w:eastAsia="zh-CN" w:bidi="ar-SA"/>
        </w:rPr>
        <w:t>3.45</w:t>
      </w:r>
      <w:r>
        <w:rPr>
          <w:rFonts w:hint="default" w:ascii="Times New Roman Regular" w:hAnsi="Times New Roman Regular" w:eastAsia="仿宋" w:cs="Times New Roman Regular"/>
          <w:b w:val="0"/>
          <w:bCs w:val="0"/>
          <w:color w:val="auto"/>
          <w:kern w:val="2"/>
          <w:sz w:val="32"/>
          <w:szCs w:val="32"/>
          <w:lang w:val="en-US" w:eastAsia="zh-CN" w:bidi="ar-SA"/>
        </w:rPr>
        <w:t>万元；家具、用具、装具及动植物</w:t>
      </w:r>
      <w:r>
        <w:rPr>
          <w:rFonts w:hint="eastAsia" w:ascii="Times New Roman Regular" w:hAnsi="Times New Roman Regular" w:eastAsia="仿宋" w:cs="Times New Roman Regular"/>
          <w:b w:val="0"/>
          <w:bCs w:val="0"/>
          <w:color w:val="auto"/>
          <w:kern w:val="2"/>
          <w:sz w:val="32"/>
          <w:szCs w:val="32"/>
          <w:lang w:val="en-US" w:eastAsia="zh-CN" w:bidi="ar-SA"/>
        </w:rPr>
        <w:t>0</w:t>
      </w:r>
      <w:r>
        <w:rPr>
          <w:rFonts w:hint="default" w:ascii="Times New Roman Regular" w:hAnsi="Times New Roman Regular" w:eastAsia="仿宋" w:cs="Times New Roman Regular"/>
          <w:b w:val="0"/>
          <w:bCs w:val="0"/>
          <w:color w:val="auto"/>
          <w:kern w:val="2"/>
          <w:sz w:val="32"/>
          <w:szCs w:val="32"/>
          <w:lang w:val="en-US" w:eastAsia="zh-CN" w:bidi="ar-SA"/>
        </w:rPr>
        <w:t>万元；土地、房屋及构筑物</w:t>
      </w:r>
      <w:r>
        <w:rPr>
          <w:rFonts w:hint="eastAsia" w:ascii="Times New Roman Regular" w:hAnsi="Times New Roman Regular" w:eastAsia="仿宋" w:cs="Times New Roman Regular"/>
          <w:b w:val="0"/>
          <w:bCs w:val="0"/>
          <w:color w:val="auto"/>
          <w:kern w:val="2"/>
          <w:sz w:val="32"/>
          <w:szCs w:val="32"/>
          <w:lang w:val="en-US" w:eastAsia="zh-CN" w:bidi="ar-SA"/>
        </w:rPr>
        <w:t>0</w:t>
      </w:r>
      <w:r>
        <w:rPr>
          <w:rFonts w:hint="default" w:ascii="Times New Roman Regular" w:hAnsi="Times New Roman Regular" w:eastAsia="仿宋" w:cs="Times New Roman Regular"/>
          <w:b w:val="0"/>
          <w:bCs w:val="0"/>
          <w:color w:val="auto"/>
          <w:kern w:val="2"/>
          <w:sz w:val="32"/>
          <w:szCs w:val="32"/>
          <w:lang w:val="en-US" w:eastAsia="zh-CN" w:bidi="ar-SA"/>
        </w:rPr>
        <w:t>万元；专用设备</w:t>
      </w:r>
      <w:r>
        <w:rPr>
          <w:rFonts w:hint="eastAsia" w:ascii="Times New Roman Regular" w:hAnsi="Times New Roman Regular" w:eastAsia="仿宋" w:cs="Times New Roman Regular"/>
          <w:b w:val="0"/>
          <w:bCs w:val="0"/>
          <w:color w:val="auto"/>
          <w:kern w:val="2"/>
          <w:sz w:val="32"/>
          <w:szCs w:val="32"/>
          <w:lang w:val="en-US" w:eastAsia="zh-CN" w:bidi="ar-SA"/>
        </w:rPr>
        <w:t>0</w:t>
      </w:r>
      <w:r>
        <w:rPr>
          <w:rFonts w:hint="default" w:ascii="Times New Roman Regular" w:hAnsi="Times New Roman Regular" w:eastAsia="仿宋" w:cs="Times New Roman Regular"/>
          <w:b w:val="0"/>
          <w:bCs w:val="0"/>
          <w:color w:val="auto"/>
          <w:kern w:val="2"/>
          <w:sz w:val="32"/>
          <w:szCs w:val="32"/>
          <w:lang w:val="en-US" w:eastAsia="zh-CN" w:bidi="ar-SA"/>
        </w:rPr>
        <w:t>万元。固定资产在用</w:t>
      </w:r>
      <w:r>
        <w:rPr>
          <w:rFonts w:hint="eastAsia" w:ascii="Times New Roman Regular" w:hAnsi="Times New Roman Regular" w:cs="Times New Roman Regular"/>
          <w:b w:val="0"/>
          <w:bCs w:val="0"/>
          <w:color w:val="auto"/>
          <w:kern w:val="2"/>
          <w:sz w:val="32"/>
          <w:szCs w:val="32"/>
          <w:lang w:val="en-US" w:eastAsia="zh-CN" w:bidi="ar-SA"/>
        </w:rPr>
        <w:t>2.70</w:t>
      </w:r>
      <w:r>
        <w:rPr>
          <w:rFonts w:hint="default" w:ascii="Times New Roman Regular" w:hAnsi="Times New Roman Regular" w:eastAsia="仿宋" w:cs="Times New Roman Regular"/>
          <w:b w:val="0"/>
          <w:bCs w:val="0"/>
          <w:color w:val="auto"/>
          <w:kern w:val="2"/>
          <w:sz w:val="32"/>
          <w:szCs w:val="32"/>
          <w:lang w:val="en-US" w:eastAsia="zh-CN" w:bidi="ar-SA"/>
        </w:rPr>
        <w:t>万元、闲置</w:t>
      </w:r>
      <w:r>
        <w:rPr>
          <w:rFonts w:hint="eastAsia" w:ascii="Times New Roman Regular" w:hAnsi="Times New Roman Regular" w:eastAsia="仿宋" w:cs="Times New Roman Regular"/>
          <w:b w:val="0"/>
          <w:bCs w:val="0"/>
          <w:color w:val="auto"/>
          <w:kern w:val="2"/>
          <w:sz w:val="32"/>
          <w:szCs w:val="32"/>
          <w:lang w:val="en-US" w:eastAsia="zh-CN" w:bidi="ar-SA"/>
        </w:rPr>
        <w:t>0.64</w:t>
      </w:r>
      <w:r>
        <w:rPr>
          <w:rFonts w:hint="default" w:ascii="Times New Roman Regular" w:hAnsi="Times New Roman Regular" w:eastAsia="仿宋" w:cs="Times New Roman Regular"/>
          <w:b w:val="0"/>
          <w:bCs w:val="0"/>
          <w:color w:val="auto"/>
          <w:kern w:val="2"/>
          <w:sz w:val="32"/>
          <w:szCs w:val="32"/>
          <w:lang w:val="en-US" w:eastAsia="zh-CN" w:bidi="ar-SA"/>
        </w:rPr>
        <w:t>万元</w:t>
      </w:r>
      <w:r>
        <w:rPr>
          <w:rFonts w:hint="eastAsia" w:ascii="Times New Roman Regular" w:hAnsi="Times New Roman Regular" w:cs="Times New Roman Regular"/>
          <w:b w:val="0"/>
          <w:bCs w:val="0"/>
          <w:color w:val="auto"/>
          <w:kern w:val="2"/>
          <w:sz w:val="32"/>
          <w:szCs w:val="32"/>
          <w:lang w:val="en-US" w:eastAsia="zh-CN" w:bidi="ar-SA"/>
        </w:rPr>
        <w:t>、毁损0.11万元，</w:t>
      </w:r>
      <w:r>
        <w:rPr>
          <w:rFonts w:hint="default" w:ascii="Times New Roman Regular" w:hAnsi="Times New Roman Regular" w:eastAsia="仿宋" w:cs="Times New Roman Regular"/>
          <w:b w:val="0"/>
          <w:bCs w:val="0"/>
          <w:color w:val="auto"/>
          <w:kern w:val="2"/>
          <w:sz w:val="32"/>
          <w:szCs w:val="32"/>
          <w:lang w:val="en-US" w:eastAsia="zh-CN" w:bidi="ar-SA"/>
        </w:rPr>
        <w:t>资产使用率</w:t>
      </w:r>
      <w:r>
        <w:rPr>
          <w:rFonts w:hint="eastAsia" w:ascii="Times New Roman Regular" w:hAnsi="Times New Roman Regular" w:cs="Times New Roman Regular"/>
          <w:b w:val="0"/>
          <w:bCs w:val="0"/>
          <w:color w:val="auto"/>
          <w:kern w:val="2"/>
          <w:sz w:val="32"/>
          <w:szCs w:val="32"/>
          <w:lang w:val="en-US" w:eastAsia="zh-CN" w:bidi="ar-SA"/>
        </w:rPr>
        <w:t>78.26</w:t>
      </w:r>
      <w:r>
        <w:rPr>
          <w:rFonts w:hint="default" w:ascii="Times New Roman Regular" w:hAnsi="Times New Roman Regular" w:eastAsia="仿宋" w:cs="Times New Roman Regular"/>
          <w:b w:val="0"/>
          <w:bCs w:val="0"/>
          <w:color w:val="auto"/>
          <w:kern w:val="2"/>
          <w:sz w:val="32"/>
          <w:szCs w:val="32"/>
          <w:lang w:val="en-US" w:eastAsia="zh-CN" w:bidi="ar-SA"/>
        </w:rPr>
        <w:t>%。</w:t>
      </w:r>
    </w:p>
    <w:p>
      <w:pPr>
        <w:pStyle w:val="4"/>
        <w:bidi w:val="0"/>
        <w:rPr>
          <w:rFonts w:hint="default"/>
          <w:lang w:val="en-US" w:eastAsia="zh-CN"/>
        </w:rPr>
      </w:pPr>
      <w:bookmarkStart w:id="15" w:name="_Toc19825"/>
      <w:r>
        <w:rPr>
          <w:rFonts w:hint="default"/>
          <w:lang w:val="en-US" w:eastAsia="zh-CN"/>
        </w:rPr>
        <w:t>（</w:t>
      </w:r>
      <w:r>
        <w:rPr>
          <w:rFonts w:hint="eastAsia"/>
          <w:lang w:val="en-US" w:eastAsia="zh-CN"/>
        </w:rPr>
        <w:t>三</w:t>
      </w:r>
      <w:r>
        <w:rPr>
          <w:rFonts w:hint="default"/>
          <w:lang w:val="en-US" w:eastAsia="zh-CN"/>
        </w:rPr>
        <w:t>）政府采购制度建设情况</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cs="Times New Roman Regular"/>
          <w:b w:val="0"/>
          <w:bCs w:val="0"/>
          <w:color w:val="auto"/>
          <w:sz w:val="32"/>
          <w:szCs w:val="32"/>
          <w:lang w:val="en-US" w:eastAsia="zh-CN"/>
        </w:rPr>
        <w:t>供销社</w:t>
      </w:r>
      <w:r>
        <w:rPr>
          <w:rFonts w:hint="eastAsia" w:ascii="Times New Roman Regular" w:hAnsi="Times New Roman Regular" w:eastAsia="仿宋" w:cs="Times New Roman Regular"/>
          <w:b w:val="0"/>
          <w:bCs w:val="0"/>
          <w:color w:val="auto"/>
          <w:sz w:val="32"/>
          <w:szCs w:val="32"/>
          <w:lang w:val="en-US" w:eastAsia="zh-CN"/>
        </w:rPr>
        <w:t>在</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政府采购管理制度》</w:t>
      </w:r>
      <w:r>
        <w:rPr>
          <w:rFonts w:hint="eastAsia" w:ascii="Times New Roman Regular" w:hAnsi="Times New Roman Regular" w:eastAsia="仿宋" w:cs="Times New Roman Regular"/>
          <w:b w:val="0"/>
          <w:bCs w:val="0"/>
          <w:color w:val="auto"/>
          <w:sz w:val="32"/>
          <w:szCs w:val="32"/>
          <w:lang w:val="en-US" w:eastAsia="zh-CN"/>
        </w:rPr>
        <w:t>中明确了政府采购相关规定</w:t>
      </w:r>
      <w:r>
        <w:rPr>
          <w:rFonts w:hint="default" w:ascii="Times New Roman Regular" w:hAnsi="Times New Roman Regular" w:eastAsia="仿宋" w:cs="Times New Roman Regular"/>
          <w:b w:val="0"/>
          <w:bCs w:val="0"/>
          <w:color w:val="auto"/>
          <w:sz w:val="32"/>
          <w:szCs w:val="32"/>
          <w:lang w:val="en-US" w:eastAsia="zh-CN"/>
        </w:rPr>
        <w:t>。</w:t>
      </w:r>
    </w:p>
    <w:p>
      <w:pPr>
        <w:pStyle w:val="3"/>
        <w:bidi w:val="0"/>
        <w:rPr>
          <w:rFonts w:hint="default"/>
          <w:lang w:val="en-US" w:eastAsia="zh-CN"/>
        </w:rPr>
      </w:pPr>
      <w:bookmarkStart w:id="16" w:name="_Toc2379"/>
      <w:r>
        <w:rPr>
          <w:rFonts w:hint="default"/>
          <w:lang w:val="en-US" w:eastAsia="zh-CN"/>
        </w:rPr>
        <w:t>四、第三方重点绩效评价工作情况</w:t>
      </w:r>
      <w:bookmarkEnd w:id="16"/>
    </w:p>
    <w:p>
      <w:pPr>
        <w:pStyle w:val="4"/>
        <w:bidi w:val="0"/>
        <w:rPr>
          <w:rFonts w:hint="default"/>
          <w:lang w:val="en-US" w:eastAsia="zh-CN"/>
        </w:rPr>
      </w:pPr>
      <w:bookmarkStart w:id="17" w:name="_Toc27085"/>
      <w:r>
        <w:rPr>
          <w:rFonts w:hint="default"/>
          <w:lang w:val="en-US" w:eastAsia="zh-CN"/>
        </w:rPr>
        <w:t>（一）重点绩效评价目的</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整体支出情况，包括部门基本支出和项目支出。主要是部门财政支出管理情况，具体从资金的投入、过程、产出和效果四个方面进行评价。重点评价关注贯彻落实厉行节约、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部门中长期财政规划适应性、年度工作计划科学完整性、年度绩效目标明确性、年度部门预算计划科学性，规划部门预算执行管理、内部制度管理，切实提高部门产出及效益。</w:t>
      </w:r>
    </w:p>
    <w:p>
      <w:pPr>
        <w:pStyle w:val="4"/>
        <w:bidi w:val="0"/>
        <w:rPr>
          <w:rFonts w:hint="default"/>
          <w:lang w:val="en-US" w:eastAsia="zh-CN"/>
        </w:rPr>
      </w:pPr>
      <w:bookmarkStart w:id="18" w:name="_Toc2115"/>
      <w:r>
        <w:rPr>
          <w:rFonts w:hint="default"/>
          <w:lang w:val="en-US" w:eastAsia="zh-CN"/>
        </w:rPr>
        <w:t>（二）重点绩效评价工作过程</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w:t>
      </w:r>
      <w:r>
        <w:rPr>
          <w:rFonts w:hint="default" w:ascii="Times New Roman Regular" w:hAnsi="Times New Roman Regular" w:eastAsia="仿宋" w:cs="Times New Roman Regular"/>
          <w:b w:val="0"/>
          <w:bCs w:val="0"/>
          <w:color w:val="auto"/>
          <w:sz w:val="32"/>
          <w:szCs w:val="32"/>
          <w:lang w:val="en-US" w:eastAsia="zh-CN"/>
        </w:rPr>
        <w:t>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2、具体实施。一是收集、检查单位资料。收集单位三定方案、制度建设、资金拨付明细、预决算</w:t>
      </w:r>
      <w:r>
        <w:rPr>
          <w:rFonts w:hint="default" w:ascii="Times New Roman Regular" w:hAnsi="Times New Roman Regular" w:eastAsia="仿宋" w:cs="Times New Roman Regular"/>
          <w:b w:val="0"/>
          <w:bCs w:val="0"/>
          <w:sz w:val="32"/>
          <w:szCs w:val="32"/>
          <w:lang w:val="en-US" w:eastAsia="zh-CN"/>
        </w:rPr>
        <w:t>报表、工作计划与总结等资料；核查相关制度是否完善，专项项目申报、审批、实施、验收等程序是否合规，资金拨付手续是否齐全，是否存在截留、挪用等情况；二是进入单位实地查看。通关与相关负责人员面对面交谈</w:t>
      </w:r>
      <w:r>
        <w:rPr>
          <w:rFonts w:hint="default" w:ascii="Times New Roman Regular" w:hAnsi="Times New Roman Regular" w:eastAsia="仿宋" w:cs="Times New Roman Regular"/>
          <w:b w:val="0"/>
          <w:bCs w:val="0"/>
          <w:color w:val="auto"/>
          <w:sz w:val="32"/>
          <w:szCs w:val="32"/>
          <w:lang w:val="en-US" w:eastAsia="zh-CN"/>
        </w:rPr>
        <w:t>、现场查看</w:t>
      </w:r>
      <w:r>
        <w:rPr>
          <w:rFonts w:hint="eastAsia" w:ascii="Times New Roman Regular" w:hAnsi="Times New Roman Regular" w:cs="Times New Roman Regular"/>
          <w:b w:val="0"/>
          <w:bCs w:val="0"/>
          <w:color w:val="auto"/>
          <w:sz w:val="32"/>
          <w:szCs w:val="32"/>
          <w:lang w:val="en-US" w:eastAsia="zh-CN"/>
        </w:rPr>
        <w:t>供销社</w:t>
      </w:r>
      <w:r>
        <w:rPr>
          <w:rFonts w:hint="default" w:ascii="Times New Roman Regular" w:hAnsi="Times New Roman Regular" w:eastAsia="仿宋" w:cs="Times New Roman Regular"/>
          <w:b w:val="0"/>
          <w:bCs w:val="0"/>
          <w:color w:val="auto"/>
          <w:sz w:val="32"/>
          <w:szCs w:val="32"/>
          <w:lang w:val="en-US" w:eastAsia="zh-CN"/>
        </w:rPr>
        <w:t>单位专项项目实施等方式，采集了相关数据，核查了资金使用、相关制度落实等情况；三是形成评价报告。通过对相关资料进行综合分析，按照确定的评价指标和标准，结合现场评价情况，得出评价结论，形成绩效评价报告。</w:t>
      </w:r>
    </w:p>
    <w:p>
      <w:pPr>
        <w:pStyle w:val="3"/>
        <w:bidi w:val="0"/>
        <w:rPr>
          <w:rFonts w:hint="default"/>
          <w:lang w:val="en-US" w:eastAsia="zh-CN"/>
        </w:rPr>
      </w:pPr>
      <w:bookmarkStart w:id="19" w:name="_Toc14430"/>
      <w:r>
        <w:rPr>
          <w:rFonts w:hint="default"/>
          <w:lang w:val="en-US" w:eastAsia="zh-CN"/>
        </w:rPr>
        <w:t>五、部门整体支出绩效情况</w:t>
      </w:r>
      <w:bookmarkEnd w:id="19"/>
    </w:p>
    <w:p>
      <w:pPr>
        <w:pStyle w:val="4"/>
        <w:bidi w:val="0"/>
        <w:rPr>
          <w:rFonts w:hint="default"/>
          <w:lang w:val="en-US" w:eastAsia="zh-CN"/>
        </w:rPr>
      </w:pPr>
      <w:bookmarkStart w:id="20" w:name="_Toc25417"/>
      <w:r>
        <w:rPr>
          <w:rFonts w:hint="default"/>
          <w:lang w:val="en-US" w:eastAsia="zh-CN"/>
        </w:rPr>
        <w:t>（一）部门整体实际产出情况</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1、建设供销基层社；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2、建设9个再生资源分拣站</w:t>
      </w:r>
      <w:r>
        <w:rPr>
          <w:rFonts w:hint="eastAsia" w:ascii="Times New Roman Regular" w:hAnsi="Times New Roman Regular" w:cs="Times New Roman Regular"/>
          <w:b w:val="0"/>
          <w:bCs w:val="0"/>
          <w:color w:val="auto"/>
          <w:sz w:val="32"/>
          <w:szCs w:val="32"/>
          <w:lang w:val="en-US" w:eastAsia="zh-CN"/>
        </w:rPr>
        <w:t>。</w:t>
      </w:r>
    </w:p>
    <w:p>
      <w:pPr>
        <w:pStyle w:val="4"/>
        <w:bidi w:val="0"/>
        <w:rPr>
          <w:rFonts w:hint="default"/>
          <w:lang w:val="en-US" w:eastAsia="zh-CN"/>
        </w:rPr>
      </w:pPr>
      <w:bookmarkStart w:id="21" w:name="_Toc22465"/>
      <w:r>
        <w:rPr>
          <w:rFonts w:hint="default"/>
          <w:lang w:val="en-US" w:eastAsia="zh-CN"/>
        </w:rPr>
        <w:t>（二）部门整体效益情况</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2022年，</w:t>
      </w:r>
      <w:r>
        <w:rPr>
          <w:rFonts w:hint="eastAsia" w:ascii="Times New Roman Regular" w:hAnsi="Times New Roman Regular" w:eastAsia="仿宋" w:cs="Times New Roman Regular"/>
          <w:b w:val="0"/>
          <w:bCs w:val="0"/>
          <w:sz w:val="32"/>
          <w:szCs w:val="32"/>
          <w:lang w:val="en-US" w:eastAsia="zh-CN"/>
        </w:rPr>
        <w:t>在市社的关怀指导和区委、区政府的正确领导下，深入贯彻</w:t>
      </w:r>
      <w:r>
        <w:rPr>
          <w:rFonts w:hint="eastAsia" w:ascii="Times New Roman Regular" w:hAnsi="Times New Roman Regular" w:cs="Times New Roman Regular"/>
          <w:b w:val="0"/>
          <w:bCs w:val="0"/>
          <w:sz w:val="32"/>
          <w:szCs w:val="32"/>
          <w:lang w:val="en-US" w:eastAsia="zh-CN"/>
        </w:rPr>
        <w:t>习近平</w:t>
      </w:r>
      <w:bookmarkStart w:id="40" w:name="_GoBack"/>
      <w:r>
        <w:rPr>
          <w:rFonts w:hint="eastAsia" w:ascii="Times New Roman Regular" w:hAnsi="Times New Roman Regular" w:cs="Times New Roman Regular"/>
          <w:b w:val="0"/>
          <w:bCs w:val="0"/>
          <w:sz w:val="32"/>
          <w:szCs w:val="32"/>
          <w:lang w:val="en-US" w:eastAsia="zh-CN"/>
        </w:rPr>
        <w:t>新时代中国特色社会主义思想</w:t>
      </w:r>
      <w:bookmarkEnd w:id="40"/>
      <w:r>
        <w:rPr>
          <w:rFonts w:hint="eastAsia" w:ascii="Times New Roman Regular" w:hAnsi="Times New Roman Regular" w:eastAsia="仿宋" w:cs="Times New Roman Regular"/>
          <w:b w:val="0"/>
          <w:bCs w:val="0"/>
          <w:sz w:val="32"/>
          <w:szCs w:val="32"/>
          <w:lang w:val="en-US" w:eastAsia="zh-CN"/>
        </w:rPr>
        <w:t>和</w:t>
      </w:r>
      <w:r>
        <w:rPr>
          <w:rFonts w:hint="eastAsia" w:ascii="Times New Roman Regular" w:hAnsi="Times New Roman Regular" w:cs="Times New Roman Regular"/>
          <w:b w:val="0"/>
          <w:bCs w:val="0"/>
          <w:sz w:val="32"/>
          <w:szCs w:val="32"/>
          <w:lang w:val="en-US" w:eastAsia="zh-CN"/>
        </w:rPr>
        <w:t>党的十九大</w:t>
      </w:r>
      <w:r>
        <w:rPr>
          <w:rFonts w:hint="eastAsia" w:ascii="Times New Roman Regular" w:hAnsi="Times New Roman Regular" w:eastAsia="仿宋" w:cs="Times New Roman Regular"/>
          <w:b w:val="0"/>
          <w:bCs w:val="0"/>
          <w:sz w:val="32"/>
          <w:szCs w:val="32"/>
          <w:lang w:val="en-US" w:eastAsia="zh-CN"/>
        </w:rPr>
        <w:t>精神，着力推进供销体制改革、推进供给侧结构性改革，加强保障和改善民生，大力推动再生资源回收工作。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2" w:name="_Toc31030"/>
      <w:r>
        <w:rPr>
          <w:rFonts w:hint="eastAsia" w:ascii="Times New Roman Regular" w:hAnsi="Times New Roman Regular" w:eastAsia="仿宋" w:cs="Times New Roman Regular"/>
          <w:b w:val="0"/>
          <w:bCs w:val="0"/>
          <w:sz w:val="32"/>
          <w:szCs w:val="32"/>
          <w:lang w:val="en-US" w:eastAsia="zh-CN"/>
        </w:rPr>
        <w:t>1、持续推进供给侧结构性改革工作</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3" w:name="_Toc2164"/>
      <w:r>
        <w:rPr>
          <w:rFonts w:hint="eastAsia" w:ascii="Times New Roman Regular" w:hAnsi="Times New Roman Regular" w:eastAsia="仿宋" w:cs="Times New Roman Regular"/>
          <w:b w:val="0"/>
          <w:bCs w:val="0"/>
          <w:sz w:val="32"/>
          <w:szCs w:val="32"/>
          <w:lang w:val="en-US" w:eastAsia="zh-CN"/>
        </w:rPr>
        <w:t>一是宣传贯彻了中央、省、市、区关于农业农村农民工作的法律法规和方针政策，结合全区“十四五”规划研究拟订供销合作社发展战略和规划并组织实施，指导服务全区供销合作社改革发展；二是加快新型农业社会化服务体系建设，加强面向农民生产生活的网络网点建设，构建覆盖城乡、双向流通的现代流通网络体系；抓好惠农综合服务工程建设，加快基层社、农民专业合作社、村（社区）综合服务等基层组织和服务体系建设；三是按照区政府授权和委托，对重要农业生产资料、重要农产品及其它商品的生产、经营、储备进行组织、协调和管理，承接政府向社会力量购买的公共服务。</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4" w:name="_Toc5636"/>
      <w:r>
        <w:rPr>
          <w:rFonts w:hint="eastAsia" w:ascii="Times New Roman Regular" w:hAnsi="Times New Roman Regular" w:eastAsia="仿宋" w:cs="Times New Roman Regular"/>
          <w:b w:val="0"/>
          <w:bCs w:val="0"/>
          <w:sz w:val="32"/>
          <w:szCs w:val="32"/>
          <w:lang w:val="en-US" w:eastAsia="zh-CN"/>
        </w:rPr>
        <w:t>2、推动全区再生资源回收工作</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5" w:name="_Toc29478"/>
      <w:r>
        <w:rPr>
          <w:rFonts w:hint="eastAsia" w:ascii="Times New Roman Regular" w:hAnsi="Times New Roman Regular" w:eastAsia="仿宋" w:cs="Times New Roman Regular"/>
          <w:b w:val="0"/>
          <w:bCs w:val="0"/>
          <w:sz w:val="32"/>
          <w:szCs w:val="32"/>
          <w:lang w:val="en-US" w:eastAsia="zh-CN"/>
        </w:rPr>
        <w:t>积极利用北塔区为全省再生资源示范区这块金字招牌，通过供销惠农服务工程对接农委农村清洁工程，再生资源回收利用与城乡环境清扫处理二网融合，一村一站一员建设，与党建、社建、村建有机结合，构建全域再生资源回收利用、城乡环境治理一体化信息化产业化体系，实现再生资源由“废品买卖型”向“环境服务型”的转型升级，打造环境治理服务供销品牌。截至目前，已建好7个村级惠民综合服务社，9个村级再生资源分拣站及全区再生资源分拣中心，目前已经区级再生资源分拣中心开始初步运营，日回收量逐渐增长。</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6" w:name="_Toc25404"/>
      <w:r>
        <w:rPr>
          <w:rFonts w:hint="eastAsia" w:ascii="Times New Roman Regular" w:hAnsi="Times New Roman Regular" w:eastAsia="仿宋" w:cs="Times New Roman Regular"/>
          <w:b w:val="0"/>
          <w:bCs w:val="0"/>
          <w:sz w:val="32"/>
          <w:szCs w:val="32"/>
          <w:lang w:val="en-US" w:eastAsia="zh-CN"/>
        </w:rPr>
        <w:t>3、服务乡村产业振兴成效明显。</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7" w:name="_Toc29110"/>
      <w:r>
        <w:rPr>
          <w:rFonts w:hint="eastAsia" w:ascii="Times New Roman Regular" w:hAnsi="Times New Roman Regular" w:eastAsia="仿宋" w:cs="Times New Roman Regular"/>
          <w:b w:val="0"/>
          <w:bCs w:val="0"/>
          <w:sz w:val="32"/>
          <w:szCs w:val="32"/>
          <w:lang w:val="en-US" w:eastAsia="zh-CN"/>
        </w:rPr>
        <w:t>重点围绕供销社系统流通网络优势，突出服务农业产、供、销一体化，着重做好扩大农产品市场、提高效益、促进产业融合发展等工作，力求精准参与乡村振兴战略，以服务农业增加农民收入，促进乡村发展，基本形成链条完整的产业融合发展体系，为深化供销社综合改革，夯实乡村产业振兴基础作出贡献。</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8" w:name="_Toc2688"/>
      <w:r>
        <w:rPr>
          <w:rFonts w:hint="eastAsia" w:ascii="Times New Roman Regular" w:hAnsi="Times New Roman Regular" w:eastAsia="仿宋" w:cs="Times New Roman Regular"/>
          <w:b w:val="0"/>
          <w:bCs w:val="0"/>
          <w:sz w:val="32"/>
          <w:szCs w:val="32"/>
          <w:lang w:val="en-US" w:eastAsia="zh-CN"/>
        </w:rPr>
        <w:t>4、农业供给侧结构性改革稳步推进</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9" w:name="_Toc4651"/>
      <w:r>
        <w:rPr>
          <w:rFonts w:hint="eastAsia" w:ascii="Times New Roman Regular" w:hAnsi="Times New Roman Regular" w:eastAsia="仿宋" w:cs="Times New Roman Regular"/>
          <w:b w:val="0"/>
          <w:bCs w:val="0"/>
          <w:sz w:val="32"/>
          <w:szCs w:val="32"/>
          <w:lang w:val="en-US" w:eastAsia="zh-CN"/>
        </w:rPr>
        <w:t>一方面，加快传统经营服务网络。农资网点累计发展到16个，供销社农资市场占有率超过70 %；化肥销售量0.2万吨，销售金额240万元，农村流通主渠道作用愈加凸显。另一方面，由卖产品向卖服务转变。坚持有偿性与公益性相结合，在为农服务中心开办农化服务、测土配方智能配肥、土地托管、农村合作金融服务、农村电商、农产品展示展销、检测、农民培训等，并在服务中心设立镇街涉农业务服务窗口，为群众提供一站式、全方位服务。</w:t>
      </w:r>
      <w:bookmarkEnd w:id="29"/>
    </w:p>
    <w:p>
      <w:pPr>
        <w:pStyle w:val="4"/>
        <w:bidi w:val="0"/>
        <w:rPr>
          <w:rFonts w:hint="default"/>
          <w:lang w:val="en-US" w:eastAsia="zh-CN"/>
        </w:rPr>
      </w:pPr>
      <w:bookmarkStart w:id="30" w:name="_Toc26078"/>
      <w:r>
        <w:rPr>
          <w:rFonts w:hint="default"/>
          <w:lang w:val="en-US" w:eastAsia="zh-CN"/>
        </w:rPr>
        <w:t>（三）部门整体满意度</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绩效评价小组针对</w:t>
      </w:r>
      <w:r>
        <w:rPr>
          <w:rFonts w:hint="eastAsia" w:ascii="Times New Roman Regular" w:hAnsi="Times New Roman Regular" w:cs="Times New Roman Regular"/>
          <w:b w:val="0"/>
          <w:bCs w:val="0"/>
          <w:sz w:val="32"/>
          <w:szCs w:val="32"/>
          <w:lang w:val="en-US" w:eastAsia="zh-CN"/>
        </w:rPr>
        <w:t>供销社</w:t>
      </w:r>
      <w:r>
        <w:rPr>
          <w:rFonts w:hint="default" w:ascii="Times New Roman Regular" w:hAnsi="Times New Roman Regular" w:eastAsia="仿宋" w:cs="Times New Roman Regular"/>
          <w:b w:val="0"/>
          <w:bCs w:val="0"/>
          <w:sz w:val="32"/>
          <w:szCs w:val="32"/>
          <w:lang w:val="en-US" w:eastAsia="zh-CN"/>
        </w:rPr>
        <w:t>整体情况通过</w:t>
      </w:r>
      <w:r>
        <w:rPr>
          <w:rFonts w:hint="eastAsia" w:ascii="Times New Roman Regular" w:hAnsi="Times New Roman Regular" w:cs="Times New Roman Regular"/>
          <w:b w:val="0"/>
          <w:bCs w:val="0"/>
          <w:sz w:val="32"/>
          <w:szCs w:val="32"/>
          <w:lang w:val="en-US" w:eastAsia="zh-CN"/>
        </w:rPr>
        <w:t>电子问卷</w:t>
      </w:r>
      <w:r>
        <w:rPr>
          <w:rFonts w:hint="default" w:ascii="Times New Roman Regular" w:hAnsi="Times New Roman Regular" w:eastAsia="仿宋" w:cs="Times New Roman Regular"/>
          <w:b w:val="0"/>
          <w:bCs w:val="0"/>
          <w:sz w:val="32"/>
          <w:szCs w:val="32"/>
          <w:lang w:val="en-US" w:eastAsia="zh-CN"/>
        </w:rPr>
        <w:t>向</w:t>
      </w:r>
      <w:r>
        <w:rPr>
          <w:rFonts w:hint="eastAsia" w:ascii="Times New Roman Regular" w:hAnsi="Times New Roman Regular" w:cs="Times New Roman Regular"/>
          <w:b w:val="0"/>
          <w:bCs w:val="0"/>
          <w:sz w:val="32"/>
          <w:szCs w:val="32"/>
          <w:lang w:val="en-US" w:eastAsia="zh-CN"/>
        </w:rPr>
        <w:t>单位职工</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相关受益群体</w:t>
      </w:r>
      <w:r>
        <w:rPr>
          <w:rFonts w:hint="default" w:ascii="Times New Roman Regular" w:hAnsi="Times New Roman Regular" w:eastAsia="仿宋" w:cs="Times New Roman Regular"/>
          <w:b w:val="0"/>
          <w:bCs w:val="0"/>
          <w:sz w:val="32"/>
          <w:szCs w:val="32"/>
          <w:lang w:val="en-US" w:eastAsia="zh-CN"/>
        </w:rPr>
        <w:t>发放问卷进行满意度调查，共收集有效问卷</w:t>
      </w:r>
      <w:r>
        <w:rPr>
          <w:rFonts w:hint="eastAsia" w:ascii="Times New Roman Regular" w:hAnsi="Times New Roman Regular" w:cs="Times New Roman Regular"/>
          <w:b w:val="0"/>
          <w:bCs w:val="0"/>
          <w:sz w:val="32"/>
          <w:szCs w:val="32"/>
          <w:lang w:val="en-US" w:eastAsia="zh-CN"/>
        </w:rPr>
        <w:t>2</w:t>
      </w:r>
      <w:r>
        <w:rPr>
          <w:rFonts w:hint="eastAsia" w:ascii="Times New Roman Regular" w:hAnsi="Times New Roman Regular" w:eastAsia="仿宋" w:cs="Times New Roman Regular"/>
          <w:b w:val="0"/>
          <w:bCs w:val="0"/>
          <w:sz w:val="32"/>
          <w:szCs w:val="32"/>
          <w:lang w:val="en-US" w:eastAsia="zh-CN"/>
        </w:rPr>
        <w:t>6</w:t>
      </w:r>
      <w:r>
        <w:rPr>
          <w:rFonts w:hint="default" w:ascii="Times New Roman Regular" w:hAnsi="Times New Roman Regular" w:eastAsia="仿宋" w:cs="Times New Roman Regular"/>
          <w:b w:val="0"/>
          <w:bCs w:val="0"/>
          <w:sz w:val="32"/>
          <w:szCs w:val="32"/>
          <w:lang w:val="en-US" w:eastAsia="zh-CN"/>
        </w:rPr>
        <w:t>份。经统计，2022年</w:t>
      </w:r>
      <w:r>
        <w:rPr>
          <w:rFonts w:hint="eastAsia" w:ascii="Times New Roman Regular" w:hAnsi="Times New Roman Regular" w:eastAsia="仿宋" w:cs="Times New Roman Regular"/>
          <w:b w:val="0"/>
          <w:bCs w:val="0"/>
          <w:sz w:val="32"/>
          <w:szCs w:val="32"/>
          <w:lang w:val="en-US" w:eastAsia="zh-CN"/>
        </w:rPr>
        <w:t>供销社</w:t>
      </w:r>
      <w:r>
        <w:rPr>
          <w:rFonts w:hint="default" w:ascii="Times New Roman Regular" w:hAnsi="Times New Roman Regular" w:eastAsia="仿宋" w:cs="Times New Roman Regular"/>
          <w:b w:val="0"/>
          <w:bCs w:val="0"/>
          <w:sz w:val="32"/>
          <w:szCs w:val="32"/>
          <w:lang w:val="en-US" w:eastAsia="zh-CN"/>
        </w:rPr>
        <w:t>整体满意度为</w:t>
      </w:r>
      <w:r>
        <w:rPr>
          <w:rFonts w:hint="eastAsia" w:ascii="Times New Roman Regular" w:hAnsi="Times New Roman Regular" w:eastAsia="仿宋" w:cs="Times New Roman Regular"/>
          <w:b w:val="0"/>
          <w:bCs w:val="0"/>
          <w:sz w:val="32"/>
          <w:szCs w:val="32"/>
          <w:lang w:val="en-US" w:eastAsia="zh-CN"/>
        </w:rPr>
        <w:t>100</w:t>
      </w:r>
      <w:r>
        <w:rPr>
          <w:rFonts w:hint="default" w:ascii="Times New Roman Regular" w:hAnsi="Times New Roman Regular" w:eastAsia="仿宋" w:cs="Times New Roman Regular"/>
          <w:b w:val="0"/>
          <w:bCs w:val="0"/>
          <w:sz w:val="32"/>
          <w:szCs w:val="32"/>
          <w:lang w:val="en-US" w:eastAsia="zh-CN"/>
        </w:rPr>
        <w:t>%。</w:t>
      </w:r>
    </w:p>
    <w:p>
      <w:pPr>
        <w:pStyle w:val="3"/>
        <w:bidi w:val="0"/>
        <w:rPr>
          <w:rFonts w:hint="default"/>
          <w:lang w:val="en-US" w:eastAsia="zh-CN"/>
        </w:rPr>
      </w:pPr>
      <w:bookmarkStart w:id="31" w:name="_Toc22377"/>
      <w:r>
        <w:rPr>
          <w:rFonts w:hint="default"/>
          <w:lang w:val="en-US" w:eastAsia="zh-CN"/>
        </w:rPr>
        <w:t>六、综合评价情况及评价结论</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根据资金绩效评价指标体系和绩效检查情况，</w:t>
      </w:r>
      <w:r>
        <w:rPr>
          <w:rFonts w:hint="eastAsia" w:ascii="Times New Roman Regular" w:hAnsi="Times New Roman Regular" w:cs="Times New Roman Regular"/>
          <w:b w:val="0"/>
          <w:bCs w:val="0"/>
          <w:sz w:val="32"/>
          <w:szCs w:val="32"/>
          <w:lang w:val="en-US" w:eastAsia="zh-CN"/>
        </w:rPr>
        <w:t>供销社</w:t>
      </w:r>
      <w:r>
        <w:rPr>
          <w:rFonts w:hint="default" w:ascii="Times New Roman Regular" w:hAnsi="Times New Roman Regular" w:eastAsia="仿宋" w:cs="Times New Roman Regular"/>
          <w:b w:val="0"/>
          <w:bCs w:val="0"/>
          <w:sz w:val="32"/>
          <w:szCs w:val="32"/>
          <w:lang w:val="en-US" w:eastAsia="zh-CN"/>
        </w:rPr>
        <w:t>2022年度部门整体支出重点绩效评价分值100分，从部门决策、部门预算、内部制度管理、部门产出、部门效益等方面总体评价，实得</w:t>
      </w:r>
      <w:r>
        <w:rPr>
          <w:rFonts w:hint="eastAsia" w:ascii="Times New Roman Regular" w:hAnsi="Times New Roman Regular" w:cs="Times New Roman Regular"/>
          <w:b w:val="0"/>
          <w:bCs w:val="0"/>
          <w:sz w:val="32"/>
          <w:szCs w:val="32"/>
          <w:lang w:val="en-US" w:eastAsia="zh-CN"/>
        </w:rPr>
        <w:t>93.00</w:t>
      </w:r>
      <w:r>
        <w:rPr>
          <w:rFonts w:hint="default" w:ascii="Times New Roman Regular" w:hAnsi="Times New Roman Regular" w:eastAsia="仿宋" w:cs="Times New Roman Regular"/>
          <w:b w:val="0"/>
          <w:bCs w:val="0"/>
          <w:sz w:val="32"/>
          <w:szCs w:val="32"/>
          <w:lang w:val="en-US" w:eastAsia="zh-CN"/>
        </w:rPr>
        <w:t>分，被评为</w:t>
      </w:r>
      <w:r>
        <w:rPr>
          <w:rFonts w:hint="eastAsia" w:ascii="Times New Roman Regular" w:hAnsi="Times New Roman Regular" w:eastAsia="仿宋" w:cs="Times New Roman Regular"/>
          <w:b w:val="0"/>
          <w:bCs w:val="0"/>
          <w:sz w:val="32"/>
          <w:szCs w:val="32"/>
          <w:lang w:val="en-US" w:eastAsia="zh-CN"/>
        </w:rPr>
        <w:t>“优”等级</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详见附件</w:t>
      </w:r>
      <w:r>
        <w:rPr>
          <w:rFonts w:hint="eastAsia" w:ascii="仿宋" w:hAnsi="仿宋" w:cs="仿宋"/>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w:t>
      </w:r>
    </w:p>
    <w:p>
      <w:pPr>
        <w:pStyle w:val="3"/>
        <w:bidi w:val="0"/>
        <w:rPr>
          <w:rFonts w:hint="default"/>
          <w:lang w:val="en-US" w:eastAsia="zh-CN"/>
        </w:rPr>
      </w:pPr>
      <w:bookmarkStart w:id="32" w:name="_Toc21460"/>
      <w:r>
        <w:rPr>
          <w:rFonts w:hint="default"/>
          <w:lang w:val="en-US" w:eastAsia="zh-CN"/>
        </w:rPr>
        <w:t>七、存在的主要问题</w:t>
      </w:r>
      <w:bookmarkEnd w:id="32"/>
    </w:p>
    <w:p>
      <w:pPr>
        <w:pStyle w:val="4"/>
        <w:bidi w:val="0"/>
        <w:rPr>
          <w:rFonts w:hint="default"/>
          <w:lang w:val="en-US" w:eastAsia="zh-CN"/>
        </w:rPr>
      </w:pPr>
      <w:bookmarkStart w:id="33" w:name="_Toc11909"/>
      <w:r>
        <w:rPr>
          <w:rFonts w:hint="eastAsia"/>
          <w:lang w:val="en-US" w:eastAsia="zh-CN"/>
        </w:rPr>
        <w:t>（一）财务管理方面</w:t>
      </w:r>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报账资料不规范。经查看供销社</w:t>
      </w:r>
      <w:r>
        <w:rPr>
          <w:rFonts w:hint="default" w:ascii="Times New Roman Regular" w:hAnsi="Times New Roman Regular" w:eastAsia="仿宋" w:cs="Times New Roman Regular"/>
          <w:b w:val="0"/>
          <w:bCs w:val="0"/>
          <w:sz w:val="32"/>
          <w:szCs w:val="32"/>
          <w:lang w:val="en-US" w:eastAsia="zh-CN"/>
        </w:rPr>
        <w:t>2022年</w:t>
      </w:r>
      <w:r>
        <w:rPr>
          <w:rFonts w:hint="eastAsia" w:ascii="Times New Roman Regular" w:hAnsi="Times New Roman Regular" w:eastAsia="仿宋"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月</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#凭证</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档案整理</w:t>
      </w:r>
      <w:r>
        <w:rPr>
          <w:rFonts w:hint="eastAsia" w:ascii="Times New Roman Regular" w:hAnsi="Times New Roman Regular" w:eastAsia="仿宋" w:cs="Times New Roman Regular"/>
          <w:b w:val="0"/>
          <w:bCs w:val="0"/>
          <w:sz w:val="32"/>
          <w:szCs w:val="32"/>
          <w:lang w:val="en-US" w:eastAsia="zh-CN"/>
        </w:rPr>
        <w:t>费</w:t>
      </w:r>
      <w:r>
        <w:rPr>
          <w:rFonts w:hint="default" w:ascii="Times New Roman Regular" w:hAnsi="Times New Roman Regular" w:eastAsia="仿宋" w:cs="Times New Roman Regular"/>
          <w:b w:val="0"/>
          <w:bCs w:val="0"/>
          <w:sz w:val="32"/>
          <w:szCs w:val="32"/>
          <w:lang w:val="en-US" w:eastAsia="zh-CN"/>
        </w:rPr>
        <w:t>3</w:t>
      </w:r>
      <w:r>
        <w:rPr>
          <w:rFonts w:hint="eastAsia" w:ascii="Times New Roman Regular" w:hAnsi="Times New Roman Regular" w:eastAsia="仿宋" w:cs="Times New Roman Regular"/>
          <w:b w:val="0"/>
          <w:bCs w:val="0"/>
          <w:sz w:val="32"/>
          <w:szCs w:val="32"/>
          <w:lang w:val="en-US" w:eastAsia="zh-CN"/>
        </w:rPr>
        <w:t>,998.00</w:t>
      </w:r>
      <w:r>
        <w:rPr>
          <w:rFonts w:hint="default" w:ascii="Times New Roman Regular" w:hAnsi="Times New Roman Regular" w:eastAsia="仿宋" w:cs="Times New Roman Regular"/>
          <w:b w:val="0"/>
          <w:bCs w:val="0"/>
          <w:sz w:val="32"/>
          <w:szCs w:val="32"/>
          <w:lang w:val="en-US" w:eastAsia="zh-CN"/>
        </w:rPr>
        <w:t>元档案整理工作保密协议书</w:t>
      </w:r>
      <w:r>
        <w:rPr>
          <w:rFonts w:hint="eastAsia" w:ascii="Times New Roman Regular" w:hAnsi="Times New Roman Regular" w:eastAsia="仿宋" w:cs="Times New Roman Regular"/>
          <w:b w:val="0"/>
          <w:bCs w:val="0"/>
          <w:sz w:val="32"/>
          <w:szCs w:val="32"/>
          <w:lang w:val="en-US" w:eastAsia="zh-CN"/>
        </w:rPr>
        <w:t>、档案整理工作协议书未盖章。</w:t>
      </w:r>
    </w:p>
    <w:p>
      <w:pPr>
        <w:pStyle w:val="4"/>
        <w:bidi w:val="0"/>
        <w:rPr>
          <w:rFonts w:hint="eastAsia"/>
          <w:lang w:val="en-US" w:eastAsia="zh-CN"/>
        </w:rPr>
      </w:pPr>
      <w:bookmarkStart w:id="34" w:name="_Toc13098"/>
      <w:r>
        <w:rPr>
          <w:rFonts w:hint="eastAsia"/>
          <w:lang w:val="en-US" w:eastAsia="zh-CN"/>
        </w:rPr>
        <w:t>（二）资产管理方面</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1、存在资产管理不规范的情况。经现场检查单位资产发现均未贴标，很少进行资产盘点、大部分资产在资产卡片列表中未写明资产存放位置，不利于单位资产管理。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不符合《行政事业单位固定资产管理办法》规定。第四章</w:t>
      </w:r>
      <w:r>
        <w:rPr>
          <w:rFonts w:hint="eastAsia" w:ascii="Times New Roman Regular" w:hAnsi="Times New Roman Regular" w:cs="Times New Roman Regular"/>
          <w:b w:val="0"/>
          <w:bCs w:val="0"/>
          <w:sz w:val="32"/>
          <w:szCs w:val="32"/>
          <w:lang w:val="en-US" w:eastAsia="zh-CN"/>
        </w:rPr>
        <w:t>其</w:t>
      </w:r>
      <w:r>
        <w:rPr>
          <w:rFonts w:hint="eastAsia" w:ascii="Times New Roman Regular" w:hAnsi="Times New Roman Regular" w:eastAsia="仿宋" w:cs="Times New Roman Regular"/>
          <w:b w:val="0"/>
          <w:bCs w:val="0"/>
          <w:sz w:val="32"/>
          <w:szCs w:val="32"/>
          <w:lang w:val="en-US" w:eastAsia="zh-CN"/>
        </w:rPr>
        <w:t>十六条，国有资产管理部门、财务部门和使用部门应每半年对账一次，使账实、账卡、账账保持一致。每年对本部门的固定资产进行一次全面清查盘点，查明固定资产的实有数与账面结存数是否相符，固定资产的保管、使用、维修等情况是否正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2、存在资产登记不及时、登记错误的情况。经现场与固定资产卡片对应，发现一台沙发有损毁丢弃未及时申请报废处理；两台空调闲置</w:t>
      </w:r>
      <w:r>
        <w:rPr>
          <w:rFonts w:hint="default" w:ascii="Times New Roman Regular" w:hAnsi="Times New Roman Regular" w:eastAsia="仿宋" w:cs="Times New Roman Regular"/>
          <w:b w:val="0"/>
          <w:bCs w:val="0"/>
          <w:sz w:val="32"/>
          <w:szCs w:val="32"/>
          <w:lang w:val="en-US" w:eastAsia="zh-CN"/>
        </w:rPr>
        <w:t>，两台空调品牌登记有误</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违反了《行政事业单位固定资产管理办法》规定，第十九条 非正常损失削减的固定资产，由国有资产管理部门会同技术部门进行技术鉴定后，对非正常损失要查明缘由，追究责任：据鉴定看法、对非正常损失责任人的处理看法及上级部门国有资产处置看法等，填制固定资产削减通知单，办理有关注销手续。</w:t>
      </w:r>
    </w:p>
    <w:p>
      <w:pPr>
        <w:pStyle w:val="3"/>
        <w:bidi w:val="0"/>
        <w:rPr>
          <w:rFonts w:hint="default"/>
          <w:lang w:val="en-US" w:eastAsia="zh-CN"/>
        </w:rPr>
      </w:pPr>
      <w:bookmarkStart w:id="35" w:name="_Toc14513"/>
      <w:r>
        <w:rPr>
          <w:rFonts w:hint="default"/>
          <w:lang w:val="en-US" w:eastAsia="zh-CN"/>
        </w:rPr>
        <w:t>八、相关建议</w:t>
      </w:r>
      <w:bookmarkEnd w:id="35"/>
    </w:p>
    <w:p>
      <w:pPr>
        <w:pStyle w:val="4"/>
        <w:bidi w:val="0"/>
        <w:rPr>
          <w:rFonts w:hint="default"/>
          <w:lang w:val="en-US" w:eastAsia="zh-CN"/>
        </w:rPr>
      </w:pPr>
      <w:bookmarkStart w:id="36" w:name="_Toc22094"/>
      <w:r>
        <w:rPr>
          <w:rFonts w:hint="default"/>
          <w:lang w:val="en-US" w:eastAsia="zh-CN"/>
        </w:rPr>
        <w:t>（</w:t>
      </w:r>
      <w:r>
        <w:rPr>
          <w:rFonts w:hint="eastAsia"/>
          <w:lang w:val="en-US" w:eastAsia="zh-CN"/>
        </w:rPr>
        <w:t>一</w:t>
      </w:r>
      <w:r>
        <w:rPr>
          <w:rFonts w:hint="default"/>
          <w:lang w:val="en-US" w:eastAsia="zh-CN"/>
        </w:rPr>
        <w:t>）</w:t>
      </w:r>
      <w:r>
        <w:rPr>
          <w:rFonts w:hint="eastAsia"/>
          <w:lang w:val="en-US" w:eastAsia="zh-CN"/>
        </w:rPr>
        <w:t>加强财务报账审核</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规范报账程序，对相应的合同、发票审查，核实清楚。按照自身制定的各项管理制度，</w:t>
      </w:r>
      <w:r>
        <w:rPr>
          <w:rFonts w:hint="eastAsia" w:ascii="Times New Roman Regular" w:hAnsi="Times New Roman Regular" w:cs="Times New Roman Regular"/>
          <w:b w:val="0"/>
          <w:bCs w:val="0"/>
          <w:sz w:val="32"/>
          <w:szCs w:val="32"/>
          <w:lang w:val="en-US" w:eastAsia="zh-CN"/>
        </w:rPr>
        <w:t>加大</w:t>
      </w:r>
      <w:r>
        <w:rPr>
          <w:rFonts w:hint="eastAsia" w:ascii="Times New Roman Regular" w:hAnsi="Times New Roman Regular" w:eastAsia="仿宋" w:cs="Times New Roman Regular"/>
          <w:b w:val="0"/>
          <w:bCs w:val="0"/>
          <w:sz w:val="32"/>
          <w:szCs w:val="32"/>
          <w:lang w:val="en-US" w:eastAsia="zh-CN"/>
        </w:rPr>
        <w:t>对支出的审核力度，对相关资料不完整的经济事项要求补充，待补充完整相关资料后方予以支付款项。加强支出审核控制，规范资金使用，严格执行支出先审制度，规范财务支出流程，确保原始资料的完整性。</w:t>
      </w:r>
    </w:p>
    <w:p>
      <w:pPr>
        <w:pStyle w:val="4"/>
        <w:bidi w:val="0"/>
        <w:rPr>
          <w:rFonts w:hint="default"/>
          <w:lang w:val="en-US" w:eastAsia="zh-CN"/>
        </w:rPr>
      </w:pPr>
      <w:bookmarkStart w:id="37" w:name="_Toc4909"/>
      <w:r>
        <w:rPr>
          <w:rFonts w:hint="default"/>
          <w:lang w:val="en-US" w:eastAsia="zh-CN"/>
        </w:rPr>
        <w:t>（</w:t>
      </w:r>
      <w:r>
        <w:rPr>
          <w:rFonts w:hint="eastAsia"/>
          <w:lang w:val="en-US" w:eastAsia="zh-CN"/>
        </w:rPr>
        <w:t>二</w:t>
      </w:r>
      <w:r>
        <w:rPr>
          <w:rFonts w:hint="default"/>
          <w:lang w:val="en-US" w:eastAsia="zh-CN"/>
        </w:rPr>
        <w:t>）</w:t>
      </w:r>
      <w:r>
        <w:rPr>
          <w:rFonts w:hint="eastAsia"/>
          <w:lang w:val="en-US" w:eastAsia="zh-CN"/>
        </w:rPr>
        <w:t>规范资产管理</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bookmarkStart w:id="38" w:name="_Toc18488"/>
      <w:r>
        <w:rPr>
          <w:rFonts w:hint="default" w:ascii="Times New Roman Regular" w:hAnsi="Times New Roman Regular" w:eastAsia="仿宋" w:cs="Times New Roman Regular"/>
          <w:b w:val="0"/>
          <w:bCs w:val="0"/>
          <w:sz w:val="32"/>
          <w:szCs w:val="32"/>
          <w:lang w:val="en-US" w:eastAsia="zh-CN"/>
        </w:rPr>
        <w:t>建议</w:t>
      </w:r>
      <w:r>
        <w:rPr>
          <w:rFonts w:hint="eastAsia" w:ascii="Times New Roman Regular" w:hAnsi="Times New Roman Regular" w:eastAsia="仿宋" w:cs="Times New Roman Regular"/>
          <w:b w:val="0"/>
          <w:bCs w:val="0"/>
          <w:sz w:val="32"/>
          <w:szCs w:val="32"/>
          <w:lang w:val="en-US" w:eastAsia="zh-CN"/>
        </w:rPr>
        <w:t>单位进一步</w:t>
      </w:r>
      <w:r>
        <w:rPr>
          <w:rFonts w:hint="default" w:ascii="Times New Roman Regular" w:hAnsi="Times New Roman Regular" w:eastAsia="仿宋" w:cs="Times New Roman Regular"/>
          <w:b w:val="0"/>
          <w:bCs w:val="0"/>
          <w:sz w:val="32"/>
          <w:szCs w:val="32"/>
          <w:lang w:val="en-US" w:eastAsia="zh-CN"/>
        </w:rPr>
        <w:t>规范实物资产的管理，对</w:t>
      </w:r>
      <w:r>
        <w:rPr>
          <w:rFonts w:hint="eastAsia" w:ascii="Times New Roman Regular" w:hAnsi="Times New Roman Regular" w:eastAsia="仿宋" w:cs="Times New Roman Regular"/>
          <w:b w:val="0"/>
          <w:bCs w:val="0"/>
          <w:sz w:val="32"/>
          <w:szCs w:val="32"/>
          <w:lang w:val="en-US" w:eastAsia="zh-CN"/>
        </w:rPr>
        <w:t>实物</w:t>
      </w:r>
      <w:r>
        <w:rPr>
          <w:rFonts w:hint="default" w:ascii="Times New Roman Regular" w:hAnsi="Times New Roman Regular" w:eastAsia="仿宋" w:cs="Times New Roman Regular"/>
          <w:b w:val="0"/>
          <w:bCs w:val="0"/>
          <w:sz w:val="32"/>
          <w:szCs w:val="32"/>
          <w:lang w:val="en-US" w:eastAsia="zh-CN"/>
        </w:rPr>
        <w:t>资产进行定期或不定期的盘点</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确保固定资产账实相符，对固定资产实行卡片管理，</w:t>
      </w:r>
      <w:r>
        <w:rPr>
          <w:rFonts w:hint="eastAsia" w:ascii="Times New Roman Regular" w:hAnsi="Times New Roman Regular" w:eastAsia="仿宋" w:cs="Times New Roman Regular"/>
          <w:b w:val="0"/>
          <w:bCs w:val="0"/>
          <w:sz w:val="32"/>
          <w:szCs w:val="32"/>
          <w:lang w:val="en-US" w:eastAsia="zh-CN"/>
        </w:rPr>
        <w:t>每一个固定资产进行贴标，</w:t>
      </w:r>
      <w:r>
        <w:rPr>
          <w:rFonts w:hint="default" w:ascii="Times New Roman Regular" w:hAnsi="Times New Roman Regular" w:eastAsia="仿宋" w:cs="Times New Roman Regular"/>
          <w:b w:val="0"/>
          <w:bCs w:val="0"/>
          <w:sz w:val="32"/>
          <w:szCs w:val="32"/>
          <w:lang w:val="en-US" w:eastAsia="zh-CN"/>
        </w:rPr>
        <w:t>明确使用部门及责任，确保国有资产的安全、完整。</w:t>
      </w:r>
    </w:p>
    <w:bookmarkEnd w:id="38"/>
    <w:p>
      <w:pPr>
        <w:pStyle w:val="3"/>
        <w:bidi w:val="0"/>
        <w:rPr>
          <w:rFonts w:hint="default"/>
          <w:lang w:val="en-US" w:eastAsia="zh-CN"/>
        </w:rPr>
      </w:pPr>
      <w:bookmarkStart w:id="39" w:name="_Toc4045"/>
      <w:r>
        <w:rPr>
          <w:rFonts w:hint="default"/>
          <w:lang w:val="en-US" w:eastAsia="zh-CN"/>
        </w:rPr>
        <w:t>九、报告使用情况说明</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邵阳市北塔区供销合作联合社</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邵阳市北塔区供销合作联合社</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邵阳市北塔区供销合作联合社</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cs="Times New Roman Regular"/>
          <w:b w:val="0"/>
          <w:bCs w:val="0"/>
          <w:sz w:val="32"/>
          <w:szCs w:val="32"/>
          <w:lang w:val="en-US" w:eastAsia="zh-CN"/>
        </w:rPr>
        <w:t>基础数据表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28"/>
          <w:szCs w:val="28"/>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邵阳市北塔区供销合作联合社</w:t>
      </w:r>
      <w:r>
        <w:rPr>
          <w:rFonts w:hint="default" w:ascii="Times New Roman Regular" w:hAnsi="Times New Roman Regular" w:eastAsia="仿宋" w:cs="Times New Roman Regular"/>
          <w:b w:val="0"/>
          <w:bCs w:val="0"/>
          <w:sz w:val="32"/>
          <w:szCs w:val="32"/>
          <w:lang w:val="en-US" w:eastAsia="zh-CN"/>
        </w:rPr>
        <w:t>2022年度部门整体支出绩效</w:t>
      </w:r>
      <w:r>
        <w:rPr>
          <w:rFonts w:hint="eastAsia" w:ascii="Times New Roman Regular" w:hAnsi="Times New Roman Regular" w:cs="Times New Roman Regular"/>
          <w:b w:val="0"/>
          <w:bCs w:val="0"/>
          <w:sz w:val="32"/>
          <w:szCs w:val="32"/>
          <w:lang w:val="en-US" w:eastAsia="zh-CN"/>
        </w:rPr>
        <w:t>自评</w:t>
      </w:r>
      <w:r>
        <w:rPr>
          <w:rFonts w:hint="default" w:ascii="Times New Roman Regular" w:hAnsi="Times New Roman Regular" w:eastAsia="仿宋" w:cs="Times New Roman Regular"/>
          <w:b w:val="0"/>
          <w:bCs w:val="0"/>
          <w:sz w:val="32"/>
          <w:szCs w:val="32"/>
          <w:lang w:val="en-US" w:eastAsia="zh-CN"/>
        </w:rPr>
        <w:t>表</w:t>
      </w:r>
    </w:p>
    <w:p>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0" w:firstLineChars="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ascii="仿宋" w:hAnsi="仿宋" w:eastAsia="仿宋"/>
          <w:sz w:val="32"/>
          <w:szCs w:val="32"/>
        </w:rPr>
      </w:pPr>
      <w:r>
        <w:rPr>
          <w:rFonts w:hint="eastAsia" w:ascii="楷体" w:hAnsi="楷体" w:eastAsia="楷体" w:cs="楷体"/>
          <w:sz w:val="32"/>
          <w:szCs w:val="32"/>
        </w:rPr>
        <w:t xml:space="preserve">湖南财正会计师事务所（普通合伙） </w:t>
      </w:r>
      <w:r>
        <w:rPr>
          <w:rFonts w:ascii="仿宋" w:hAnsi="仿宋" w:eastAsia="仿宋"/>
          <w:sz w:val="32"/>
          <w:szCs w:val="32"/>
        </w:rPr>
        <w:t xml:space="preserve"> </w:t>
      </w:r>
      <w:r>
        <w:rPr>
          <w:rFonts w:hint="eastAsia" w:ascii="仿宋" w:hAnsi="仿宋"/>
          <w:sz w:val="32"/>
          <w:szCs w:val="32"/>
          <w:lang w:val="en-US" w:eastAsia="zh-CN"/>
        </w:rPr>
        <w:t xml:space="preserve"> </w:t>
      </w:r>
      <w:r>
        <w:rPr>
          <w:rFonts w:hint="eastAsia" w:ascii="楷体" w:hAnsi="楷体" w:eastAsia="楷体" w:cs="楷体"/>
          <w:sz w:val="32"/>
          <w:szCs w:val="32"/>
        </w:rPr>
        <w:t>中国注册会计师：</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ind w:firstLine="0" w:firstLineChars="0"/>
        <w:textAlignment w:val="auto"/>
        <w:rPr>
          <w:rFonts w:hint="default" w:ascii="Times New Roman Regular" w:hAnsi="Times New Roman Regular" w:cs="Times New Roman Regular"/>
          <w:lang w:val="en-US" w:eastAsia="zh-CN"/>
        </w:rPr>
      </w:pPr>
      <w:r>
        <w:rPr>
          <w:rFonts w:ascii="仿宋" w:hAnsi="仿宋" w:eastAsia="仿宋"/>
          <w:sz w:val="32"/>
          <w:szCs w:val="32"/>
        </w:rPr>
        <w:t xml:space="preserve">         </w:t>
      </w:r>
      <w:r>
        <w:rPr>
          <w:rFonts w:hint="eastAsia" w:ascii="楷体" w:hAnsi="楷体" w:eastAsia="楷体" w:cs="楷体"/>
          <w:sz w:val="32"/>
          <w:szCs w:val="32"/>
          <w:lang w:val="en-US" w:eastAsia="zh-CN"/>
        </w:rPr>
        <w:t>湖南</w:t>
      </w:r>
      <w:r>
        <w:rPr>
          <w:rFonts w:hint="eastAsia" w:ascii="楷体" w:hAnsi="楷体" w:eastAsia="楷体" w:cs="楷体"/>
          <w:sz w:val="32"/>
          <w:szCs w:val="32"/>
        </w:rPr>
        <w:t>·长沙</w:t>
      </w:r>
      <w:r>
        <w:rPr>
          <w:rFonts w:ascii="仿宋" w:hAnsi="仿宋" w:eastAsia="仿宋"/>
          <w:sz w:val="32"/>
          <w:szCs w:val="32"/>
        </w:rPr>
        <w:t xml:space="preserve">         </w:t>
      </w:r>
      <w:r>
        <w:rPr>
          <w:rFonts w:hint="eastAsia" w:ascii="仿宋" w:hAnsi="仿宋"/>
          <w:sz w:val="32"/>
          <w:szCs w:val="32"/>
          <w:lang w:val="en-US" w:eastAsia="zh-CN"/>
        </w:rPr>
        <w:t xml:space="preserve">       </w:t>
      </w:r>
      <w:r>
        <w:rPr>
          <w:rFonts w:hint="eastAsia" w:ascii="楷体" w:hAnsi="楷体" w:eastAsia="楷体" w:cs="楷体"/>
          <w:sz w:val="32"/>
          <w:szCs w:val="32"/>
        </w:rPr>
        <w:t>中国注册会计师：</w:t>
      </w:r>
    </w:p>
    <w:p>
      <w:pPr>
        <w:pStyle w:val="11"/>
        <w:keepNext w:val="0"/>
        <w:keepLines w:val="0"/>
        <w:pageBreakBefore w:val="0"/>
        <w:widowControl w:val="0"/>
        <w:kinsoku/>
        <w:wordWrap/>
        <w:overflowPunct/>
        <w:topLinePunct w:val="0"/>
        <w:autoSpaceDE/>
        <w:autoSpaceDN/>
        <w:bidi w:val="0"/>
        <w:adjustRightInd/>
        <w:spacing w:before="313" w:beforeLines="100" w:after="313" w:afterLines="100" w:line="360" w:lineRule="auto"/>
        <w:ind w:firstLine="0" w:firstLineChars="0"/>
        <w:jc w:val="right"/>
        <w:textAlignment w:val="auto"/>
        <w:rPr>
          <w:rFonts w:hint="default" w:ascii="Times New Roman Regular" w:hAnsi="Times New Roman Regular" w:eastAsia="楷体" w:cs="Times New Roman Regular"/>
          <w:b w:val="0"/>
          <w:bCs w:val="0"/>
          <w:sz w:val="32"/>
          <w:szCs w:val="32"/>
          <w:lang w:val="en-US" w:eastAsia="zh-CN"/>
        </w:rPr>
      </w:pPr>
      <w:r>
        <w:rPr>
          <w:rFonts w:hint="default" w:ascii="Times New Roman Regular" w:hAnsi="Times New Roman Regular" w:eastAsia="楷体" w:cs="Times New Roman Regular"/>
          <w:kern w:val="2"/>
          <w:sz w:val="32"/>
          <w:szCs w:val="32"/>
          <w:lang w:val="en-US" w:eastAsia="zh-CN" w:bidi="ar-SA"/>
        </w:rPr>
        <w:t>二〇二三年十月二十日</w:t>
      </w:r>
    </w:p>
    <w:p>
      <w:pPr>
        <w:pStyle w:val="11"/>
        <w:keepNext w:val="0"/>
        <w:keepLines w:val="0"/>
        <w:pageBreakBefore w:val="0"/>
        <w:widowControl w:val="0"/>
        <w:kinsoku/>
        <w:wordWrap/>
        <w:overflowPunct/>
        <w:topLinePunct w:val="0"/>
        <w:autoSpaceDE/>
        <w:autoSpaceDN/>
        <w:bidi w:val="0"/>
        <w:adjustRightInd/>
        <w:spacing w:before="313" w:beforeLines="100" w:after="313" w:afterLines="100" w:line="240" w:lineRule="auto"/>
        <w:ind w:firstLine="6080" w:firstLineChars="1900"/>
        <w:textAlignment w:val="auto"/>
        <w:rPr>
          <w:rFonts w:hint="default" w:ascii="Times New Roman Regular" w:hAnsi="Times New Roman Regular" w:eastAsia="仿宋" w:cs="Times New Roman Regular"/>
          <w:b w:val="0"/>
          <w:bCs w:val="0"/>
          <w:sz w:val="32"/>
          <w:szCs w:val="32"/>
          <w:lang w:val="en-US" w:eastAsia="zh-CN"/>
        </w:rPr>
        <w:sectPr>
          <w:headerReference r:id="rId7"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0" w:leftChars="0" w:firstLine="0" w:firstLineChars="0"/>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40"/>
          <w:szCs w:val="40"/>
          <w:lang w:val="en-US" w:eastAsia="zh-CN"/>
        </w:rPr>
      </w:pPr>
      <w:r>
        <w:rPr>
          <w:rFonts w:hint="eastAsia" w:ascii="Times New Roman Regular" w:hAnsi="Times New Roman Regular" w:eastAsia="方正小标宋简体" w:cs="Times New Roman Regular"/>
          <w:b w:val="0"/>
          <w:bCs w:val="0"/>
          <w:snapToGrid w:val="0"/>
          <w:color w:val="000000"/>
          <w:spacing w:val="-3"/>
          <w:kern w:val="0"/>
          <w:sz w:val="40"/>
          <w:szCs w:val="40"/>
          <w:lang w:val="en-US" w:eastAsia="zh-CN"/>
        </w:rPr>
        <w:t>邵阳市北塔区供销合作联合社</w:t>
      </w:r>
      <w:r>
        <w:rPr>
          <w:rFonts w:hint="default" w:ascii="Times New Roman Regular" w:hAnsi="Times New Roman Regular" w:eastAsia="方正小标宋简体" w:cs="Times New Roman Regular"/>
          <w:b w:val="0"/>
          <w:bCs w:val="0"/>
          <w:snapToGrid w:val="0"/>
          <w:color w:val="000000"/>
          <w:spacing w:val="-3"/>
          <w:kern w:val="0"/>
          <w:sz w:val="40"/>
          <w:szCs w:val="40"/>
          <w:lang w:val="en-US" w:eastAsia="zh-CN"/>
        </w:rPr>
        <w:t>2022年度部门整体支出绩效评价指标表</w:t>
      </w:r>
    </w:p>
    <w:tbl>
      <w:tblPr>
        <w:tblStyle w:val="1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2"/>
        <w:gridCol w:w="1089"/>
        <w:gridCol w:w="1590"/>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2"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一级指标</w:t>
            </w:r>
          </w:p>
        </w:tc>
        <w:tc>
          <w:tcPr>
            <w:tcW w:w="361"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二级指标</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三级指标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标准分值</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评价标准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评价得分</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投入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目标设定（6分）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绩效目标合理性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绩效指标明确性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是否</w:t>
            </w:r>
            <w:r>
              <w:rPr>
                <w:rFonts w:ascii="Times New Roman" w:hAnsi="Times New Roman" w:eastAsia="宋体" w:cs="Times New Roman"/>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eastAsia="宋体" w:cs="Times New Roman"/>
                <w:color w:val="000000"/>
                <w:sz w:val="18"/>
                <w:szCs w:val="18"/>
                <w:lang w:val="en-US" w:eastAsia="zh-CN"/>
              </w:rPr>
              <w:t>每发现一项不符扣1分，</w:t>
            </w:r>
            <w:r>
              <w:rPr>
                <w:rFonts w:ascii="Times New Roman" w:hAnsi="Times New Roman" w:eastAsia="宋体" w:cs="Times New Roman"/>
                <w:color w:val="000000"/>
                <w:sz w:val="18"/>
                <w:szCs w:val="18"/>
              </w:rPr>
              <w:t>本项扣完为止。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预算配置（9分）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在职人员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控制率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以100%为标准，</w:t>
            </w:r>
            <w:r>
              <w:rPr>
                <w:rFonts w:hint="eastAsia" w:ascii="Times New Roman" w:hAnsi="Times New Roman" w:eastAsia="宋体" w:cs="Times New Roman"/>
                <w:color w:val="000000"/>
                <w:sz w:val="18"/>
                <w:szCs w:val="18"/>
              </w:rPr>
              <w:t>在职人员控制率=（在职人员数/编制数）×100%。</w:t>
            </w:r>
            <w:r>
              <w:rPr>
                <w:rFonts w:hint="eastAsia" w:ascii="Times New Roman" w:hAnsi="Times New Roman" w:eastAsia="宋体" w:cs="Times New Roman"/>
                <w:color w:val="000000"/>
                <w:sz w:val="18"/>
                <w:szCs w:val="18"/>
                <w:lang w:val="en-US" w:eastAsia="zh-CN"/>
              </w:rPr>
              <w:t>在职人员</w:t>
            </w:r>
            <w:r>
              <w:rPr>
                <w:rFonts w:ascii="Times New Roman" w:hAnsi="Times New Roman" w:eastAsia="宋体" w:cs="Times New Roman"/>
                <w:color w:val="000000"/>
                <w:sz w:val="18"/>
                <w:szCs w:val="18"/>
              </w:rPr>
              <w:t>控制率≦100%，计3分，每超过1%，扣0.3分，扣完为止。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重点支出安排率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6</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重点支出安排率≥90%，计6分；每少10%扣1.5分；低于60%不得分。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重点支出安排率=（重点预算支出/预算总支出）×100%。</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eastAsia="宋体" w:cs="Times New Roman"/>
                <w:color w:val="000000"/>
                <w:sz w:val="18"/>
                <w:szCs w:val="18"/>
                <w:lang w:val="en-US" w:eastAsia="zh-CN"/>
              </w:rPr>
              <w:t>6</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过程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预算执行（10分）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预算执行率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以100%为标准。预算执行率每下降一个百分点扣0.1分，扣完为止。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支出进度</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每发现一个项目未完成进度要求，完成资金下达的扣0.2分，扣完为止。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结转结余率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无结余，2分；有结余但不超过上年结转，1分；每超过上年结转1个百分点扣0.1分，扣完为止。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“三公经费”</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控制率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以100%为标准。控制率≤100%，计2分；每超过一个百分点扣0.4分。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政府采购执行率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100%计满分，每低于1个百分点扣0.2分。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预算管理（1</w:t>
            </w:r>
            <w:r>
              <w:rPr>
                <w:rFonts w:hint="eastAsia" w:eastAsia="宋体" w:cs="Times New Roman"/>
                <w:color w:val="000000"/>
                <w:sz w:val="18"/>
                <w:szCs w:val="18"/>
                <w:lang w:val="en-US" w:eastAsia="zh-CN"/>
              </w:rPr>
              <w:t>0</w:t>
            </w:r>
            <w:r>
              <w:rPr>
                <w:rFonts w:ascii="Times New Roman" w:hAnsi="Times New Roman" w:eastAsia="宋体" w:cs="Times New Roman"/>
                <w:color w:val="000000"/>
                <w:sz w:val="18"/>
                <w:szCs w:val="18"/>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管理制度健全性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①有制定管理制度，管理制度合法、合规、完整，计1分；</w:t>
            </w:r>
            <w:r>
              <w:rPr>
                <w:rFonts w:hint="eastAsia" w:eastAsia="宋体" w:cs="Times New Roman"/>
                <w:color w:val="000000"/>
                <w:sz w:val="18"/>
                <w:szCs w:val="18"/>
                <w:lang w:val="en-US" w:eastAsia="zh-CN"/>
              </w:rPr>
              <w:t>②</w:t>
            </w:r>
            <w:r>
              <w:rPr>
                <w:rFonts w:ascii="Times New Roman" w:hAnsi="Times New Roman" w:eastAsia="宋体" w:cs="Times New Roman"/>
                <w:color w:val="000000"/>
                <w:sz w:val="18"/>
                <w:szCs w:val="18"/>
              </w:rPr>
              <w:t>相关管理制度得到有效执行计1分。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合同签订未有效执行，扣1分。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资金使用合规性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①支出符合国家财经法规和财务管理制度规定以及有关专项资金管理办法的规定，</w:t>
            </w:r>
            <w:r>
              <w:rPr>
                <w:rFonts w:hint="eastAsia" w:eastAsia="宋体" w:cs="Times New Roman"/>
                <w:color w:val="000000"/>
                <w:sz w:val="18"/>
                <w:szCs w:val="18"/>
                <w:lang w:val="en-US" w:eastAsia="zh-CN"/>
              </w:rPr>
              <w:t>1</w:t>
            </w:r>
            <w:r>
              <w:rPr>
                <w:rFonts w:ascii="Times New Roman" w:hAnsi="Times New Roman" w:eastAsia="宋体" w:cs="Times New Roman"/>
                <w:color w:val="000000"/>
                <w:sz w:val="18"/>
                <w:szCs w:val="18"/>
              </w:rPr>
              <w:t>分。出现截留、挤占、挪用、虚列支出，大额现金支付、违规借出（占用）、乱发滥补、虚报冒领，转嫁支出、乱开户乱存放、私设小金库等违规行为，酌情扣分，扣完为止。</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②</w:t>
            </w:r>
            <w:r>
              <w:rPr>
                <w:rFonts w:ascii="Times New Roman" w:hAnsi="Times New Roman" w:eastAsia="宋体" w:cs="Times New Roman"/>
                <w:color w:val="000000"/>
                <w:sz w:val="18"/>
                <w:szCs w:val="18"/>
              </w:rPr>
              <w:t>资金拨付有完整的审批程序和手续，1分；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③项目支出按规定经过评估论证，1分；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④支出符合部门预算批复的用途，1分。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rPr>
              <w:t>存在</w:t>
            </w:r>
            <w:r>
              <w:rPr>
                <w:rFonts w:hint="eastAsia" w:ascii="Times New Roman" w:hAnsi="Times New Roman" w:eastAsia="宋体" w:cs="Times New Roman"/>
                <w:color w:val="000000"/>
                <w:sz w:val="18"/>
                <w:szCs w:val="18"/>
                <w:lang w:val="en-US" w:eastAsia="zh-CN"/>
              </w:rPr>
              <w:t>合同未盖章的情况</w:t>
            </w:r>
            <w:r>
              <w:rPr>
                <w:rFonts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酌情</w:t>
            </w:r>
            <w:r>
              <w:rPr>
                <w:rFonts w:hint="eastAsia" w:eastAsia="宋体" w:cs="Times New Roman"/>
                <w:color w:val="000000"/>
                <w:sz w:val="18"/>
                <w:szCs w:val="18"/>
                <w:lang w:val="en-US" w:eastAsia="zh-CN"/>
              </w:rPr>
              <w:t>扣</w:t>
            </w:r>
            <w:r>
              <w:rPr>
                <w:rFonts w:hint="eastAsia" w:ascii="Times New Roman" w:hAnsi="Times New Roman" w:eastAsia="宋体" w:cs="Times New Roman"/>
                <w:color w:val="000000"/>
                <w:sz w:val="18"/>
                <w:szCs w:val="18"/>
                <w:lang w:val="en-US" w:eastAsia="zh-CN"/>
              </w:rPr>
              <w:t>1</w:t>
            </w:r>
            <w:r>
              <w:rPr>
                <w:rFonts w:ascii="Times New Roman" w:hAnsi="Times New Roman" w:eastAsia="宋体" w:cs="Times New Roman"/>
                <w:color w:val="00000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预决算信息</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公开性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①按规定内容公开预决算信息，计1分；②按规定时限公开预决算信息，计1分。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基础信息完善性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①基础数据信息和会计信息资料真实，计1分；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②基础数据信息和会计信息资料完整、准确，计1分。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宋体" w:cs="Times New Roman"/>
                <w:color w:val="00000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资产管理（</w:t>
            </w:r>
            <w:r>
              <w:rPr>
                <w:rFonts w:hint="eastAsia" w:eastAsia="宋体" w:cs="Times New Roman"/>
                <w:color w:val="000000"/>
                <w:sz w:val="18"/>
                <w:szCs w:val="18"/>
                <w:lang w:val="en-US" w:eastAsia="zh-CN"/>
              </w:rPr>
              <w:t>5</w:t>
            </w:r>
            <w:r>
              <w:rPr>
                <w:rFonts w:ascii="Times New Roman" w:hAnsi="Times New Roman" w:eastAsia="宋体" w:cs="Times New Roman"/>
                <w:color w:val="000000"/>
                <w:sz w:val="18"/>
                <w:szCs w:val="18"/>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资产管理安全性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①资产保存完整，计</w:t>
            </w:r>
            <w:r>
              <w:rPr>
                <w:rFonts w:hint="eastAsia" w:eastAsia="宋体" w:cs="Times New Roman"/>
                <w:color w:val="000000"/>
                <w:sz w:val="18"/>
                <w:szCs w:val="18"/>
                <w:lang w:val="en-US" w:eastAsia="zh-CN"/>
              </w:rPr>
              <w:t>1</w:t>
            </w:r>
            <w:r>
              <w:rPr>
                <w:rFonts w:ascii="Times New Roman" w:hAnsi="Times New Roman" w:eastAsia="宋体" w:cs="Times New Roman"/>
                <w:color w:val="000000"/>
                <w:sz w:val="18"/>
                <w:szCs w:val="18"/>
              </w:rPr>
              <w:t>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②资产配置合理，计</w:t>
            </w:r>
            <w:r>
              <w:rPr>
                <w:rFonts w:hint="eastAsia" w:eastAsia="宋体" w:cs="Times New Roman"/>
                <w:color w:val="000000"/>
                <w:sz w:val="18"/>
                <w:szCs w:val="18"/>
                <w:lang w:val="en-US" w:eastAsia="zh-CN"/>
              </w:rPr>
              <w:t>1</w:t>
            </w:r>
            <w:r>
              <w:rPr>
                <w:rFonts w:ascii="Times New Roman" w:hAnsi="Times New Roman" w:eastAsia="宋体" w:cs="Times New Roman"/>
                <w:color w:val="000000"/>
                <w:sz w:val="18"/>
                <w:szCs w:val="18"/>
              </w:rPr>
              <w:t>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③资产配置规范，计</w:t>
            </w:r>
            <w:r>
              <w:rPr>
                <w:rFonts w:hint="eastAsia" w:eastAsia="宋体" w:cs="Times New Roman"/>
                <w:color w:val="000000"/>
                <w:sz w:val="18"/>
                <w:szCs w:val="18"/>
                <w:lang w:val="en-US" w:eastAsia="zh-CN"/>
              </w:rPr>
              <w:t>1</w:t>
            </w:r>
            <w:r>
              <w:rPr>
                <w:rFonts w:ascii="Times New Roman" w:hAnsi="Times New Roman" w:eastAsia="宋体" w:cs="Times New Roman"/>
                <w:color w:val="000000"/>
                <w:sz w:val="18"/>
                <w:szCs w:val="18"/>
              </w:rPr>
              <w:t>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④资产账务管理合规，账实相符，计</w:t>
            </w:r>
            <w:r>
              <w:rPr>
                <w:rFonts w:hint="eastAsia" w:eastAsia="宋体" w:cs="Times New Roman"/>
                <w:color w:val="000000"/>
                <w:sz w:val="18"/>
                <w:szCs w:val="18"/>
                <w:lang w:val="en-US" w:eastAsia="zh-CN"/>
              </w:rPr>
              <w:t>1</w:t>
            </w:r>
            <w:r>
              <w:rPr>
                <w:rFonts w:ascii="Times New Roman" w:hAnsi="Times New Roman" w:eastAsia="宋体" w:cs="Times New Roman"/>
                <w:color w:val="000000"/>
                <w:sz w:val="18"/>
                <w:szCs w:val="18"/>
              </w:rPr>
              <w:t>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一是资产未贴标；二是存在资产损毁未及时申请报废、固定资产有闲置的情况，</w:t>
            </w:r>
            <w:r>
              <w:rPr>
                <w:rFonts w:hint="default" w:ascii="Times New Roman" w:hAnsi="Times New Roman" w:eastAsia="宋体" w:cs="Times New Roman"/>
                <w:color w:val="000000"/>
                <w:sz w:val="18"/>
                <w:szCs w:val="18"/>
                <w:lang w:val="en-US" w:eastAsia="zh-CN"/>
              </w:rPr>
              <w:t>两台空调品牌登记有误</w:t>
            </w:r>
            <w:r>
              <w:rPr>
                <w:rFonts w:hint="default"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扣</w:t>
            </w:r>
            <w:r>
              <w:rPr>
                <w:rFonts w:hint="eastAsia" w:eastAsia="宋体" w:cs="Times New Roman"/>
                <w:color w:val="000000"/>
                <w:sz w:val="18"/>
                <w:szCs w:val="18"/>
                <w:lang w:val="en-US" w:eastAsia="zh-CN"/>
              </w:rPr>
              <w:t>4</w:t>
            </w:r>
            <w:r>
              <w:rPr>
                <w:rFonts w:hint="eastAsia" w:ascii="Times New Roman" w:hAnsi="Times New Roman" w:eastAsia="宋体" w:cs="Times New Roman"/>
                <w:color w:val="000000"/>
                <w:sz w:val="18"/>
                <w:szCs w:val="18"/>
                <w:lang w:val="en-US" w:eastAsia="zh-CN"/>
              </w:rPr>
              <w:t>分</w:t>
            </w:r>
            <w:r>
              <w:rPr>
                <w:rFonts w:ascii="Times New Roman" w:hAnsi="Times New Roman" w:eastAsia="宋体" w:cs="Times New Roman"/>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固定资产利用率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每低于100%一个百分点扣0.1分，扣完为止。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资产利用率</w:t>
            </w:r>
            <w:r>
              <w:rPr>
                <w:rFonts w:hint="default" w:ascii="Times New Roman" w:hAnsi="Times New Roman" w:eastAsia="宋体" w:cs="Times New Roman"/>
                <w:color w:val="000000"/>
                <w:sz w:val="18"/>
                <w:szCs w:val="18"/>
                <w:lang w:val="en-US" w:eastAsia="zh-CN"/>
              </w:rPr>
              <w:t>7</w:t>
            </w:r>
            <w:r>
              <w:rPr>
                <w:rFonts w:hint="eastAsia" w:ascii="Times New Roman" w:hAnsi="Times New Roman" w:eastAsia="宋体" w:cs="Times New Roman"/>
                <w:color w:val="000000"/>
                <w:sz w:val="18"/>
                <w:szCs w:val="18"/>
                <w:lang w:val="en-US" w:eastAsia="zh-CN"/>
              </w:rPr>
              <w:t>8.26%，</w:t>
            </w:r>
            <w:r>
              <w:rPr>
                <w:rFonts w:hint="default" w:ascii="Times New Roman" w:hAnsi="Times New Roman" w:eastAsia="宋体" w:cs="Times New Roman"/>
                <w:color w:val="000000"/>
                <w:sz w:val="18"/>
                <w:szCs w:val="18"/>
                <w:lang w:val="en-US" w:eastAsia="zh-CN"/>
              </w:rPr>
              <w:t>扣</w:t>
            </w:r>
            <w:r>
              <w:rPr>
                <w:rFonts w:hint="eastAsia" w:eastAsia="宋体" w:cs="Times New Roman"/>
                <w:color w:val="000000"/>
                <w:sz w:val="18"/>
                <w:szCs w:val="18"/>
                <w:lang w:val="en-US" w:eastAsia="zh-CN"/>
              </w:rPr>
              <w:t>1</w:t>
            </w:r>
            <w:r>
              <w:rPr>
                <w:rFonts w:hint="eastAsia" w:ascii="Times New Roman" w:hAnsi="Times New Roman" w:eastAsia="宋体" w:cs="Times New Roman"/>
                <w:color w:val="000000"/>
                <w:sz w:val="18"/>
                <w:szCs w:val="18"/>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产出</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职责履行（</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部门单位履职、运转</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6</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单位履职、运转正常，计</w:t>
            </w:r>
            <w:r>
              <w:rPr>
                <w:rFonts w:hint="eastAsia" w:ascii="Times New Roman" w:hAnsi="Times New Roman" w:eastAsia="宋体" w:cs="Times New Roman"/>
                <w:color w:val="000000"/>
                <w:sz w:val="18"/>
                <w:szCs w:val="18"/>
                <w:lang w:val="en-US" w:eastAsia="zh-CN"/>
              </w:rPr>
              <w:t>6</w:t>
            </w:r>
            <w:r>
              <w:rPr>
                <w:rFonts w:ascii="Times New Roman" w:hAnsi="Times New Roman" w:eastAsia="宋体" w:cs="Times New Roman"/>
                <w:color w:val="000000"/>
                <w:sz w:val="18"/>
                <w:szCs w:val="18"/>
              </w:rPr>
              <w:t>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6</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2"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完成资源回收利用工作</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截止2022年底，已完成9个村级再生资源分拣站及全区再生资源分拣中心；工作完成率100%，得满分；未达到按实际完成情况得分。</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2"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完成传统经营服务网络</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完成农资网点累计发展到16个，供销社农资市场占有率超过70 %。工作完成率100%，得满分；未达到按实际完成情况得分。</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ascii="Times New Roman" w:hAnsi="Times New Roman" w:eastAsia="宋体" w:cs="Times New Roman"/>
                <w:color w:val="000000"/>
                <w:sz w:val="18"/>
                <w:szCs w:val="18"/>
              </w:rPr>
            </w:pP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完成镇街涉农业务服务窗口</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完成镇街涉农业务服务窗口；工作完成率100%，得满分；未达到按实际完成情况得分，指标分值=（实际完成额/计划完成额）×100%*指标标准分值。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hint="default"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完成陈家桥供销社、农资市场经营部安全生产应急预案</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领导陈家桥供销社、农资市场经营部等全部制定了安全生产应急预案，同时积极响应区委、区政府要求深入开展“安全生产月”各项活动，扎实开展消防管理安全、涉氨治理安全、全区废品店等重点安全生产整治活动。工作完成率100%，得满分；未达到按实际完成情况得分。</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指标分值=（实际完成额/计划完成额）×100%*指标标准分值。</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textAlignment w:val="auto"/>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both"/>
              <w:textAlignment w:val="auto"/>
              <w:rPr>
                <w:rFonts w:hint="eastAsia" w:ascii="Times New Roman" w:hAnsi="Times New Roman" w:eastAsia="宋体" w:cs="Times New Roman"/>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工作完成</w:t>
            </w:r>
            <w:r>
              <w:rPr>
                <w:rFonts w:ascii="Times New Roman" w:hAnsi="Times New Roman" w:eastAsia="宋体" w:cs="Times New Roman"/>
                <w:color w:val="000000"/>
                <w:sz w:val="18"/>
                <w:szCs w:val="18"/>
              </w:rPr>
              <w:t>及时性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在计划时间内完成工作，得4分，未按时完成，根据完成时间酌情扣分。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各项工作</w:t>
            </w:r>
            <w:r>
              <w:rPr>
                <w:rFonts w:ascii="Times New Roman" w:hAnsi="Times New Roman" w:eastAsia="宋体" w:cs="Times New Roman"/>
                <w:color w:val="000000"/>
                <w:sz w:val="18"/>
                <w:szCs w:val="18"/>
              </w:rPr>
              <w:t>成本节约率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成本节约率=[（计划成本-实际成本）/计划成本]×100%。成本节约率10%（不含）以上，得4分；成本节约率5%（不含）-10%（含）得3分，成本节约率5%（含）以下得2分。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效果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职责效益（</w:t>
            </w:r>
            <w:r>
              <w:rPr>
                <w:rFonts w:hint="eastAsia" w:ascii="Times New Roman" w:hAnsi="Times New Roman" w:eastAsia="宋体" w:cs="Times New Roman"/>
                <w:color w:val="000000"/>
                <w:sz w:val="18"/>
                <w:szCs w:val="18"/>
                <w:lang w:val="en-US" w:eastAsia="zh-CN"/>
              </w:rPr>
              <w:t>30</w:t>
            </w:r>
            <w:r>
              <w:rPr>
                <w:rFonts w:ascii="Times New Roman" w:hAnsi="Times New Roman" w:eastAsia="宋体" w:cs="Times New Roman"/>
                <w:color w:val="000000"/>
                <w:sz w:val="18"/>
                <w:szCs w:val="18"/>
              </w:rPr>
              <w:t>分）</w:t>
            </w: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FF0000"/>
                <w:sz w:val="18"/>
                <w:szCs w:val="18"/>
              </w:rPr>
            </w:pPr>
            <w:r>
              <w:rPr>
                <w:rFonts w:hint="eastAsia" w:ascii="Times New Roman" w:hAnsi="Times New Roman" w:eastAsia="宋体" w:cs="Times New Roman"/>
                <w:color w:val="000000"/>
                <w:sz w:val="18"/>
                <w:szCs w:val="18"/>
                <w:lang w:val="en-US" w:eastAsia="zh-CN"/>
              </w:rPr>
              <w:t>可持续影响</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eastAsia="宋体" w:cs="Times New Roman"/>
                <w:color w:val="auto"/>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FF0000"/>
                <w:sz w:val="18"/>
                <w:szCs w:val="18"/>
              </w:rPr>
            </w:pPr>
            <w:r>
              <w:rPr>
                <w:rFonts w:hint="eastAsia" w:ascii="Times New Roman" w:hAnsi="Times New Roman" w:eastAsia="宋体" w:cs="Times New Roman"/>
                <w:color w:val="000000"/>
                <w:sz w:val="18"/>
                <w:szCs w:val="18"/>
                <w:lang w:val="en-US" w:eastAsia="zh-CN"/>
              </w:rPr>
              <w:t>考核单位工作的开展是否能降能节耗，制止资源浪费，有效利用资源，节约财政资金，提升服务质量，根据问卷调查统计结果，结合单位工作开展情况，90%的受益群众觉得效果显著得10分。则每下降5%，扣1分，扣完为止</w:t>
            </w:r>
            <w:r>
              <w:rPr>
                <w:rFonts w:ascii="Times New Roman" w:hAnsi="Times New Roman" w:cs="Times New Roman" w:eastAsiaTheme="minorEastAsia"/>
                <w:color w:val="000000"/>
                <w:sz w:val="18"/>
                <w:szCs w:val="18"/>
              </w:rPr>
              <w:t>。</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FF0000"/>
                <w:sz w:val="18"/>
                <w:szCs w:val="18"/>
              </w:rPr>
            </w:pPr>
            <w:r>
              <w:rPr>
                <w:rFonts w:hint="eastAsia" w:ascii="Times New Roman" w:hAnsi="Times New Roman" w:eastAsia="宋体" w:cs="Times New Roman"/>
                <w:color w:val="000000"/>
                <w:sz w:val="18"/>
                <w:szCs w:val="18"/>
                <w:lang w:val="en-US" w:eastAsia="zh-CN"/>
              </w:rPr>
              <w:t>社会效益</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FF0000"/>
                <w:sz w:val="18"/>
                <w:szCs w:val="18"/>
              </w:rPr>
            </w:pPr>
            <w:r>
              <w:rPr>
                <w:rFonts w:hint="eastAsia" w:ascii="Times New Roman" w:hAnsi="Times New Roman" w:eastAsia="宋体" w:cs="Times New Roman"/>
                <w:color w:val="000000"/>
                <w:sz w:val="18"/>
                <w:szCs w:val="18"/>
                <w:lang w:val="en-US" w:eastAsia="zh-CN"/>
              </w:rPr>
              <w:t>考核单位工作的开展是否给群众生活带来便利，根据问卷调查统计结果，结合单位工作开展情况，90%的群众觉得效果显著得10分。则每下降5%，扣1分，扣完为止。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color w:val="000000"/>
                <w:sz w:val="18"/>
                <w:szCs w:val="18"/>
              </w:rPr>
            </w:pPr>
          </w:p>
        </w:tc>
        <w:tc>
          <w:tcPr>
            <w:tcW w:w="5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单位职工</w:t>
            </w:r>
            <w:r>
              <w:rPr>
                <w:rFonts w:hint="eastAsia" w:ascii="Times New Roman" w:hAnsi="Times New Roman" w:eastAsia="宋体" w:cs="Times New Roman"/>
                <w:color w:val="000000"/>
                <w:sz w:val="18"/>
                <w:szCs w:val="18"/>
                <w:lang w:val="en-US" w:eastAsia="zh-CN"/>
              </w:rPr>
              <w:t>及受益群众</w:t>
            </w:r>
            <w:r>
              <w:rPr>
                <w:rFonts w:ascii="Times New Roman" w:hAnsi="Times New Roman" w:eastAsia="宋体" w:cs="Times New Roman"/>
                <w:color w:val="000000"/>
                <w:sz w:val="18"/>
                <w:szCs w:val="18"/>
              </w:rPr>
              <w:t>满意度</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以调查问卷为依据。</w:t>
            </w:r>
            <w:r>
              <w:rPr>
                <w:rFonts w:hint="eastAsia" w:ascii="Times New Roman" w:hAnsi="Times New Roman" w:eastAsia="宋体" w:cs="Times New Roman"/>
                <w:color w:val="000000"/>
                <w:sz w:val="18"/>
                <w:szCs w:val="18"/>
                <w:lang w:val="en-US" w:eastAsia="zh-CN"/>
              </w:rPr>
              <w:t>单位职工及受益对象</w:t>
            </w:r>
            <w:r>
              <w:rPr>
                <w:rFonts w:ascii="Times New Roman" w:hAnsi="Times New Roman" w:eastAsia="宋体" w:cs="Times New Roman"/>
                <w:color w:val="000000"/>
                <w:sz w:val="18"/>
                <w:szCs w:val="18"/>
              </w:rPr>
              <w:t>满意度≥95%计</w:t>
            </w:r>
            <w:r>
              <w:rPr>
                <w:rFonts w:hint="eastAsia" w:eastAsia="宋体" w:cs="Times New Roman"/>
                <w:color w:val="000000"/>
                <w:sz w:val="18"/>
                <w:szCs w:val="18"/>
                <w:lang w:val="en-US" w:eastAsia="zh-CN"/>
              </w:rPr>
              <w:t>10</w:t>
            </w:r>
            <w:r>
              <w:rPr>
                <w:rFonts w:ascii="Times New Roman" w:hAnsi="Times New Roman" w:eastAsia="宋体" w:cs="Times New Roman"/>
                <w:color w:val="000000"/>
                <w:sz w:val="18"/>
                <w:szCs w:val="18"/>
              </w:rPr>
              <w:t>分：每低5%扣1分。满意度＜75%计0分。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93.00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000000"/>
                <w:sz w:val="18"/>
                <w:szCs w:val="18"/>
              </w:rPr>
            </w:pPr>
          </w:p>
        </w:tc>
      </w:tr>
    </w:tbl>
    <w:p>
      <w:pPr>
        <w:numPr>
          <w:ilvl w:val="0"/>
          <w:numId w:val="0"/>
        </w:numPr>
        <w:jc w:val="both"/>
        <w:rPr>
          <w:rFonts w:hint="default" w:ascii="Times New Roman Regular" w:hAnsi="Times New Roman Regular" w:eastAsia="仿宋" w:cs="Times New Roman Regular"/>
          <w:b w:val="0"/>
          <w:bCs w:val="0"/>
          <w:sz w:val="31"/>
          <w:szCs w:val="31"/>
          <w:lang w:val="en-US" w:eastAsia="zh-CN"/>
        </w:rPr>
      </w:pPr>
    </w:p>
    <w:p>
      <w:pPr>
        <w:pStyle w:val="2"/>
        <w:rPr>
          <w:rFonts w:hint="default" w:ascii="Times New Roman Regular" w:hAnsi="Times New Roman Regular" w:eastAsia="仿宋" w:cs="Times New Roman Regular"/>
          <w:b w:val="0"/>
          <w:bCs w:val="0"/>
          <w:sz w:val="31"/>
          <w:szCs w:val="3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sectPr>
          <w:headerReference r:id="rId8" w:type="default"/>
          <w:footerReference r:id="rId9"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28"/>
          <w:szCs w:val="28"/>
          <w:lang w:val="en-US" w:eastAsia="zh-CN"/>
        </w:rPr>
      </w:pPr>
      <w:r>
        <w:rPr>
          <w:rFonts w:hint="default" w:ascii="Times New Roman" w:hAnsi="Times New Roman" w:eastAsia="方正小标宋_GBK" w:cs="Times New Roman"/>
          <w:b w:val="0"/>
          <w:bCs w:val="0"/>
          <w:sz w:val="28"/>
          <w:szCs w:val="28"/>
          <w:lang w:val="en-US" w:eastAsia="zh-CN"/>
        </w:rPr>
        <w:t>邵阳市北塔区供销合作联合社2022年度部门整体支出基础数据表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8"/>
        <w:gridCol w:w="1737"/>
        <w:gridCol w:w="173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3258" w:type="dxa"/>
            <w:tcBorders>
              <w:tl2br w:val="nil"/>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项目</w:t>
            </w:r>
          </w:p>
        </w:tc>
        <w:tc>
          <w:tcPr>
            <w:tcW w:w="1737" w:type="dxa"/>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本年预算数</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本年实际数</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上年实际数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rPr>
              <w:t>一、基本支出</w:t>
            </w:r>
            <w:r>
              <w:rPr>
                <w:rStyle w:val="25"/>
                <w:rFonts w:hint="default" w:ascii="Times New Roman" w:hAnsi="Times New Roman" w:cs="Times New Roman" w:eastAsiaTheme="minorEastAsia"/>
                <w:b w:val="0"/>
                <w:sz w:val="21"/>
                <w:szCs w:val="21"/>
                <w:lang w:val="en-US" w:eastAsia="zh-CN"/>
              </w:rPr>
              <w:t xml:space="preserve"> </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77.82</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99.3</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82.79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1、人员经费</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63.8</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68</w:t>
            </w:r>
            <w:r>
              <w:rPr>
                <w:rStyle w:val="25"/>
                <w:rFonts w:hint="default" w:ascii="Times New Roman" w:hAnsi="Times New Roman" w:cs="Times New Roman" w:eastAsiaTheme="minorEastAsia"/>
                <w:b w:val="0"/>
                <w:sz w:val="21"/>
                <w:szCs w:val="21"/>
                <w:lang w:val="en-US" w:eastAsia="zh-CN"/>
              </w:rPr>
              <w:t>.</w:t>
            </w:r>
            <w:r>
              <w:rPr>
                <w:rStyle w:val="25"/>
                <w:rFonts w:hint="default" w:ascii="Times New Roman" w:hAnsi="Times New Roman" w:cs="Times New Roman" w:eastAsiaTheme="minorEastAsia"/>
                <w:b w:val="0"/>
                <w:sz w:val="21"/>
                <w:szCs w:val="21"/>
              </w:rPr>
              <w:t>8</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2、公用经费</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7.02</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rPr>
            </w:pPr>
            <w:r>
              <w:rPr>
                <w:rStyle w:val="25"/>
                <w:rFonts w:hint="default" w:ascii="Times New Roman" w:hAnsi="Times New Roman" w:cs="Times New Roman" w:eastAsiaTheme="minorEastAsia"/>
                <w:b w:val="0"/>
                <w:sz w:val="21"/>
                <w:szCs w:val="21"/>
                <w:lang w:val="en-US" w:eastAsia="zh-CN"/>
              </w:rPr>
              <w:t>30.5</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二、项目支出</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7</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155.18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rPr>
              <w:t>1、</w:t>
            </w:r>
            <w:r>
              <w:rPr>
                <w:rStyle w:val="25"/>
                <w:rFonts w:hint="default" w:ascii="Times New Roman" w:hAnsi="Times New Roman" w:cs="Times New Roman" w:eastAsiaTheme="minorEastAsia"/>
                <w:b w:val="0"/>
                <w:sz w:val="21"/>
                <w:szCs w:val="21"/>
                <w:lang w:val="en-US" w:eastAsia="zh-CN"/>
              </w:rPr>
              <w:t>商业流通事务</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color w:val="000000"/>
                <w:sz w:val="21"/>
                <w:szCs w:val="21"/>
                <w:lang w:val="en-US" w:eastAsia="zh-CN"/>
              </w:rPr>
            </w:pPr>
            <w:r>
              <w:rPr>
                <w:rFonts w:hint="default" w:ascii="Times New Roman" w:hAnsi="Times New Roman" w:cs="Times New Roman" w:eastAsiaTheme="minorEastAsia"/>
                <w:b w:val="0"/>
                <w:color w:val="000000"/>
                <w:sz w:val="21"/>
                <w:szCs w:val="21"/>
                <w:lang w:val="en-US" w:eastAsia="zh-CN"/>
              </w:rPr>
              <w:t>155.18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2、供销经费</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3</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color w:val="000000"/>
                <w:sz w:val="21"/>
                <w:szCs w:val="21"/>
                <w:lang w:val="en-US" w:eastAsia="zh-CN"/>
              </w:rPr>
            </w:pPr>
            <w:r>
              <w:rPr>
                <w:rFonts w:hint="default" w:ascii="Times New Roman" w:hAnsi="Times New Roman" w:cs="Times New Roman" w:eastAsiaTheme="minorEastAsia"/>
                <w:b w:val="0"/>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3</w:t>
            </w:r>
            <w:r>
              <w:rPr>
                <w:rStyle w:val="25"/>
                <w:rFonts w:hint="default" w:ascii="Times New Roman" w:hAnsi="Times New Roman" w:cs="Times New Roman" w:eastAsiaTheme="minorEastAsia"/>
                <w:b w:val="0"/>
                <w:sz w:val="21"/>
                <w:szCs w:val="21"/>
              </w:rPr>
              <w:t>、</w:t>
            </w:r>
            <w:r>
              <w:rPr>
                <w:rStyle w:val="25"/>
                <w:rFonts w:hint="default" w:ascii="Times New Roman" w:hAnsi="Times New Roman" w:cs="Times New Roman" w:eastAsiaTheme="minorEastAsia"/>
                <w:b w:val="0"/>
                <w:sz w:val="21"/>
                <w:szCs w:val="21"/>
                <w:lang w:val="en-US" w:eastAsia="zh-CN"/>
              </w:rPr>
              <w:t>基层社</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2</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4</w:t>
            </w:r>
            <w:r>
              <w:rPr>
                <w:rStyle w:val="25"/>
                <w:rFonts w:hint="default" w:ascii="Times New Roman" w:hAnsi="Times New Roman" w:cs="Times New Roman" w:eastAsiaTheme="minorEastAsia"/>
                <w:b w:val="0"/>
                <w:sz w:val="21"/>
                <w:szCs w:val="21"/>
                <w:lang w:eastAsia="zh-CN"/>
              </w:rPr>
              <w:t>、</w:t>
            </w:r>
            <w:r>
              <w:rPr>
                <w:rStyle w:val="25"/>
                <w:rFonts w:hint="default" w:ascii="Times New Roman" w:hAnsi="Times New Roman" w:cs="Times New Roman" w:eastAsiaTheme="minorEastAsia"/>
                <w:b w:val="0"/>
                <w:sz w:val="21"/>
                <w:szCs w:val="21"/>
                <w:lang w:val="en-US" w:eastAsia="zh-CN"/>
              </w:rPr>
              <w:t>再生资源回收</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2</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三、“三公经费”支出</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①公务接待费</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②车辆购置经费</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 xml:space="preserve">  车辆运行经费</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eastAsia" w:ascii="Times New Roman" w:hAnsi="Times New Roman" w:cs="Times New Roman" w:eastAsiaTheme="minorEastAsia"/>
                <w:b w:val="0"/>
                <w:sz w:val="21"/>
                <w:szCs w:val="21"/>
                <w:lang w:val="en-US" w:eastAsia="zh-CN"/>
              </w:rPr>
              <w:t>四</w:t>
            </w:r>
            <w:r>
              <w:rPr>
                <w:rStyle w:val="25"/>
                <w:rFonts w:hint="default" w:ascii="Times New Roman" w:hAnsi="Times New Roman" w:cs="Times New Roman" w:eastAsiaTheme="minorEastAsia"/>
                <w:b w:val="0"/>
                <w:sz w:val="21"/>
                <w:szCs w:val="21"/>
              </w:rPr>
              <w:t>、政府采购金额</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eastAsia" w:ascii="Times New Roman" w:hAnsi="Times New Roman" w:cs="Times New Roman" w:eastAsiaTheme="minorEastAsia"/>
                <w:b w:val="0"/>
                <w:sz w:val="21"/>
                <w:szCs w:val="21"/>
                <w:lang w:val="en-US" w:eastAsia="zh-CN"/>
              </w:rPr>
              <w:t>五</w:t>
            </w:r>
            <w:r>
              <w:rPr>
                <w:rStyle w:val="25"/>
                <w:rFonts w:hint="default" w:ascii="Times New Roman" w:hAnsi="Times New Roman" w:cs="Times New Roman" w:eastAsiaTheme="minorEastAsia"/>
                <w:b w:val="0"/>
                <w:sz w:val="21"/>
                <w:szCs w:val="21"/>
              </w:rPr>
              <w:t>、机构人员</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0</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6</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1、三定机构数（个）</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1</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1</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2、实际机构数(个）</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1</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1</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3、人员编制数（人）</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eastAsia" w:ascii="Times New Roman" w:hAnsi="Times New Roman" w:cs="Times New Roman" w:eastAsiaTheme="minorEastAsia"/>
                <w:b w:val="0"/>
                <w:sz w:val="21"/>
                <w:szCs w:val="21"/>
                <w:lang w:val="en-US" w:eastAsia="zh-CN"/>
              </w:rPr>
              <w:t>4</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eastAsia" w:ascii="Times New Roman" w:hAnsi="Times New Roman" w:cs="Times New Roman" w:eastAsiaTheme="minorEastAsia"/>
                <w:b w:val="0"/>
                <w:sz w:val="21"/>
                <w:szCs w:val="21"/>
                <w:lang w:val="en-US" w:eastAsia="zh-CN"/>
              </w:rPr>
              <w:t>4</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58"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5"/>
                <w:rFonts w:hint="default" w:ascii="Times New Roman" w:hAnsi="Times New Roman" w:cs="Times New Roman" w:eastAsiaTheme="minorEastAsia"/>
                <w:b w:val="0"/>
                <w:sz w:val="21"/>
                <w:szCs w:val="21"/>
              </w:rPr>
            </w:pPr>
            <w:r>
              <w:rPr>
                <w:rStyle w:val="25"/>
                <w:rFonts w:hint="default" w:ascii="Times New Roman" w:hAnsi="Times New Roman" w:cs="Times New Roman" w:eastAsiaTheme="minorEastAsia"/>
                <w:b w:val="0"/>
                <w:sz w:val="21"/>
                <w:szCs w:val="21"/>
              </w:rPr>
              <w:t>4、实际在职人员（人）</w:t>
            </w:r>
          </w:p>
        </w:tc>
        <w:tc>
          <w:tcPr>
            <w:tcW w:w="17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6</w:t>
            </w:r>
          </w:p>
        </w:tc>
        <w:tc>
          <w:tcPr>
            <w:tcW w:w="1737"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6</w:t>
            </w:r>
          </w:p>
        </w:tc>
        <w:tc>
          <w:tcPr>
            <w:tcW w:w="1984" w:type="dxa"/>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5"/>
                <w:rFonts w:hint="default" w:ascii="Times New Roman" w:hAnsi="Times New Roman" w:cs="Times New Roman" w:eastAsiaTheme="minorEastAsia"/>
                <w:b w:val="0"/>
                <w:sz w:val="21"/>
                <w:szCs w:val="21"/>
                <w:lang w:val="en-US" w:eastAsia="zh-CN"/>
              </w:rPr>
            </w:pPr>
            <w:r>
              <w:rPr>
                <w:rStyle w:val="25"/>
                <w:rFonts w:hint="default" w:ascii="Times New Roman" w:hAnsi="Times New Roman" w:cs="Times New Roman" w:eastAsiaTheme="minorEastAsia"/>
                <w:b w:val="0"/>
                <w:sz w:val="21"/>
                <w:szCs w:val="21"/>
                <w:lang w:val="en-US" w:eastAsia="zh-CN"/>
              </w:rPr>
              <w:t>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28"/>
          <w:szCs w:val="28"/>
          <w:lang w:val="en-US" w:eastAsia="zh-CN"/>
        </w:rPr>
      </w:pPr>
      <w:r>
        <w:rPr>
          <w:rFonts w:hint="default" w:ascii="Times New Roman" w:hAnsi="Times New Roman" w:eastAsia="方正小标宋_GBK" w:cs="Times New Roman"/>
          <w:b w:val="0"/>
          <w:bCs w:val="0"/>
          <w:sz w:val="28"/>
          <w:szCs w:val="28"/>
          <w:lang w:val="en-US" w:eastAsia="zh-CN"/>
        </w:rPr>
        <w:t>邵阳市北塔区供销合作联合社2022年度部门整体支出绩效自评表</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059"/>
        <w:gridCol w:w="908"/>
        <w:gridCol w:w="1162"/>
        <w:gridCol w:w="1085"/>
        <w:gridCol w:w="1143"/>
        <w:gridCol w:w="979"/>
        <w:gridCol w:w="81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6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单位名称</w:t>
            </w:r>
          </w:p>
        </w:tc>
        <w:tc>
          <w:tcPr>
            <w:tcW w:w="4435"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北塔区供销合作联合社</w:t>
            </w: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年度预</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算申请</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（万元）</w:t>
            </w:r>
          </w:p>
        </w:tc>
        <w:tc>
          <w:tcPr>
            <w:tcW w:w="1053"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p>
        </w:tc>
        <w:tc>
          <w:tcPr>
            <w:tcW w:w="62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年初预算数</w:t>
            </w:r>
          </w:p>
        </w:tc>
        <w:tc>
          <w:tcPr>
            <w:tcW w:w="5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全年</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预算数</w:t>
            </w:r>
          </w:p>
        </w:tc>
        <w:tc>
          <w:tcPr>
            <w:tcW w:w="60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全年执行数</w:t>
            </w:r>
          </w:p>
        </w:tc>
        <w:tc>
          <w:tcPr>
            <w:tcW w:w="52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分值</w:t>
            </w:r>
          </w:p>
        </w:tc>
        <w:tc>
          <w:tcPr>
            <w:tcW w:w="43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执行率</w:t>
            </w:r>
          </w:p>
        </w:tc>
        <w:tc>
          <w:tcPr>
            <w:tcW w:w="60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p>
        </w:tc>
        <w:tc>
          <w:tcPr>
            <w:tcW w:w="1053"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kern w:val="0"/>
                <w:sz w:val="21"/>
                <w:szCs w:val="21"/>
              </w:rPr>
              <w:t>年度资金总额</w:t>
            </w:r>
          </w:p>
        </w:tc>
        <w:tc>
          <w:tcPr>
            <w:tcW w:w="62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77.83</w:t>
            </w:r>
          </w:p>
        </w:tc>
        <w:tc>
          <w:tcPr>
            <w:tcW w:w="5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93.3</w:t>
            </w:r>
          </w:p>
        </w:tc>
        <w:tc>
          <w:tcPr>
            <w:tcW w:w="60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93.3</w:t>
            </w:r>
          </w:p>
        </w:tc>
        <w:tc>
          <w:tcPr>
            <w:tcW w:w="52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43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100%</w:t>
            </w:r>
          </w:p>
        </w:tc>
        <w:tc>
          <w:tcPr>
            <w:tcW w:w="60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2256"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按收入性质分：</w:t>
            </w:r>
          </w:p>
        </w:tc>
        <w:tc>
          <w:tcPr>
            <w:tcW w:w="217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2256"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xml:space="preserve">  其中：  一般公共预算：</w:t>
            </w:r>
            <w:r>
              <w:rPr>
                <w:rFonts w:hint="default" w:ascii="Times New Roman" w:hAnsi="Times New Roman" w:cs="Times New Roman" w:eastAsiaTheme="minorEastAsia"/>
                <w:color w:val="000000"/>
                <w:kern w:val="0"/>
                <w:sz w:val="21"/>
                <w:szCs w:val="21"/>
                <w:lang w:val="en-US" w:eastAsia="zh-CN"/>
              </w:rPr>
              <w:t>93.3</w:t>
            </w:r>
          </w:p>
        </w:tc>
        <w:tc>
          <w:tcPr>
            <w:tcW w:w="217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其中：基本支出：</w:t>
            </w:r>
            <w:r>
              <w:rPr>
                <w:rFonts w:hint="default" w:ascii="Times New Roman" w:hAnsi="Times New Roman" w:cs="Times New Roman" w:eastAsiaTheme="minorEastAsia"/>
                <w:color w:val="000000"/>
                <w:kern w:val="0"/>
                <w:sz w:val="21"/>
                <w:szCs w:val="21"/>
                <w:lang w:val="en-US" w:eastAsia="zh-CN"/>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2256"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政府性基金拨款：</w:t>
            </w:r>
            <w:r>
              <w:rPr>
                <w:rFonts w:hint="default" w:ascii="Times New Roman" w:hAnsi="Times New Roman" w:cs="Times New Roman" w:eastAsiaTheme="minorEastAsia"/>
                <w:color w:val="000000"/>
                <w:kern w:val="0"/>
                <w:sz w:val="21"/>
                <w:szCs w:val="21"/>
                <w:lang w:val="en-US" w:eastAsia="zh-CN"/>
              </w:rPr>
              <w:t>0</w:t>
            </w:r>
          </w:p>
        </w:tc>
        <w:tc>
          <w:tcPr>
            <w:tcW w:w="217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项目支出：</w:t>
            </w:r>
            <w:r>
              <w:rPr>
                <w:rFonts w:hint="default" w:ascii="Times New Roman" w:hAnsi="Times New Roman" w:cs="Times New Roman" w:eastAsiaTheme="minorEastAsia"/>
                <w:color w:val="000000"/>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2256"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纳入专户管理的非税收入拨款：</w:t>
            </w:r>
            <w:r>
              <w:rPr>
                <w:rFonts w:hint="default" w:ascii="Times New Roman" w:hAnsi="Times New Roman" w:cs="Times New Roman" w:eastAsiaTheme="minorEastAsia"/>
                <w:color w:val="000000"/>
                <w:kern w:val="0"/>
                <w:sz w:val="21"/>
                <w:szCs w:val="21"/>
                <w:lang w:val="en-US" w:eastAsia="zh-CN"/>
              </w:rPr>
              <w:t>0</w:t>
            </w:r>
          </w:p>
        </w:tc>
        <w:tc>
          <w:tcPr>
            <w:tcW w:w="217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2256"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其他资金：</w:t>
            </w:r>
            <w:r>
              <w:rPr>
                <w:rFonts w:hint="default" w:ascii="Times New Roman" w:hAnsi="Times New Roman" w:cs="Times New Roman" w:eastAsiaTheme="minorEastAsia"/>
                <w:color w:val="000000"/>
                <w:kern w:val="0"/>
                <w:sz w:val="21"/>
                <w:szCs w:val="21"/>
                <w:lang w:val="en-US" w:eastAsia="zh-CN"/>
              </w:rPr>
              <w:t>0</w:t>
            </w:r>
          </w:p>
        </w:tc>
        <w:tc>
          <w:tcPr>
            <w:tcW w:w="217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年度总体目标</w:t>
            </w:r>
          </w:p>
        </w:tc>
        <w:tc>
          <w:tcPr>
            <w:tcW w:w="2256"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预期目标</w:t>
            </w:r>
          </w:p>
        </w:tc>
        <w:tc>
          <w:tcPr>
            <w:tcW w:w="217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2256"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r>
              <w:rPr>
                <w:rFonts w:hint="default" w:ascii="Times New Roman" w:hAnsi="Times New Roman" w:cs="Times New Roman" w:eastAsiaTheme="minorEastAsia"/>
                <w:color w:val="000000"/>
                <w:kern w:val="0"/>
                <w:sz w:val="21"/>
                <w:szCs w:val="21"/>
                <w:lang w:val="en-US" w:eastAsia="zh-CN"/>
              </w:rPr>
              <w:t>93.3</w:t>
            </w:r>
            <w:r>
              <w:rPr>
                <w:rFonts w:hint="default" w:ascii="Times New Roman" w:hAnsi="Times New Roman" w:cs="Times New Roman" w:eastAsiaTheme="minorEastAsia"/>
                <w:color w:val="000000"/>
                <w:kern w:val="0"/>
                <w:sz w:val="21"/>
                <w:szCs w:val="21"/>
              </w:rPr>
              <w:t>　</w:t>
            </w:r>
          </w:p>
        </w:tc>
        <w:tc>
          <w:tcPr>
            <w:tcW w:w="217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标</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一级指标</w:t>
            </w: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62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三级指标</w:t>
            </w:r>
          </w:p>
        </w:tc>
        <w:tc>
          <w:tcPr>
            <w:tcW w:w="5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指标值</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实际完成值</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5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(50分)</w:t>
            </w: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乡、镇惠农服务中心</w:t>
            </w:r>
          </w:p>
        </w:tc>
        <w:tc>
          <w:tcPr>
            <w:tcW w:w="5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default" w:ascii="Times New Roman" w:hAnsi="Times New Roman" w:cs="Times New Roman" w:eastAsiaTheme="minorEastAsia"/>
                <w:color w:val="000000"/>
                <w:kern w:val="0"/>
                <w:sz w:val="21"/>
                <w:szCs w:val="21"/>
                <w:lang w:val="en-US" w:eastAsia="zh-CN"/>
              </w:rPr>
              <w:t>1</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56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拓宽服务平台覆盖面</w:t>
            </w:r>
          </w:p>
        </w:tc>
        <w:tc>
          <w:tcPr>
            <w:tcW w:w="5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拓宽覆盖面</w:t>
            </w:r>
          </w:p>
        </w:tc>
        <w:tc>
          <w:tcPr>
            <w:tcW w:w="6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较上年度服务平台覆盖率增加15%</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56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时效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各项任务完成时效</w:t>
            </w:r>
          </w:p>
        </w:tc>
        <w:tc>
          <w:tcPr>
            <w:tcW w:w="5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2022年年底前</w:t>
            </w:r>
          </w:p>
        </w:tc>
        <w:tc>
          <w:tcPr>
            <w:tcW w:w="6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各项任务完成</w:t>
            </w:r>
          </w:p>
        </w:tc>
        <w:tc>
          <w:tcPr>
            <w:tcW w:w="5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10</w:t>
            </w:r>
          </w:p>
        </w:tc>
        <w:tc>
          <w:tcPr>
            <w:tcW w:w="4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56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基层供销社建设</w:t>
            </w:r>
          </w:p>
        </w:tc>
        <w:tc>
          <w:tcPr>
            <w:tcW w:w="5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3万元</w:t>
            </w:r>
          </w:p>
        </w:tc>
        <w:tc>
          <w:tcPr>
            <w:tcW w:w="6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2"/>
                <w:sz w:val="21"/>
                <w:szCs w:val="21"/>
                <w:u w:val="none"/>
                <w:lang w:val="en-US" w:eastAsia="zh-CN" w:bidi="ar-SA"/>
              </w:rPr>
              <w:t>3万元</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5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（30分）</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益指标</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农民收入</w:t>
            </w:r>
          </w:p>
        </w:tc>
        <w:tc>
          <w:tcPr>
            <w:tcW w:w="5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有所提升</w:t>
            </w:r>
          </w:p>
        </w:tc>
        <w:tc>
          <w:tcPr>
            <w:tcW w:w="6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有所提升</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56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益指标</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社会影响力</w:t>
            </w:r>
          </w:p>
        </w:tc>
        <w:tc>
          <w:tcPr>
            <w:tcW w:w="5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有所提升</w:t>
            </w:r>
          </w:p>
        </w:tc>
        <w:tc>
          <w:tcPr>
            <w:tcW w:w="6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有所提升</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56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益指标</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城乡综合环境</w:t>
            </w:r>
          </w:p>
        </w:tc>
        <w:tc>
          <w:tcPr>
            <w:tcW w:w="5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有所改善</w:t>
            </w:r>
          </w:p>
        </w:tc>
        <w:tc>
          <w:tcPr>
            <w:tcW w:w="6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有所改善</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6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p>
        </w:tc>
        <w:tc>
          <w:tcPr>
            <w:tcW w:w="5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可持续影响指标</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为农服务能力</w:t>
            </w:r>
          </w:p>
        </w:tc>
        <w:tc>
          <w:tcPr>
            <w:tcW w:w="5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可持续</w:t>
            </w:r>
          </w:p>
        </w:tc>
        <w:tc>
          <w:tcPr>
            <w:tcW w:w="6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可持续</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64"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（10分）</w:t>
            </w:r>
          </w:p>
        </w:tc>
        <w:tc>
          <w:tcPr>
            <w:tcW w:w="48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服务对象满意度指标</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被服务对象</w:t>
            </w:r>
          </w:p>
        </w:tc>
        <w:tc>
          <w:tcPr>
            <w:tcW w:w="5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服务对象的满意度</w:t>
            </w:r>
          </w:p>
        </w:tc>
        <w:tc>
          <w:tcPr>
            <w:tcW w:w="6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满意</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20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20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30" w:type="pct"/>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总分</w:t>
            </w:r>
          </w:p>
        </w:tc>
        <w:tc>
          <w:tcPr>
            <w:tcW w:w="52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100</w:t>
            </w:r>
          </w:p>
        </w:tc>
        <w:tc>
          <w:tcPr>
            <w:tcW w:w="6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bl>
    <w:p>
      <w:pPr>
        <w:pStyle w:val="2"/>
        <w:ind w:left="0" w:leftChars="0" w:firstLine="0" w:firstLineChars="0"/>
        <w:rPr>
          <w:rFonts w:hint="default" w:ascii="Times New Roman Regular" w:hAnsi="Times New Roman Regular" w:eastAsia="仿宋" w:cs="Times New Roman Regular"/>
          <w:b w:val="0"/>
          <w:bCs w:val="0"/>
          <w:sz w:val="31"/>
          <w:szCs w:val="31"/>
          <w:lang w:val="en-US" w:eastAsia="zh-CN"/>
        </w:rPr>
      </w:pPr>
    </w:p>
    <w:sectPr>
      <w:headerReference r:id="rId10" w:type="default"/>
      <w:pgSz w:w="11906" w:h="16838"/>
      <w:pgMar w:top="986" w:right="1389" w:bottom="986" w:left="1389" w:header="567"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altName w:val="Arial Unicode MS"/>
    <w:panose1 w:val="03000509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96"/>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default" w:eastAsia="仿宋"/>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rPr>
                        <w:rFonts w:hint="default" w:eastAsia="仿宋"/>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6"/>
        <w:szCs w:val="16"/>
        <w:lang w:val="en-US" w:eastAsia="zh-CN"/>
      </w:rPr>
      <w:t>湖南财正会计师事务所（普通合伙）         邵阳市北塔区供销合作联合社</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邵阳市北塔区供销合作联合社</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邵阳市北塔区供销合作联合社</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0104EF2"/>
    <w:rsid w:val="003449EF"/>
    <w:rsid w:val="003D21B2"/>
    <w:rsid w:val="005F1931"/>
    <w:rsid w:val="00A83AD0"/>
    <w:rsid w:val="00D42B17"/>
    <w:rsid w:val="00D64AE1"/>
    <w:rsid w:val="00E913D2"/>
    <w:rsid w:val="01031033"/>
    <w:rsid w:val="01070A50"/>
    <w:rsid w:val="01141165"/>
    <w:rsid w:val="015107AC"/>
    <w:rsid w:val="015D63FC"/>
    <w:rsid w:val="01722330"/>
    <w:rsid w:val="019138A1"/>
    <w:rsid w:val="019404F8"/>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2EB1A96"/>
    <w:rsid w:val="030A17AF"/>
    <w:rsid w:val="034C2738"/>
    <w:rsid w:val="035B53EC"/>
    <w:rsid w:val="037B7F18"/>
    <w:rsid w:val="039E5752"/>
    <w:rsid w:val="03A04F32"/>
    <w:rsid w:val="03CD3298"/>
    <w:rsid w:val="0486237A"/>
    <w:rsid w:val="049329AF"/>
    <w:rsid w:val="049F51EA"/>
    <w:rsid w:val="04A44EF6"/>
    <w:rsid w:val="04CB4231"/>
    <w:rsid w:val="04D46306"/>
    <w:rsid w:val="04DF7CDC"/>
    <w:rsid w:val="04EF3743"/>
    <w:rsid w:val="04F33A06"/>
    <w:rsid w:val="05310411"/>
    <w:rsid w:val="05A16753"/>
    <w:rsid w:val="05CA5227"/>
    <w:rsid w:val="05E30782"/>
    <w:rsid w:val="05FD4158"/>
    <w:rsid w:val="06021276"/>
    <w:rsid w:val="061D0ABC"/>
    <w:rsid w:val="06540256"/>
    <w:rsid w:val="0664493D"/>
    <w:rsid w:val="068757A0"/>
    <w:rsid w:val="06BE710D"/>
    <w:rsid w:val="06DC2725"/>
    <w:rsid w:val="06ED486D"/>
    <w:rsid w:val="06F2601B"/>
    <w:rsid w:val="07283BBC"/>
    <w:rsid w:val="072B6F49"/>
    <w:rsid w:val="07342561"/>
    <w:rsid w:val="07667BB2"/>
    <w:rsid w:val="078828AD"/>
    <w:rsid w:val="07BE1E2B"/>
    <w:rsid w:val="082223BA"/>
    <w:rsid w:val="082F0F7A"/>
    <w:rsid w:val="087A7807"/>
    <w:rsid w:val="08E41D65"/>
    <w:rsid w:val="09AF2373"/>
    <w:rsid w:val="09E0252C"/>
    <w:rsid w:val="0A41622F"/>
    <w:rsid w:val="0A4C309B"/>
    <w:rsid w:val="0A7964DD"/>
    <w:rsid w:val="0AB32F67"/>
    <w:rsid w:val="0AC2018B"/>
    <w:rsid w:val="0AD86622"/>
    <w:rsid w:val="0AFA5870"/>
    <w:rsid w:val="0B440899"/>
    <w:rsid w:val="0B554854"/>
    <w:rsid w:val="0B8F4572"/>
    <w:rsid w:val="0BA23811"/>
    <w:rsid w:val="0BC419DA"/>
    <w:rsid w:val="0C3B6140"/>
    <w:rsid w:val="0C8373CF"/>
    <w:rsid w:val="0CB51A76"/>
    <w:rsid w:val="0D614217"/>
    <w:rsid w:val="0DA91778"/>
    <w:rsid w:val="0DB53CD0"/>
    <w:rsid w:val="0DF57489"/>
    <w:rsid w:val="0E360CA1"/>
    <w:rsid w:val="0E625C06"/>
    <w:rsid w:val="0E871098"/>
    <w:rsid w:val="0EAE1417"/>
    <w:rsid w:val="0EF21DE5"/>
    <w:rsid w:val="0F3E4E43"/>
    <w:rsid w:val="0FAF0E26"/>
    <w:rsid w:val="0FD038C7"/>
    <w:rsid w:val="0FDD4B1F"/>
    <w:rsid w:val="0FE8038D"/>
    <w:rsid w:val="10262C63"/>
    <w:rsid w:val="105709C9"/>
    <w:rsid w:val="107F1EE6"/>
    <w:rsid w:val="10B77D5F"/>
    <w:rsid w:val="10BA0895"/>
    <w:rsid w:val="10C84C25"/>
    <w:rsid w:val="10D64689"/>
    <w:rsid w:val="11075191"/>
    <w:rsid w:val="11145517"/>
    <w:rsid w:val="111D5D5A"/>
    <w:rsid w:val="111E1B8C"/>
    <w:rsid w:val="1162031D"/>
    <w:rsid w:val="11A036CE"/>
    <w:rsid w:val="12192A7F"/>
    <w:rsid w:val="123A47A4"/>
    <w:rsid w:val="125F76F2"/>
    <w:rsid w:val="1265678A"/>
    <w:rsid w:val="126948FE"/>
    <w:rsid w:val="12962DFA"/>
    <w:rsid w:val="12EB6CA7"/>
    <w:rsid w:val="12FB1166"/>
    <w:rsid w:val="12FE566B"/>
    <w:rsid w:val="134F2A5F"/>
    <w:rsid w:val="13616C00"/>
    <w:rsid w:val="13A30C34"/>
    <w:rsid w:val="13AD711E"/>
    <w:rsid w:val="13E21B19"/>
    <w:rsid w:val="144831DD"/>
    <w:rsid w:val="14494352"/>
    <w:rsid w:val="14520243"/>
    <w:rsid w:val="14A867BA"/>
    <w:rsid w:val="14C83B63"/>
    <w:rsid w:val="14E56EB1"/>
    <w:rsid w:val="156644E7"/>
    <w:rsid w:val="157601E9"/>
    <w:rsid w:val="158D5230"/>
    <w:rsid w:val="159927CF"/>
    <w:rsid w:val="15D95C1C"/>
    <w:rsid w:val="15DF178B"/>
    <w:rsid w:val="162D4C24"/>
    <w:rsid w:val="16445B83"/>
    <w:rsid w:val="165A5414"/>
    <w:rsid w:val="167D1103"/>
    <w:rsid w:val="16A3500D"/>
    <w:rsid w:val="16C17241"/>
    <w:rsid w:val="16FB6BF7"/>
    <w:rsid w:val="170F4451"/>
    <w:rsid w:val="173244A7"/>
    <w:rsid w:val="174001E4"/>
    <w:rsid w:val="176B182A"/>
    <w:rsid w:val="17740758"/>
    <w:rsid w:val="179A45B6"/>
    <w:rsid w:val="17A75370"/>
    <w:rsid w:val="17B7378B"/>
    <w:rsid w:val="17BA172D"/>
    <w:rsid w:val="17D61E1F"/>
    <w:rsid w:val="17DF2A99"/>
    <w:rsid w:val="17F17FFA"/>
    <w:rsid w:val="18334F9A"/>
    <w:rsid w:val="183C062F"/>
    <w:rsid w:val="185C1EE0"/>
    <w:rsid w:val="185E6EB6"/>
    <w:rsid w:val="18AE6DE7"/>
    <w:rsid w:val="18CC15ED"/>
    <w:rsid w:val="18E84F59"/>
    <w:rsid w:val="18FE29CF"/>
    <w:rsid w:val="190C4F45"/>
    <w:rsid w:val="1969191D"/>
    <w:rsid w:val="196B4518"/>
    <w:rsid w:val="198A392A"/>
    <w:rsid w:val="19A20B4F"/>
    <w:rsid w:val="19B72B7E"/>
    <w:rsid w:val="19C5236C"/>
    <w:rsid w:val="1A00180A"/>
    <w:rsid w:val="1AB1581F"/>
    <w:rsid w:val="1AC0098C"/>
    <w:rsid w:val="1AFD2812"/>
    <w:rsid w:val="1B0758FD"/>
    <w:rsid w:val="1B204EAB"/>
    <w:rsid w:val="1B813443"/>
    <w:rsid w:val="1C60574F"/>
    <w:rsid w:val="1C754516"/>
    <w:rsid w:val="1C7F0049"/>
    <w:rsid w:val="1C96585A"/>
    <w:rsid w:val="1CAA0778"/>
    <w:rsid w:val="1CC64099"/>
    <w:rsid w:val="1CCE090A"/>
    <w:rsid w:val="1CE9788F"/>
    <w:rsid w:val="1D496DC2"/>
    <w:rsid w:val="1E073968"/>
    <w:rsid w:val="1E2E729A"/>
    <w:rsid w:val="1E3C43D0"/>
    <w:rsid w:val="1E591960"/>
    <w:rsid w:val="1E5D6DE0"/>
    <w:rsid w:val="1E5E4D57"/>
    <w:rsid w:val="1E69544E"/>
    <w:rsid w:val="1EC30786"/>
    <w:rsid w:val="1ED16490"/>
    <w:rsid w:val="1EF77EF6"/>
    <w:rsid w:val="1EFF4D1E"/>
    <w:rsid w:val="1F3B5171"/>
    <w:rsid w:val="1F4D78E4"/>
    <w:rsid w:val="1F503DF8"/>
    <w:rsid w:val="1F5E41C7"/>
    <w:rsid w:val="1FA228EE"/>
    <w:rsid w:val="20710D0B"/>
    <w:rsid w:val="21352A19"/>
    <w:rsid w:val="21985D98"/>
    <w:rsid w:val="21A26717"/>
    <w:rsid w:val="21C32917"/>
    <w:rsid w:val="21FF14CD"/>
    <w:rsid w:val="22360E63"/>
    <w:rsid w:val="223E5BEA"/>
    <w:rsid w:val="22433200"/>
    <w:rsid w:val="2267625F"/>
    <w:rsid w:val="22A85759"/>
    <w:rsid w:val="22E845A7"/>
    <w:rsid w:val="22F10B70"/>
    <w:rsid w:val="2303007B"/>
    <w:rsid w:val="239758BD"/>
    <w:rsid w:val="23AF6E65"/>
    <w:rsid w:val="23E50309"/>
    <w:rsid w:val="24197AF2"/>
    <w:rsid w:val="24233E34"/>
    <w:rsid w:val="243A0633"/>
    <w:rsid w:val="246E33EC"/>
    <w:rsid w:val="2496290D"/>
    <w:rsid w:val="24B12ABC"/>
    <w:rsid w:val="24B228BF"/>
    <w:rsid w:val="25441520"/>
    <w:rsid w:val="254D7F7A"/>
    <w:rsid w:val="25D41548"/>
    <w:rsid w:val="25D66AB7"/>
    <w:rsid w:val="25E371D4"/>
    <w:rsid w:val="26095B77"/>
    <w:rsid w:val="26154EB4"/>
    <w:rsid w:val="264D28A0"/>
    <w:rsid w:val="26521602"/>
    <w:rsid w:val="26A338B2"/>
    <w:rsid w:val="271C503E"/>
    <w:rsid w:val="27201D62"/>
    <w:rsid w:val="27612030"/>
    <w:rsid w:val="27624C01"/>
    <w:rsid w:val="276F7F3A"/>
    <w:rsid w:val="27A110F5"/>
    <w:rsid w:val="27AC7A9A"/>
    <w:rsid w:val="27D55D47"/>
    <w:rsid w:val="27E15995"/>
    <w:rsid w:val="27F07987"/>
    <w:rsid w:val="27FD4DB1"/>
    <w:rsid w:val="281D55C8"/>
    <w:rsid w:val="28CF4308"/>
    <w:rsid w:val="28DD7B11"/>
    <w:rsid w:val="29354D1A"/>
    <w:rsid w:val="293D2493"/>
    <w:rsid w:val="29B641A3"/>
    <w:rsid w:val="29FA2D3E"/>
    <w:rsid w:val="29FD282F"/>
    <w:rsid w:val="2A0F07CB"/>
    <w:rsid w:val="2A42251A"/>
    <w:rsid w:val="2A672779"/>
    <w:rsid w:val="2ACF5971"/>
    <w:rsid w:val="2AE12A23"/>
    <w:rsid w:val="2AF46052"/>
    <w:rsid w:val="2BC538CE"/>
    <w:rsid w:val="2BC64379"/>
    <w:rsid w:val="2BD903BF"/>
    <w:rsid w:val="2BF0285A"/>
    <w:rsid w:val="2C025EDA"/>
    <w:rsid w:val="2C2B7E03"/>
    <w:rsid w:val="2C817A09"/>
    <w:rsid w:val="2C877DC8"/>
    <w:rsid w:val="2CD8457F"/>
    <w:rsid w:val="2CF453B8"/>
    <w:rsid w:val="2D293ED8"/>
    <w:rsid w:val="2D4B16D2"/>
    <w:rsid w:val="2EB3170E"/>
    <w:rsid w:val="2EC4202B"/>
    <w:rsid w:val="2F0D5D93"/>
    <w:rsid w:val="2F406891"/>
    <w:rsid w:val="2FD91648"/>
    <w:rsid w:val="2FE21531"/>
    <w:rsid w:val="2FE91CEC"/>
    <w:rsid w:val="2FEE6EA1"/>
    <w:rsid w:val="30634296"/>
    <w:rsid w:val="306E0B42"/>
    <w:rsid w:val="307B199E"/>
    <w:rsid w:val="30A36FF1"/>
    <w:rsid w:val="30BC4A8F"/>
    <w:rsid w:val="30C220DC"/>
    <w:rsid w:val="30C23098"/>
    <w:rsid w:val="30EB45DA"/>
    <w:rsid w:val="30FF1132"/>
    <w:rsid w:val="30FF63EF"/>
    <w:rsid w:val="310D4304"/>
    <w:rsid w:val="312525F7"/>
    <w:rsid w:val="314D2F38"/>
    <w:rsid w:val="317E24A7"/>
    <w:rsid w:val="318A2BFA"/>
    <w:rsid w:val="31AF08B2"/>
    <w:rsid w:val="31CC4FC0"/>
    <w:rsid w:val="31F7433A"/>
    <w:rsid w:val="3253409F"/>
    <w:rsid w:val="325E6415"/>
    <w:rsid w:val="32803FFD"/>
    <w:rsid w:val="328A4FE6"/>
    <w:rsid w:val="32953ED5"/>
    <w:rsid w:val="32C75788"/>
    <w:rsid w:val="3321758E"/>
    <w:rsid w:val="33916868"/>
    <w:rsid w:val="33CB74FA"/>
    <w:rsid w:val="342C7F98"/>
    <w:rsid w:val="344D7F0F"/>
    <w:rsid w:val="345E3ECA"/>
    <w:rsid w:val="346C7B0F"/>
    <w:rsid w:val="346F60D7"/>
    <w:rsid w:val="34894BBA"/>
    <w:rsid w:val="34A02734"/>
    <w:rsid w:val="34B044FD"/>
    <w:rsid w:val="34F34F5A"/>
    <w:rsid w:val="34F36D08"/>
    <w:rsid w:val="34F82570"/>
    <w:rsid w:val="351C000D"/>
    <w:rsid w:val="352300D8"/>
    <w:rsid w:val="3546372A"/>
    <w:rsid w:val="355E0625"/>
    <w:rsid w:val="35B71AE4"/>
    <w:rsid w:val="35BE2E72"/>
    <w:rsid w:val="35D8677A"/>
    <w:rsid w:val="360B0496"/>
    <w:rsid w:val="36211653"/>
    <w:rsid w:val="36780E50"/>
    <w:rsid w:val="36BF4B72"/>
    <w:rsid w:val="36C62378"/>
    <w:rsid w:val="36E91C82"/>
    <w:rsid w:val="36F92F47"/>
    <w:rsid w:val="376A752C"/>
    <w:rsid w:val="38031EDD"/>
    <w:rsid w:val="38033923"/>
    <w:rsid w:val="38051BB9"/>
    <w:rsid w:val="38080D1C"/>
    <w:rsid w:val="3819279E"/>
    <w:rsid w:val="38366EFB"/>
    <w:rsid w:val="383E029A"/>
    <w:rsid w:val="384B29B7"/>
    <w:rsid w:val="389B749B"/>
    <w:rsid w:val="38BC1BDC"/>
    <w:rsid w:val="38E87BBB"/>
    <w:rsid w:val="390239BE"/>
    <w:rsid w:val="390E32F6"/>
    <w:rsid w:val="3914549F"/>
    <w:rsid w:val="392D1322"/>
    <w:rsid w:val="39AB434B"/>
    <w:rsid w:val="39B4157B"/>
    <w:rsid w:val="39BD44BE"/>
    <w:rsid w:val="39E41149"/>
    <w:rsid w:val="39EB26A4"/>
    <w:rsid w:val="39FC6ECE"/>
    <w:rsid w:val="3A3F654C"/>
    <w:rsid w:val="3A5A25A6"/>
    <w:rsid w:val="3A726921"/>
    <w:rsid w:val="3AD575DA"/>
    <w:rsid w:val="3AEE41FA"/>
    <w:rsid w:val="3B273268"/>
    <w:rsid w:val="3B4200A1"/>
    <w:rsid w:val="3B7010B2"/>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361E88"/>
    <w:rsid w:val="3D9B09E2"/>
    <w:rsid w:val="3DE96EFA"/>
    <w:rsid w:val="3E1C107E"/>
    <w:rsid w:val="3EB9054F"/>
    <w:rsid w:val="3EC86B10"/>
    <w:rsid w:val="3ED41E38"/>
    <w:rsid w:val="3EEECE1A"/>
    <w:rsid w:val="3F9904AC"/>
    <w:rsid w:val="3FF35426"/>
    <w:rsid w:val="40560AE5"/>
    <w:rsid w:val="409E1999"/>
    <w:rsid w:val="40BA2AC7"/>
    <w:rsid w:val="40CD48B8"/>
    <w:rsid w:val="40E340D5"/>
    <w:rsid w:val="40F005A0"/>
    <w:rsid w:val="41063629"/>
    <w:rsid w:val="414601C0"/>
    <w:rsid w:val="414C1C7A"/>
    <w:rsid w:val="41582048"/>
    <w:rsid w:val="41653AC2"/>
    <w:rsid w:val="41A25F3E"/>
    <w:rsid w:val="41AC70DE"/>
    <w:rsid w:val="41B0748D"/>
    <w:rsid w:val="41F2582A"/>
    <w:rsid w:val="4252356B"/>
    <w:rsid w:val="42EF1C2D"/>
    <w:rsid w:val="432B3B11"/>
    <w:rsid w:val="43503F67"/>
    <w:rsid w:val="43807133"/>
    <w:rsid w:val="438644B5"/>
    <w:rsid w:val="43B35FE0"/>
    <w:rsid w:val="44544A76"/>
    <w:rsid w:val="446217B4"/>
    <w:rsid w:val="448E1010"/>
    <w:rsid w:val="44E4666D"/>
    <w:rsid w:val="45A15FBA"/>
    <w:rsid w:val="45AC4E6E"/>
    <w:rsid w:val="45B20519"/>
    <w:rsid w:val="45F90867"/>
    <w:rsid w:val="460C7193"/>
    <w:rsid w:val="462F56C6"/>
    <w:rsid w:val="4642189D"/>
    <w:rsid w:val="46805F22"/>
    <w:rsid w:val="4683047E"/>
    <w:rsid w:val="46A87652"/>
    <w:rsid w:val="471E1C87"/>
    <w:rsid w:val="47541888"/>
    <w:rsid w:val="479A2668"/>
    <w:rsid w:val="47AA2B40"/>
    <w:rsid w:val="47AC326C"/>
    <w:rsid w:val="47C415B1"/>
    <w:rsid w:val="48DF33D4"/>
    <w:rsid w:val="492F31C0"/>
    <w:rsid w:val="49301E81"/>
    <w:rsid w:val="494557C4"/>
    <w:rsid w:val="49966F85"/>
    <w:rsid w:val="49A85EBB"/>
    <w:rsid w:val="49C8593B"/>
    <w:rsid w:val="49EF7646"/>
    <w:rsid w:val="4A110D60"/>
    <w:rsid w:val="4A7D10F6"/>
    <w:rsid w:val="4AAC42E7"/>
    <w:rsid w:val="4AD221CC"/>
    <w:rsid w:val="4AD64F49"/>
    <w:rsid w:val="4AE54C23"/>
    <w:rsid w:val="4B1A06F3"/>
    <w:rsid w:val="4B9934BC"/>
    <w:rsid w:val="4BA234C7"/>
    <w:rsid w:val="4BE62CCB"/>
    <w:rsid w:val="4BEF12BE"/>
    <w:rsid w:val="4C34368B"/>
    <w:rsid w:val="4C6F4A6E"/>
    <w:rsid w:val="4C9537DB"/>
    <w:rsid w:val="4CB701C3"/>
    <w:rsid w:val="4CBE72DA"/>
    <w:rsid w:val="4CF542D3"/>
    <w:rsid w:val="4D021D86"/>
    <w:rsid w:val="4D066599"/>
    <w:rsid w:val="4D9218E1"/>
    <w:rsid w:val="4DC64B62"/>
    <w:rsid w:val="4DC95567"/>
    <w:rsid w:val="4DD42A2F"/>
    <w:rsid w:val="4DE438B0"/>
    <w:rsid w:val="4DEF364C"/>
    <w:rsid w:val="4E2078E8"/>
    <w:rsid w:val="4E4C6AC5"/>
    <w:rsid w:val="4E5E7C38"/>
    <w:rsid w:val="4E685B94"/>
    <w:rsid w:val="4E8005CA"/>
    <w:rsid w:val="4F226D6F"/>
    <w:rsid w:val="4F6E725F"/>
    <w:rsid w:val="4FC43C9F"/>
    <w:rsid w:val="4FD176D0"/>
    <w:rsid w:val="4FE51205"/>
    <w:rsid w:val="4FF43314"/>
    <w:rsid w:val="5026374E"/>
    <w:rsid w:val="505910FD"/>
    <w:rsid w:val="505D1E8E"/>
    <w:rsid w:val="50632B3C"/>
    <w:rsid w:val="507E55A3"/>
    <w:rsid w:val="50877CF3"/>
    <w:rsid w:val="508D5E0B"/>
    <w:rsid w:val="509B1CB1"/>
    <w:rsid w:val="50B37D27"/>
    <w:rsid w:val="50BE1397"/>
    <w:rsid w:val="50C40DD7"/>
    <w:rsid w:val="50EA2AF2"/>
    <w:rsid w:val="518A2886"/>
    <w:rsid w:val="51EE6435"/>
    <w:rsid w:val="524342D8"/>
    <w:rsid w:val="5273781C"/>
    <w:rsid w:val="528D62B1"/>
    <w:rsid w:val="52F925D0"/>
    <w:rsid w:val="532E399E"/>
    <w:rsid w:val="53364538"/>
    <w:rsid w:val="53782DBB"/>
    <w:rsid w:val="540006A2"/>
    <w:rsid w:val="54024923"/>
    <w:rsid w:val="54216F96"/>
    <w:rsid w:val="543640C4"/>
    <w:rsid w:val="5474356A"/>
    <w:rsid w:val="54C54DE0"/>
    <w:rsid w:val="54F503EE"/>
    <w:rsid w:val="54FB1762"/>
    <w:rsid w:val="550B7056"/>
    <w:rsid w:val="55364B38"/>
    <w:rsid w:val="555D52FB"/>
    <w:rsid w:val="559534D4"/>
    <w:rsid w:val="55A84374"/>
    <w:rsid w:val="55AB1785"/>
    <w:rsid w:val="55D835CC"/>
    <w:rsid w:val="55E04545"/>
    <w:rsid w:val="55EA5046"/>
    <w:rsid w:val="561D19DF"/>
    <w:rsid w:val="56200FBF"/>
    <w:rsid w:val="56494D5F"/>
    <w:rsid w:val="5684380C"/>
    <w:rsid w:val="568832FC"/>
    <w:rsid w:val="56A44031"/>
    <w:rsid w:val="56A85AB0"/>
    <w:rsid w:val="56B714EC"/>
    <w:rsid w:val="56DC53F6"/>
    <w:rsid w:val="56FC2A7A"/>
    <w:rsid w:val="57047689"/>
    <w:rsid w:val="572333E8"/>
    <w:rsid w:val="574F3E1A"/>
    <w:rsid w:val="57533BD6"/>
    <w:rsid w:val="57713D91"/>
    <w:rsid w:val="579E28D1"/>
    <w:rsid w:val="57F77651"/>
    <w:rsid w:val="584056FE"/>
    <w:rsid w:val="584766AC"/>
    <w:rsid w:val="58887411"/>
    <w:rsid w:val="58F632BA"/>
    <w:rsid w:val="594B0611"/>
    <w:rsid w:val="59653481"/>
    <w:rsid w:val="59C06909"/>
    <w:rsid w:val="59C44A38"/>
    <w:rsid w:val="59D16D68"/>
    <w:rsid w:val="59D32AE1"/>
    <w:rsid w:val="59FA694D"/>
    <w:rsid w:val="5A8C6946"/>
    <w:rsid w:val="5AEB5C08"/>
    <w:rsid w:val="5AFB5A70"/>
    <w:rsid w:val="5B043B8C"/>
    <w:rsid w:val="5B700A53"/>
    <w:rsid w:val="5B914A01"/>
    <w:rsid w:val="5B9F1014"/>
    <w:rsid w:val="5BF27270"/>
    <w:rsid w:val="5C0E0752"/>
    <w:rsid w:val="5C0F4C20"/>
    <w:rsid w:val="5C383A38"/>
    <w:rsid w:val="5CC02802"/>
    <w:rsid w:val="5D0E613A"/>
    <w:rsid w:val="5D4635C9"/>
    <w:rsid w:val="5D535CE6"/>
    <w:rsid w:val="5D791FAA"/>
    <w:rsid w:val="5DAE574E"/>
    <w:rsid w:val="5DEA2501"/>
    <w:rsid w:val="5E331DA0"/>
    <w:rsid w:val="5E4D76A5"/>
    <w:rsid w:val="5E5166CA"/>
    <w:rsid w:val="5E780E5B"/>
    <w:rsid w:val="5EB50A07"/>
    <w:rsid w:val="5EC2182D"/>
    <w:rsid w:val="5EE412EC"/>
    <w:rsid w:val="5EE94600"/>
    <w:rsid w:val="5F36141C"/>
    <w:rsid w:val="5F447FDD"/>
    <w:rsid w:val="5F60062F"/>
    <w:rsid w:val="5F61603C"/>
    <w:rsid w:val="5F6759EE"/>
    <w:rsid w:val="5F70492E"/>
    <w:rsid w:val="5F721217"/>
    <w:rsid w:val="5F8B1768"/>
    <w:rsid w:val="5F985888"/>
    <w:rsid w:val="5FC34395"/>
    <w:rsid w:val="5FE64113"/>
    <w:rsid w:val="5FF94923"/>
    <w:rsid w:val="602337DF"/>
    <w:rsid w:val="60557C1D"/>
    <w:rsid w:val="606E3563"/>
    <w:rsid w:val="60780645"/>
    <w:rsid w:val="60827C2A"/>
    <w:rsid w:val="60CA4515"/>
    <w:rsid w:val="61086E0F"/>
    <w:rsid w:val="61110B23"/>
    <w:rsid w:val="61164429"/>
    <w:rsid w:val="614C769B"/>
    <w:rsid w:val="616D0E9D"/>
    <w:rsid w:val="6181227D"/>
    <w:rsid w:val="61D95824"/>
    <w:rsid w:val="61DF4F25"/>
    <w:rsid w:val="622639C9"/>
    <w:rsid w:val="623615CA"/>
    <w:rsid w:val="6239194F"/>
    <w:rsid w:val="623B528F"/>
    <w:rsid w:val="624E2A9B"/>
    <w:rsid w:val="6260512D"/>
    <w:rsid w:val="62824F6D"/>
    <w:rsid w:val="62AF7F3F"/>
    <w:rsid w:val="62B337E3"/>
    <w:rsid w:val="62CF7BBD"/>
    <w:rsid w:val="630272DB"/>
    <w:rsid w:val="634702E2"/>
    <w:rsid w:val="63617B43"/>
    <w:rsid w:val="63857C95"/>
    <w:rsid w:val="641E63C8"/>
    <w:rsid w:val="649102B0"/>
    <w:rsid w:val="64AA6B34"/>
    <w:rsid w:val="64AD2180"/>
    <w:rsid w:val="64AF5EF8"/>
    <w:rsid w:val="64B95F9D"/>
    <w:rsid w:val="64BA66CA"/>
    <w:rsid w:val="64BD6867"/>
    <w:rsid w:val="64C34049"/>
    <w:rsid w:val="65513A47"/>
    <w:rsid w:val="658E038D"/>
    <w:rsid w:val="659C3ABC"/>
    <w:rsid w:val="659F2386"/>
    <w:rsid w:val="661F2C0A"/>
    <w:rsid w:val="661F4759"/>
    <w:rsid w:val="66402BC6"/>
    <w:rsid w:val="66835660"/>
    <w:rsid w:val="66AF21DF"/>
    <w:rsid w:val="66D86EEC"/>
    <w:rsid w:val="67034F8B"/>
    <w:rsid w:val="675F3C06"/>
    <w:rsid w:val="67691A21"/>
    <w:rsid w:val="6795184E"/>
    <w:rsid w:val="679F2254"/>
    <w:rsid w:val="67D320AA"/>
    <w:rsid w:val="67DF6AF4"/>
    <w:rsid w:val="68150176"/>
    <w:rsid w:val="683913C9"/>
    <w:rsid w:val="683A27FC"/>
    <w:rsid w:val="68B27D65"/>
    <w:rsid w:val="69C2588F"/>
    <w:rsid w:val="69DF38CB"/>
    <w:rsid w:val="69FC6B39"/>
    <w:rsid w:val="6A190855"/>
    <w:rsid w:val="6A1D029D"/>
    <w:rsid w:val="6A2309CD"/>
    <w:rsid w:val="6A582B8E"/>
    <w:rsid w:val="6A615EE7"/>
    <w:rsid w:val="6A643D27"/>
    <w:rsid w:val="6A701C86"/>
    <w:rsid w:val="6AA933EA"/>
    <w:rsid w:val="6AF9611F"/>
    <w:rsid w:val="6AFF6C91"/>
    <w:rsid w:val="6B5748D8"/>
    <w:rsid w:val="6B881251"/>
    <w:rsid w:val="6B916DF5"/>
    <w:rsid w:val="6BD36970"/>
    <w:rsid w:val="6C103720"/>
    <w:rsid w:val="6C1C5489"/>
    <w:rsid w:val="6C2D6214"/>
    <w:rsid w:val="6C2F7E97"/>
    <w:rsid w:val="6C3F5DB4"/>
    <w:rsid w:val="6CC0205D"/>
    <w:rsid w:val="6CC91D04"/>
    <w:rsid w:val="6CEC143C"/>
    <w:rsid w:val="6D09032B"/>
    <w:rsid w:val="6D0931DE"/>
    <w:rsid w:val="6D404752"/>
    <w:rsid w:val="6D6668C3"/>
    <w:rsid w:val="6D9051A0"/>
    <w:rsid w:val="6D9914F3"/>
    <w:rsid w:val="6DB279DA"/>
    <w:rsid w:val="6E393953"/>
    <w:rsid w:val="6E644211"/>
    <w:rsid w:val="6EA21699"/>
    <w:rsid w:val="6EE90259"/>
    <w:rsid w:val="6EEF24A9"/>
    <w:rsid w:val="6F027AF7"/>
    <w:rsid w:val="6F26325B"/>
    <w:rsid w:val="6F6A12A3"/>
    <w:rsid w:val="6F6F69B0"/>
    <w:rsid w:val="6F8F06D9"/>
    <w:rsid w:val="6F9C351D"/>
    <w:rsid w:val="6FA956FD"/>
    <w:rsid w:val="6FAA0C45"/>
    <w:rsid w:val="6FCC337B"/>
    <w:rsid w:val="6FEF189F"/>
    <w:rsid w:val="70052E70"/>
    <w:rsid w:val="700B6747"/>
    <w:rsid w:val="70461DDA"/>
    <w:rsid w:val="70801449"/>
    <w:rsid w:val="709F4389"/>
    <w:rsid w:val="70A10E07"/>
    <w:rsid w:val="70AE65AA"/>
    <w:rsid w:val="70B5428E"/>
    <w:rsid w:val="70D93F49"/>
    <w:rsid w:val="70E128AC"/>
    <w:rsid w:val="70E1634E"/>
    <w:rsid w:val="70FF2AA0"/>
    <w:rsid w:val="71107D1F"/>
    <w:rsid w:val="71316D8D"/>
    <w:rsid w:val="715F4802"/>
    <w:rsid w:val="71654D19"/>
    <w:rsid w:val="716D33C3"/>
    <w:rsid w:val="71904F75"/>
    <w:rsid w:val="71A768D5"/>
    <w:rsid w:val="71E66C33"/>
    <w:rsid w:val="71ED62B2"/>
    <w:rsid w:val="72205CFE"/>
    <w:rsid w:val="72336342"/>
    <w:rsid w:val="72676064"/>
    <w:rsid w:val="72842772"/>
    <w:rsid w:val="72844C7D"/>
    <w:rsid w:val="72A36BE8"/>
    <w:rsid w:val="72D54ABB"/>
    <w:rsid w:val="73193F46"/>
    <w:rsid w:val="731D4975"/>
    <w:rsid w:val="732D4BB8"/>
    <w:rsid w:val="734903DF"/>
    <w:rsid w:val="73BE7F06"/>
    <w:rsid w:val="73CD3228"/>
    <w:rsid w:val="73E3796C"/>
    <w:rsid w:val="74134DFB"/>
    <w:rsid w:val="7419513C"/>
    <w:rsid w:val="742D3D9C"/>
    <w:rsid w:val="74387CB8"/>
    <w:rsid w:val="745B25CA"/>
    <w:rsid w:val="74A06616"/>
    <w:rsid w:val="74AE1D28"/>
    <w:rsid w:val="74AF5AA0"/>
    <w:rsid w:val="74C55995"/>
    <w:rsid w:val="74FD49B7"/>
    <w:rsid w:val="75644ADD"/>
    <w:rsid w:val="7586788F"/>
    <w:rsid w:val="75C86411"/>
    <w:rsid w:val="76237386"/>
    <w:rsid w:val="762B7F17"/>
    <w:rsid w:val="76317141"/>
    <w:rsid w:val="765B1A3C"/>
    <w:rsid w:val="76611C61"/>
    <w:rsid w:val="769431A0"/>
    <w:rsid w:val="76DB2A57"/>
    <w:rsid w:val="771147F0"/>
    <w:rsid w:val="783B1B25"/>
    <w:rsid w:val="784328C1"/>
    <w:rsid w:val="78DA1D7B"/>
    <w:rsid w:val="78F13662"/>
    <w:rsid w:val="793E7C5B"/>
    <w:rsid w:val="79515B03"/>
    <w:rsid w:val="7955517B"/>
    <w:rsid w:val="79560DFC"/>
    <w:rsid w:val="79674B9C"/>
    <w:rsid w:val="79AC1FDF"/>
    <w:rsid w:val="79BA4CCB"/>
    <w:rsid w:val="79BC1425"/>
    <w:rsid w:val="7A1C75A3"/>
    <w:rsid w:val="7A394769"/>
    <w:rsid w:val="7A522AA2"/>
    <w:rsid w:val="7A6A4943"/>
    <w:rsid w:val="7AE40AEA"/>
    <w:rsid w:val="7AE71AF0"/>
    <w:rsid w:val="7B413F7E"/>
    <w:rsid w:val="7B885D10"/>
    <w:rsid w:val="7BE74CFC"/>
    <w:rsid w:val="7BEE6B88"/>
    <w:rsid w:val="7BF7570B"/>
    <w:rsid w:val="7C2E345F"/>
    <w:rsid w:val="7C5424A5"/>
    <w:rsid w:val="7C5A2796"/>
    <w:rsid w:val="7C605268"/>
    <w:rsid w:val="7C6A0C2B"/>
    <w:rsid w:val="7CC876FF"/>
    <w:rsid w:val="7CF46746"/>
    <w:rsid w:val="7DB86548"/>
    <w:rsid w:val="7E5D00E7"/>
    <w:rsid w:val="7E60384C"/>
    <w:rsid w:val="7E9F7825"/>
    <w:rsid w:val="7F313C82"/>
    <w:rsid w:val="7F376DBE"/>
    <w:rsid w:val="7F7162F6"/>
    <w:rsid w:val="7F9A7019"/>
    <w:rsid w:val="7FB81CAD"/>
    <w:rsid w:val="7FC85D75"/>
    <w:rsid w:val="7FD5583B"/>
    <w:rsid w:val="7FDE196C"/>
    <w:rsid w:val="7FE138D8"/>
    <w:rsid w:val="7FE31449"/>
    <w:rsid w:val="7FE405C7"/>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42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4">
    <w:name w:val="heading 2"/>
    <w:basedOn w:val="1"/>
    <w:next w:val="1"/>
    <w:autoRedefine/>
    <w:unhideWhenUsed/>
    <w:qFormat/>
    <w:uiPriority w:val="0"/>
    <w:pPr>
      <w:keepNext/>
      <w:keepLines/>
      <w:spacing w:beforeLines="0" w:beforeAutospacing="0" w:afterLines="0" w:afterAutospacing="0" w:line="360" w:lineRule="auto"/>
      <w:ind w:left="0" w:firstLine="420" w:firstLineChars="200"/>
      <w:outlineLvl w:val="1"/>
    </w:pPr>
    <w:rPr>
      <w:rFonts w:ascii="Arial" w:hAnsi="Arial" w:eastAsia="楷体"/>
      <w:b/>
      <w:sz w:val="32"/>
      <w:szCs w:val="2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unhideWhenUsed/>
    <w:qFormat/>
    <w:uiPriority w:val="99"/>
    <w:pPr>
      <w:spacing w:after="120"/>
    </w:pPr>
  </w:style>
  <w:style w:type="paragraph" w:styleId="7">
    <w:name w:val="Body Text Indent 2"/>
    <w:basedOn w:val="1"/>
    <w:next w:val="8"/>
    <w:autoRedefine/>
    <w:unhideWhenUsed/>
    <w:qFormat/>
    <w:uiPriority w:val="99"/>
    <w:pPr>
      <w:spacing w:after="120" w:line="480" w:lineRule="auto"/>
      <w:ind w:left="420" w:leftChars="200"/>
    </w:pPr>
  </w:style>
  <w:style w:type="paragraph" w:customStyle="1" w:styleId="8">
    <w:name w:val="p0"/>
    <w:next w:val="9"/>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9">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toc 1"/>
    <w:basedOn w:val="1"/>
    <w:next w:val="1"/>
    <w:autoRedefine/>
    <w:qFormat/>
    <w:uiPriority w:val="0"/>
  </w:style>
  <w:style w:type="paragraph" w:styleId="12">
    <w:name w:val="footnote text"/>
    <w:basedOn w:val="1"/>
    <w:autoRedefine/>
    <w:qFormat/>
    <w:uiPriority w:val="0"/>
    <w:pPr>
      <w:snapToGrid w:val="0"/>
      <w:jc w:val="left"/>
    </w:pPr>
    <w:rPr>
      <w:sz w:val="18"/>
      <w:szCs w:val="18"/>
    </w:rPr>
  </w:style>
  <w:style w:type="paragraph" w:styleId="13">
    <w:name w:val="toc 2"/>
    <w:basedOn w:val="1"/>
    <w:next w:val="1"/>
    <w:autoRedefine/>
    <w:qFormat/>
    <w:uiPriority w:val="0"/>
    <w:pPr>
      <w:ind w:left="420" w:leftChars="200"/>
    </w:p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WPSOffice手动目录 2"/>
    <w:autoRedefine/>
    <w:qFormat/>
    <w:uiPriority w:val="0"/>
    <w:pPr>
      <w:ind w:leftChars="200"/>
    </w:pPr>
    <w:rPr>
      <w:rFonts w:ascii="Times New Roman" w:hAnsi="Times New Roman" w:eastAsia="宋体" w:cs="Times New Roman"/>
      <w:sz w:val="20"/>
      <w:szCs w:val="20"/>
    </w:rPr>
  </w:style>
  <w:style w:type="paragraph" w:styleId="23">
    <w:name w:val="List Paragraph"/>
    <w:basedOn w:val="1"/>
    <w:autoRedefine/>
    <w:qFormat/>
    <w:uiPriority w:val="34"/>
    <w:pPr>
      <w:ind w:firstLine="420" w:firstLineChars="200"/>
    </w:pPr>
  </w:style>
  <w:style w:type="paragraph" w:customStyle="1" w:styleId="24">
    <w:name w:val="正文1"/>
    <w:basedOn w:val="1"/>
    <w:autoRedefine/>
    <w:qFormat/>
    <w:uiPriority w:val="0"/>
    <w:pPr>
      <w:spacing w:line="360" w:lineRule="auto"/>
      <w:ind w:firstLine="480" w:firstLineChars="200"/>
    </w:pPr>
    <w:rPr>
      <w:sz w:val="24"/>
    </w:rPr>
  </w:style>
  <w:style w:type="character" w:customStyle="1" w:styleId="25">
    <w:name w:val="font21"/>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7725</Words>
  <Characters>8224</Characters>
  <Lines>0</Lines>
  <Paragraphs>0</Paragraphs>
  <TotalTime>9</TotalTime>
  <ScaleCrop>false</ScaleCrop>
  <LinksUpToDate>false</LinksUpToDate>
  <CharactersWithSpaces>8475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企业用户_314885341</cp:lastModifiedBy>
  <dcterms:modified xsi:type="dcterms:W3CDTF">2024-01-26T08:54:12Z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DD83DEF80CE298B129852F6511B47680_43</vt:lpwstr>
  </property>
</Properties>
</file>