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Autospacing="0" w:line="480" w:lineRule="atLeast"/>
        <w:jc w:val="center"/>
        <w:rPr>
          <w:rFonts w:hint="default" w:ascii="微软雅黑" w:hAnsi="微软雅黑" w:cs="微软雅黑"/>
          <w:color w:val="666666"/>
          <w:sz w:val="16"/>
          <w:szCs w:val="16"/>
        </w:rPr>
      </w:pPr>
      <w:r>
        <w:rPr>
          <w:color w:val="000000"/>
          <w:sz w:val="31"/>
          <w:szCs w:val="31"/>
          <w:shd w:val="clear" w:color="auto" w:fill="FFFFFF"/>
        </w:rPr>
        <w:t>邵阳市北塔区供销合作联合社2022年度部门整体支出绩效评价报告</w:t>
      </w:r>
    </w:p>
    <w:p>
      <w:pPr>
        <w:pStyle w:val="5"/>
        <w:widowControl/>
        <w:spacing w:before="240" w:beforeAutospacing="0" w:afterAutospacing="0" w:line="720" w:lineRule="auto"/>
        <w:ind w:firstLine="420"/>
        <w:jc w:val="both"/>
        <w:rPr>
          <w:rFonts w:ascii="宋体" w:hAnsi="宋体" w:eastAsia="宋体" w:cs="宋体"/>
          <w:sz w:val="32"/>
          <w:szCs w:val="32"/>
        </w:rPr>
      </w:pPr>
      <w:r>
        <w:rPr>
          <w:rFonts w:hint="eastAsia" w:ascii="宋体" w:hAnsi="宋体" w:eastAsia="宋体" w:cs="宋体"/>
          <w:b/>
          <w:bCs/>
          <w:color w:val="444444"/>
          <w:sz w:val="32"/>
          <w:szCs w:val="32"/>
          <w:shd w:val="clear" w:color="auto" w:fill="FFFFFF"/>
        </w:rPr>
        <w:t>一、部门基本情况</w:t>
      </w:r>
    </w:p>
    <w:p>
      <w:pPr>
        <w:spacing w:line="480" w:lineRule="auto"/>
        <w:ind w:firstLine="643" w:firstLineChars="200"/>
        <w:jc w:val="left"/>
        <w:rPr>
          <w:rFonts w:ascii="宋体" w:hAnsi="宋体" w:eastAsia="宋体" w:cs="宋体"/>
          <w:b/>
          <w:bCs/>
          <w:color w:val="444444"/>
          <w:sz w:val="32"/>
          <w:szCs w:val="32"/>
          <w:shd w:val="clear" w:color="auto" w:fill="FFFFFF"/>
        </w:rPr>
      </w:pPr>
      <w:r>
        <w:rPr>
          <w:rFonts w:hint="eastAsia" w:ascii="宋体" w:hAnsi="宋体" w:eastAsia="宋体" w:cs="宋体"/>
          <w:b/>
          <w:bCs/>
          <w:color w:val="444444"/>
          <w:sz w:val="32"/>
          <w:szCs w:val="32"/>
          <w:shd w:val="clear" w:color="auto" w:fill="FFFFFF"/>
        </w:rPr>
        <w:t>（一）机构设置及人员情况</w:t>
      </w:r>
    </w:p>
    <w:p>
      <w:pPr>
        <w:spacing w:line="480" w:lineRule="auto"/>
        <w:ind w:firstLine="560" w:firstLineChars="200"/>
        <w:jc w:val="left"/>
        <w:rPr>
          <w:rFonts w:ascii="宋体" w:hAnsi="宋体" w:eastAsia="宋体" w:cs="宋体"/>
          <w:color w:val="1E1E1E"/>
          <w:sz w:val="28"/>
          <w:szCs w:val="28"/>
          <w:shd w:val="clear" w:color="auto" w:fill="FFFFFF"/>
        </w:rPr>
      </w:pPr>
      <w:r>
        <w:rPr>
          <w:rFonts w:hint="eastAsia" w:ascii="宋体" w:hAnsi="宋体" w:eastAsia="宋体" w:cs="宋体"/>
          <w:color w:val="444444"/>
          <w:kern w:val="0"/>
          <w:sz w:val="28"/>
          <w:szCs w:val="28"/>
          <w:shd w:val="clear" w:color="auto" w:fill="FFFFFF"/>
        </w:rPr>
        <w:t>机构设置：</w:t>
      </w:r>
      <w:r>
        <w:rPr>
          <w:rFonts w:hint="eastAsia" w:ascii="宋体" w:hAnsi="宋体" w:eastAsia="宋体" w:cs="宋体"/>
          <w:color w:val="1E1E1E"/>
          <w:sz w:val="28"/>
          <w:szCs w:val="28"/>
          <w:shd w:val="clear" w:color="auto" w:fill="FFFFFF"/>
        </w:rPr>
        <w:t>北塔区供销合作联合社单位构成包括：办公室、业务股、财务室。</w:t>
      </w:r>
    </w:p>
    <w:p>
      <w:pPr>
        <w:pStyle w:val="5"/>
        <w:widowControl/>
        <w:spacing w:after="300" w:line="600" w:lineRule="atLeast"/>
        <w:ind w:firstLine="420" w:firstLineChars="150"/>
        <w:rPr>
          <w:rFonts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人员情况：北塔区供销合作联合社共有事业编制6人。实有人数6人，其中在职6人。</w:t>
      </w:r>
    </w:p>
    <w:p>
      <w:pPr>
        <w:spacing w:line="480" w:lineRule="auto"/>
        <w:ind w:firstLine="643" w:firstLineChars="200"/>
        <w:jc w:val="left"/>
        <w:rPr>
          <w:rFonts w:ascii="宋体" w:hAnsi="宋体" w:eastAsia="宋体" w:cs="宋体"/>
          <w:b/>
          <w:bCs/>
          <w:color w:val="444444"/>
          <w:sz w:val="32"/>
          <w:szCs w:val="32"/>
          <w:shd w:val="clear" w:color="auto" w:fill="FFFFFF"/>
        </w:rPr>
      </w:pPr>
      <w:r>
        <w:rPr>
          <w:rFonts w:hint="eastAsia" w:ascii="宋体" w:hAnsi="宋体" w:eastAsia="宋体" w:cs="宋体"/>
          <w:b/>
          <w:bCs/>
          <w:color w:val="444444"/>
          <w:sz w:val="32"/>
          <w:szCs w:val="32"/>
          <w:shd w:val="clear" w:color="auto" w:fill="FFFFFF"/>
        </w:rPr>
        <w:t>（二）主要工作职责</w:t>
      </w:r>
    </w:p>
    <w:p>
      <w:pPr>
        <w:widowControl/>
        <w:shd w:val="clear" w:color="auto" w:fill="FFFFFF"/>
        <w:spacing w:beforeAutospacing="1" w:afterAutospacing="1" w:line="480" w:lineRule="atLeast"/>
        <w:ind w:firstLine="480"/>
        <w:jc w:val="left"/>
        <w:rPr>
          <w:rFonts w:ascii="微软雅黑" w:hAnsi="微软雅黑" w:eastAsia="微软雅黑" w:cs="微软雅黑"/>
          <w:color w:val="1E1E1E"/>
          <w:sz w:val="28"/>
          <w:szCs w:val="28"/>
        </w:rPr>
      </w:pPr>
      <w:r>
        <w:rPr>
          <w:rFonts w:hint="eastAsia" w:ascii="宋体" w:hAnsi="宋体" w:eastAsia="宋体" w:cs="宋体"/>
          <w:color w:val="1E1E1E"/>
          <w:kern w:val="0"/>
          <w:sz w:val="28"/>
          <w:szCs w:val="28"/>
          <w:shd w:val="clear" w:color="auto" w:fill="FFFFFF"/>
        </w:rPr>
        <w:t>（1）研究制订并组织实施供销合作社发展战略和规划，</w:t>
      </w:r>
      <w:r>
        <w:rPr>
          <w:rFonts w:hint="eastAsia" w:ascii="MS Mincho" w:hAnsi="MS Mincho" w:eastAsia="MS Mincho" w:cs="MS Mincho"/>
          <w:color w:val="1E1E1E"/>
          <w:kern w:val="0"/>
          <w:sz w:val="28"/>
          <w:szCs w:val="28"/>
          <w:shd w:val="clear" w:color="auto" w:fill="FFFFFF"/>
        </w:rPr>
        <w:t> </w:t>
      </w:r>
      <w:r>
        <w:rPr>
          <w:rFonts w:hint="eastAsia" w:ascii="宋体" w:hAnsi="宋体" w:eastAsia="宋体" w:cs="宋体"/>
          <w:color w:val="1E1E1E"/>
          <w:kern w:val="0"/>
          <w:sz w:val="28"/>
          <w:szCs w:val="28"/>
          <w:shd w:val="clear" w:color="auto" w:fill="FFFFFF"/>
        </w:rPr>
        <w:t>指导供销合作社的改革与发展；</w:t>
      </w:r>
    </w:p>
    <w:p>
      <w:pPr>
        <w:widowControl/>
        <w:shd w:val="clear" w:color="auto" w:fill="FFFFFF"/>
        <w:spacing w:beforeAutospacing="1" w:afterAutospacing="1" w:line="480" w:lineRule="atLeast"/>
        <w:ind w:firstLine="480"/>
        <w:jc w:val="left"/>
        <w:rPr>
          <w:rFonts w:ascii="微软雅黑" w:hAnsi="微软雅黑" w:eastAsia="微软雅黑" w:cs="微软雅黑"/>
          <w:color w:val="1E1E1E"/>
          <w:sz w:val="28"/>
          <w:szCs w:val="28"/>
        </w:rPr>
      </w:pPr>
      <w:r>
        <w:rPr>
          <w:rFonts w:hint="eastAsia" w:ascii="宋体" w:hAnsi="宋体" w:eastAsia="宋体" w:cs="宋体"/>
          <w:color w:val="1E1E1E"/>
          <w:kern w:val="0"/>
          <w:sz w:val="28"/>
          <w:szCs w:val="28"/>
          <w:shd w:val="clear" w:color="auto" w:fill="FFFFFF"/>
        </w:rPr>
        <w:t>（2）参与组织发展农产品行业协会、农民专业合作社和农村综合服务社，构建面向专业合作社的服务平台；</w:t>
      </w:r>
    </w:p>
    <w:p>
      <w:pPr>
        <w:widowControl/>
        <w:shd w:val="clear" w:color="auto" w:fill="FFFFFF"/>
        <w:spacing w:beforeAutospacing="1" w:afterAutospacing="1" w:line="480" w:lineRule="atLeast"/>
        <w:ind w:firstLine="480"/>
        <w:jc w:val="left"/>
        <w:rPr>
          <w:rFonts w:ascii="微软雅黑" w:hAnsi="微软雅黑" w:eastAsia="微软雅黑" w:cs="微软雅黑"/>
          <w:color w:val="1E1E1E"/>
          <w:sz w:val="28"/>
          <w:szCs w:val="28"/>
        </w:rPr>
      </w:pPr>
      <w:r>
        <w:rPr>
          <w:rFonts w:hint="eastAsia" w:ascii="宋体" w:hAnsi="宋体" w:eastAsia="宋体" w:cs="宋体"/>
          <w:color w:val="1E1E1E"/>
          <w:kern w:val="0"/>
          <w:sz w:val="28"/>
          <w:szCs w:val="28"/>
          <w:shd w:val="clear" w:color="auto" w:fill="FFFFFF"/>
        </w:rPr>
        <w:t>（3）指导社有企业和基层社开展农业生产资料经营、</w:t>
      </w:r>
      <w:r>
        <w:rPr>
          <w:rFonts w:hint="eastAsia" w:ascii="MS Mincho" w:hAnsi="MS Mincho" w:eastAsia="MS Mincho" w:cs="MS Mincho"/>
          <w:color w:val="1E1E1E"/>
          <w:kern w:val="0"/>
          <w:sz w:val="28"/>
          <w:szCs w:val="28"/>
          <w:shd w:val="clear" w:color="auto" w:fill="FFFFFF"/>
        </w:rPr>
        <w:t> </w:t>
      </w:r>
      <w:r>
        <w:rPr>
          <w:rFonts w:hint="eastAsia" w:ascii="宋体" w:hAnsi="宋体" w:eastAsia="宋体" w:cs="宋体"/>
          <w:color w:val="1E1E1E"/>
          <w:kern w:val="0"/>
          <w:sz w:val="28"/>
          <w:szCs w:val="28"/>
          <w:shd w:val="clear" w:color="auto" w:fill="FFFFFF"/>
        </w:rPr>
        <w:t>农副产品购销、日用消费品和再生资源回收利用等现代服务网络建设，参与农业产业化经营和农业综合开发等工作；</w:t>
      </w:r>
    </w:p>
    <w:p>
      <w:pPr>
        <w:widowControl/>
        <w:shd w:val="clear" w:color="auto" w:fill="FFFFFF"/>
        <w:spacing w:beforeAutospacing="1" w:afterAutospacing="1" w:line="480" w:lineRule="atLeast"/>
        <w:ind w:firstLine="480"/>
        <w:jc w:val="left"/>
        <w:rPr>
          <w:rFonts w:ascii="微软雅黑" w:hAnsi="微软雅黑" w:eastAsia="微软雅黑" w:cs="微软雅黑"/>
          <w:color w:val="1E1E1E"/>
          <w:sz w:val="28"/>
          <w:szCs w:val="28"/>
        </w:rPr>
      </w:pPr>
      <w:r>
        <w:rPr>
          <w:rFonts w:hint="eastAsia" w:ascii="宋体" w:hAnsi="宋体" w:eastAsia="宋体" w:cs="宋体"/>
          <w:color w:val="1E1E1E"/>
          <w:kern w:val="0"/>
          <w:sz w:val="28"/>
          <w:szCs w:val="28"/>
          <w:shd w:val="clear" w:color="auto" w:fill="FFFFFF"/>
        </w:rPr>
        <w:t>（4）受政府及有关部门委托，承担重要农业生产资料，</w:t>
      </w:r>
      <w:r>
        <w:rPr>
          <w:rFonts w:hint="eastAsia" w:ascii="MS Mincho" w:hAnsi="MS Mincho" w:eastAsia="MS Mincho" w:cs="MS Mincho"/>
          <w:color w:val="1E1E1E"/>
          <w:kern w:val="0"/>
          <w:sz w:val="28"/>
          <w:szCs w:val="28"/>
          <w:shd w:val="clear" w:color="auto" w:fill="FFFFFF"/>
        </w:rPr>
        <w:t> </w:t>
      </w:r>
      <w:r>
        <w:rPr>
          <w:rFonts w:hint="eastAsia" w:ascii="宋体" w:hAnsi="宋体" w:eastAsia="宋体" w:cs="宋体"/>
          <w:color w:val="1E1E1E"/>
          <w:kern w:val="0"/>
          <w:sz w:val="28"/>
          <w:szCs w:val="28"/>
          <w:shd w:val="clear" w:color="auto" w:fill="FFFFFF"/>
        </w:rPr>
        <w:t>防汛救灾物资等商品的储备；</w:t>
      </w:r>
    </w:p>
    <w:p>
      <w:pPr>
        <w:widowControl/>
        <w:shd w:val="clear" w:color="auto" w:fill="FFFFFF"/>
        <w:spacing w:beforeAutospacing="1" w:afterAutospacing="1" w:line="480" w:lineRule="atLeast"/>
        <w:ind w:firstLine="480"/>
        <w:jc w:val="left"/>
        <w:rPr>
          <w:rFonts w:ascii="微软雅黑" w:hAnsi="微软雅黑" w:eastAsia="微软雅黑" w:cs="微软雅黑"/>
          <w:color w:val="1E1E1E"/>
          <w:sz w:val="28"/>
          <w:szCs w:val="28"/>
        </w:rPr>
      </w:pPr>
      <w:r>
        <w:rPr>
          <w:rFonts w:hint="eastAsia" w:ascii="宋体" w:hAnsi="宋体" w:eastAsia="宋体" w:cs="宋体"/>
          <w:color w:val="1E1E1E"/>
          <w:kern w:val="0"/>
          <w:sz w:val="28"/>
          <w:szCs w:val="28"/>
          <w:shd w:val="clear" w:color="auto" w:fill="FFFFFF"/>
        </w:rPr>
        <w:t>（5）指导供销合作社的组织制度建设，协调成员社之间的关系，促进合作社的联合与合作，维护供销合作社及其社员的合法权益。</w:t>
      </w:r>
    </w:p>
    <w:p>
      <w:pPr>
        <w:widowControl/>
        <w:shd w:val="clear" w:color="auto" w:fill="FFFFFF"/>
        <w:spacing w:beforeAutospacing="1" w:afterAutospacing="1" w:line="480" w:lineRule="atLeast"/>
        <w:ind w:firstLine="480"/>
        <w:jc w:val="left"/>
        <w:rPr>
          <w:rFonts w:ascii="微软雅黑" w:hAnsi="微软雅黑" w:eastAsia="微软雅黑" w:cs="微软雅黑"/>
          <w:color w:val="1E1E1E"/>
          <w:sz w:val="28"/>
          <w:szCs w:val="28"/>
        </w:rPr>
      </w:pPr>
      <w:r>
        <w:rPr>
          <w:rFonts w:hint="eastAsia" w:ascii="宋体" w:hAnsi="宋体" w:eastAsia="宋体" w:cs="宋体"/>
          <w:color w:val="1E1E1E"/>
          <w:kern w:val="0"/>
          <w:sz w:val="28"/>
          <w:szCs w:val="28"/>
          <w:shd w:val="clear" w:color="auto" w:fill="FFFFFF"/>
        </w:rPr>
        <w:t>（6）管理、监督本级社有资产，行使社有资产控股、参股企业的资产所有者代表职能，确保社有资产保值增值。</w:t>
      </w:r>
    </w:p>
    <w:p>
      <w:pPr>
        <w:widowControl/>
        <w:shd w:val="clear" w:color="auto" w:fill="FFFFFF"/>
        <w:spacing w:beforeAutospacing="1" w:afterAutospacing="1" w:line="480" w:lineRule="atLeast"/>
        <w:ind w:firstLine="480"/>
        <w:jc w:val="left"/>
        <w:rPr>
          <w:rFonts w:ascii="微软雅黑" w:hAnsi="微软雅黑" w:eastAsia="微软雅黑" w:cs="微软雅黑"/>
          <w:color w:val="1E1E1E"/>
          <w:sz w:val="28"/>
          <w:szCs w:val="28"/>
        </w:rPr>
      </w:pPr>
      <w:r>
        <w:rPr>
          <w:rFonts w:hint="eastAsia" w:ascii="宋体" w:hAnsi="宋体" w:eastAsia="宋体" w:cs="宋体"/>
          <w:color w:val="1E1E1E"/>
          <w:kern w:val="0"/>
          <w:sz w:val="28"/>
          <w:szCs w:val="28"/>
          <w:shd w:val="clear" w:color="auto" w:fill="FFFFFF"/>
        </w:rPr>
        <w:t>（7）代表区本级联合社参加上级社的活动，组织开展与国内外各合作组织之间的交流活动；</w:t>
      </w:r>
    </w:p>
    <w:p>
      <w:pPr>
        <w:widowControl/>
        <w:shd w:val="clear" w:color="auto" w:fill="FFFFFF"/>
        <w:spacing w:beforeAutospacing="1" w:afterAutospacing="1" w:line="480" w:lineRule="atLeast"/>
        <w:ind w:firstLine="480"/>
        <w:jc w:val="left"/>
        <w:rPr>
          <w:rFonts w:ascii="微软雅黑" w:hAnsi="微软雅黑" w:eastAsia="微软雅黑" w:cs="微软雅黑"/>
          <w:color w:val="1E1E1E"/>
          <w:sz w:val="28"/>
          <w:szCs w:val="28"/>
        </w:rPr>
      </w:pPr>
      <w:r>
        <w:rPr>
          <w:rFonts w:hint="eastAsia" w:ascii="宋体" w:hAnsi="宋体" w:eastAsia="宋体" w:cs="宋体"/>
          <w:color w:val="1E1E1E"/>
          <w:kern w:val="0"/>
          <w:sz w:val="28"/>
          <w:szCs w:val="28"/>
          <w:shd w:val="clear" w:color="auto" w:fill="FFFFFF"/>
        </w:rPr>
        <w:t>（8）积极推进并组织实施供销社、信用社与专业合作社的“三位一体” 发展战略和规划，指导专业合作社的改革和发展；</w:t>
      </w:r>
    </w:p>
    <w:p>
      <w:pPr>
        <w:widowControl/>
        <w:shd w:val="clear" w:color="auto" w:fill="FFFFFF"/>
        <w:spacing w:beforeAutospacing="1" w:afterAutospacing="1" w:line="480" w:lineRule="atLeast"/>
        <w:ind w:firstLine="480"/>
        <w:jc w:val="left"/>
        <w:rPr>
          <w:rFonts w:ascii="宋体" w:hAnsi="宋体" w:eastAsia="宋体" w:cs="宋体"/>
          <w:color w:val="444444"/>
          <w:kern w:val="0"/>
          <w:sz w:val="28"/>
          <w:szCs w:val="28"/>
          <w:shd w:val="clear" w:color="auto" w:fill="FFFFFF"/>
        </w:rPr>
      </w:pPr>
      <w:r>
        <w:rPr>
          <w:rFonts w:hint="eastAsia" w:ascii="宋体" w:hAnsi="宋体" w:eastAsia="宋体" w:cs="宋体"/>
          <w:color w:val="1E1E1E"/>
          <w:kern w:val="0"/>
          <w:sz w:val="28"/>
          <w:szCs w:val="28"/>
          <w:shd w:val="clear" w:color="auto" w:fill="FFFFFF"/>
        </w:rPr>
        <w:t>（9）承担区委、区府及上级社交办的其他工作。</w:t>
      </w:r>
    </w:p>
    <w:p>
      <w:pPr>
        <w:pStyle w:val="5"/>
        <w:widowControl/>
        <w:spacing w:before="240" w:beforeAutospacing="0" w:afterAutospacing="0" w:line="720" w:lineRule="auto"/>
        <w:ind w:firstLine="420"/>
        <w:jc w:val="both"/>
        <w:rPr>
          <w:rFonts w:ascii="宋体" w:hAnsi="宋体" w:eastAsia="宋体" w:cs="宋体"/>
          <w:b/>
          <w:bCs/>
          <w:color w:val="444444"/>
          <w:sz w:val="32"/>
          <w:szCs w:val="32"/>
          <w:shd w:val="clear" w:color="auto" w:fill="FFFFFF"/>
        </w:rPr>
      </w:pPr>
      <w:r>
        <w:rPr>
          <w:rFonts w:hint="eastAsia" w:ascii="宋体" w:hAnsi="宋体" w:eastAsia="宋体" w:cs="宋体"/>
          <w:b/>
          <w:bCs/>
          <w:color w:val="444444"/>
          <w:sz w:val="32"/>
          <w:szCs w:val="32"/>
          <w:shd w:val="clear" w:color="auto" w:fill="FFFFFF"/>
        </w:rPr>
        <w:t>二、部门整体支出管理及使用情况</w:t>
      </w:r>
    </w:p>
    <w:p>
      <w:pPr>
        <w:spacing w:line="480" w:lineRule="auto"/>
        <w:ind w:firstLine="643" w:firstLineChars="200"/>
        <w:jc w:val="left"/>
        <w:rPr>
          <w:rFonts w:ascii="宋体" w:hAnsi="宋体" w:eastAsia="宋体" w:cs="宋体"/>
          <w:b/>
          <w:bCs/>
          <w:color w:val="444444"/>
          <w:sz w:val="32"/>
          <w:szCs w:val="32"/>
          <w:shd w:val="clear" w:color="auto" w:fill="FFFFFF"/>
        </w:rPr>
      </w:pPr>
      <w:r>
        <w:rPr>
          <w:rFonts w:hint="eastAsia" w:ascii="宋体" w:hAnsi="宋体" w:eastAsia="宋体" w:cs="宋体"/>
          <w:b/>
          <w:bCs/>
          <w:color w:val="444444"/>
          <w:sz w:val="32"/>
          <w:szCs w:val="32"/>
          <w:shd w:val="clear" w:color="auto" w:fill="FFFFFF"/>
        </w:rPr>
        <w:t>（一）预算执行情况</w:t>
      </w:r>
    </w:p>
    <w:p>
      <w:pPr>
        <w:spacing w:line="480" w:lineRule="auto"/>
        <w:ind w:firstLine="560" w:firstLineChars="200"/>
        <w:jc w:val="left"/>
        <w:rPr>
          <w:rFonts w:ascii="宋体" w:hAnsi="宋体" w:eastAsia="宋体" w:cs="宋体"/>
          <w:b/>
          <w:bCs/>
          <w:color w:val="444444"/>
          <w:sz w:val="32"/>
          <w:szCs w:val="32"/>
          <w:shd w:val="clear" w:color="auto" w:fill="FFFFFF"/>
        </w:rPr>
      </w:pPr>
      <w:r>
        <w:rPr>
          <w:rFonts w:hint="eastAsia" w:ascii="宋体" w:hAnsi="宋体" w:eastAsia="宋体" w:cs="宋体"/>
          <w:color w:val="444444"/>
          <w:sz w:val="28"/>
          <w:szCs w:val="28"/>
          <w:shd w:val="clear" w:color="auto" w:fill="FFFFFF"/>
        </w:rPr>
        <w:t>2022年度我单位全年预算77.83万元，全年决算支出99.40万元，完成全年预算的127.71%。</w:t>
      </w:r>
    </w:p>
    <w:p>
      <w:pPr>
        <w:spacing w:line="480" w:lineRule="auto"/>
        <w:ind w:firstLine="643" w:firstLineChars="200"/>
        <w:jc w:val="left"/>
        <w:rPr>
          <w:rFonts w:ascii="宋体" w:hAnsi="宋体" w:eastAsia="宋体" w:cs="宋体"/>
          <w:b/>
          <w:bCs/>
          <w:color w:val="444444"/>
          <w:sz w:val="32"/>
          <w:szCs w:val="32"/>
          <w:shd w:val="clear" w:color="auto" w:fill="FFFFFF"/>
        </w:rPr>
      </w:pPr>
      <w:r>
        <w:rPr>
          <w:rFonts w:hint="eastAsia" w:ascii="宋体" w:hAnsi="宋体" w:eastAsia="宋体" w:cs="宋体"/>
          <w:b/>
          <w:bCs/>
          <w:color w:val="444444"/>
          <w:sz w:val="32"/>
          <w:szCs w:val="32"/>
          <w:shd w:val="clear" w:color="auto" w:fill="FFFFFF"/>
        </w:rPr>
        <w:t>（二）基本支出情况</w:t>
      </w:r>
    </w:p>
    <w:p>
      <w:pPr>
        <w:spacing w:line="480" w:lineRule="auto"/>
        <w:ind w:firstLine="560" w:firstLineChars="200"/>
        <w:jc w:val="left"/>
        <w:rPr>
          <w:rFonts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2022年度我单位基本支出年初预算安排为70.83万元，项目支出7万元，本年实际支出为99.4</w:t>
      </w:r>
      <w:r>
        <w:rPr>
          <w:rFonts w:hint="eastAsia" w:ascii="宋体" w:hAnsi="宋体" w:eastAsia="宋体" w:cs="宋体"/>
          <w:color w:val="444444"/>
          <w:sz w:val="28"/>
          <w:szCs w:val="28"/>
          <w:shd w:val="clear" w:color="auto" w:fill="FFFFFF"/>
          <w:lang w:val="en-US" w:eastAsia="zh-CN"/>
        </w:rPr>
        <w:t>0</w:t>
      </w:r>
      <w:r>
        <w:rPr>
          <w:rFonts w:hint="eastAsia" w:ascii="宋体" w:hAnsi="宋体" w:eastAsia="宋体" w:cs="宋体"/>
          <w:color w:val="444444"/>
          <w:sz w:val="28"/>
          <w:szCs w:val="28"/>
          <w:shd w:val="clear" w:color="auto" w:fill="FFFFFF"/>
        </w:rPr>
        <w:t>万元，主要为人员经费支出和公用经费支出，其中人员经费支出68.85万元、公用经费支出30.55万元。</w:t>
      </w:r>
    </w:p>
    <w:p>
      <w:pPr>
        <w:spacing w:line="480" w:lineRule="auto"/>
        <w:ind w:firstLine="643" w:firstLineChars="200"/>
        <w:jc w:val="left"/>
        <w:rPr>
          <w:rFonts w:ascii="宋体" w:hAnsi="宋体" w:eastAsia="宋体" w:cs="宋体"/>
          <w:b/>
          <w:bCs/>
          <w:color w:val="444444"/>
          <w:sz w:val="32"/>
          <w:szCs w:val="32"/>
          <w:shd w:val="clear" w:color="auto" w:fill="FFFFFF"/>
        </w:rPr>
      </w:pPr>
      <w:r>
        <w:rPr>
          <w:rFonts w:hint="eastAsia" w:ascii="宋体" w:hAnsi="宋体" w:eastAsia="宋体" w:cs="宋体"/>
          <w:b/>
          <w:bCs/>
          <w:color w:val="444444"/>
          <w:sz w:val="32"/>
          <w:szCs w:val="32"/>
          <w:shd w:val="clear" w:color="auto" w:fill="FFFFFF"/>
        </w:rPr>
        <w:t>（三）项目支出情况</w:t>
      </w:r>
    </w:p>
    <w:p>
      <w:pPr>
        <w:pStyle w:val="5"/>
        <w:widowControl/>
        <w:spacing w:before="240" w:beforeAutospacing="0" w:afterAutospacing="0" w:line="480" w:lineRule="atLeast"/>
        <w:ind w:firstLine="560" w:firstLineChars="200"/>
        <w:jc w:val="both"/>
        <w:rPr>
          <w:rFonts w:ascii="宋体" w:hAnsi="宋体" w:eastAsia="宋体" w:cs="宋体"/>
          <w:color w:val="444444"/>
          <w:kern w:val="2"/>
          <w:sz w:val="28"/>
          <w:szCs w:val="28"/>
          <w:shd w:val="clear" w:color="auto" w:fill="FFFFFF"/>
        </w:rPr>
      </w:pPr>
      <w:r>
        <w:rPr>
          <w:rFonts w:hint="eastAsia" w:ascii="宋体" w:hAnsi="宋体" w:eastAsia="宋体" w:cs="宋体"/>
          <w:color w:val="444444"/>
          <w:kern w:val="2"/>
          <w:sz w:val="28"/>
          <w:szCs w:val="28"/>
          <w:shd w:val="clear" w:color="auto" w:fill="FFFFFF"/>
        </w:rPr>
        <w:t>本年项目支出年初预算安排为7万元，本年实际支出为0万元，主要为2022年没有项目。</w:t>
      </w:r>
    </w:p>
    <w:p>
      <w:pPr>
        <w:pStyle w:val="5"/>
        <w:widowControl/>
        <w:spacing w:before="240" w:beforeAutospacing="0" w:afterAutospacing="0" w:line="720" w:lineRule="auto"/>
        <w:ind w:firstLine="420"/>
        <w:jc w:val="both"/>
        <w:rPr>
          <w:rFonts w:ascii="宋体" w:hAnsi="宋体" w:eastAsia="宋体" w:cs="宋体"/>
          <w:b/>
          <w:bCs/>
          <w:color w:val="444444"/>
          <w:sz w:val="32"/>
          <w:szCs w:val="32"/>
          <w:shd w:val="clear" w:color="auto" w:fill="FFFFFF"/>
        </w:rPr>
      </w:pPr>
      <w:r>
        <w:rPr>
          <w:rFonts w:hint="eastAsia" w:ascii="宋体" w:hAnsi="宋体" w:eastAsia="宋体" w:cs="宋体"/>
          <w:b/>
          <w:bCs/>
          <w:color w:val="444444"/>
          <w:sz w:val="32"/>
          <w:szCs w:val="32"/>
          <w:shd w:val="clear" w:color="auto" w:fill="FFFFFF"/>
        </w:rPr>
        <w:t>三、部门整体支出绩效情况</w:t>
      </w:r>
    </w:p>
    <w:p>
      <w:pPr>
        <w:spacing w:line="480" w:lineRule="auto"/>
        <w:ind w:firstLine="643" w:firstLineChars="200"/>
        <w:jc w:val="left"/>
        <w:rPr>
          <w:rFonts w:ascii="宋体" w:hAnsi="宋体" w:eastAsia="宋体" w:cs="宋体"/>
          <w:b/>
          <w:bCs/>
          <w:color w:val="444444"/>
          <w:sz w:val="32"/>
          <w:szCs w:val="32"/>
          <w:shd w:val="clear" w:color="auto" w:fill="FFFFFF"/>
        </w:rPr>
      </w:pPr>
      <w:r>
        <w:rPr>
          <w:rFonts w:hint="eastAsia" w:ascii="宋体" w:hAnsi="宋体" w:eastAsia="宋体" w:cs="宋体"/>
          <w:b/>
          <w:bCs/>
          <w:color w:val="444444"/>
          <w:sz w:val="32"/>
          <w:szCs w:val="32"/>
          <w:shd w:val="clear" w:color="auto" w:fill="FFFFFF"/>
        </w:rPr>
        <w:t>（一）主要绩效指标完成情况</w:t>
      </w:r>
    </w:p>
    <w:p>
      <w:pPr>
        <w:pStyle w:val="5"/>
        <w:widowControl/>
        <w:spacing w:before="240" w:beforeAutospacing="0" w:afterAutospacing="0" w:line="480" w:lineRule="atLeast"/>
        <w:ind w:firstLine="420"/>
        <w:jc w:val="both"/>
        <w:rPr>
          <w:rFonts w:ascii="宋体" w:hAnsi="宋体" w:eastAsia="宋体" w:cs="宋体"/>
          <w:color w:val="444444"/>
          <w:kern w:val="2"/>
          <w:sz w:val="28"/>
          <w:szCs w:val="28"/>
          <w:shd w:val="clear" w:color="auto" w:fill="FFFFFF"/>
        </w:rPr>
      </w:pPr>
      <w:r>
        <w:rPr>
          <w:rFonts w:hint="eastAsia" w:ascii="宋体" w:hAnsi="宋体" w:eastAsia="宋体" w:cs="宋体"/>
          <w:b/>
          <w:bCs/>
          <w:color w:val="444444"/>
          <w:sz w:val="32"/>
          <w:szCs w:val="32"/>
          <w:shd w:val="clear" w:color="auto" w:fill="FFFFFF"/>
        </w:rPr>
        <w:t>1、预算执行情况。</w:t>
      </w:r>
      <w:r>
        <w:rPr>
          <w:rFonts w:hint="eastAsia" w:ascii="宋体" w:hAnsi="宋体" w:eastAsia="宋体" w:cs="宋体"/>
          <w:color w:val="444444"/>
          <w:kern w:val="2"/>
          <w:sz w:val="28"/>
          <w:szCs w:val="28"/>
          <w:shd w:val="clear" w:color="auto" w:fill="FFFFFF"/>
        </w:rPr>
        <w:t>⑴2022年财政拨款预算执行数99.40万元，预算安排数77.83万元，预算执行率为127.71%，当年预算有超支21.57万元；⑵公用经费预算7.02万元，实际支出24.55万元，公用经费控制率为349.71%；（3）“三公经费”年初预算安排0万元，实际支出0万元，“三公经费”控制率为100%。（4）政府采购年初预算0.5万元，实际政府采购金额15.65万元，政府采购执行率313%。</w:t>
      </w:r>
    </w:p>
    <w:p>
      <w:pPr>
        <w:pStyle w:val="5"/>
        <w:widowControl/>
        <w:spacing w:before="240" w:beforeAutospacing="0" w:afterAutospacing="0" w:line="480" w:lineRule="atLeast"/>
        <w:ind w:firstLine="420"/>
        <w:jc w:val="both"/>
        <w:rPr>
          <w:rFonts w:ascii="宋体" w:hAnsi="宋体" w:eastAsia="宋体" w:cs="宋体"/>
          <w:color w:val="444444"/>
          <w:kern w:val="2"/>
          <w:sz w:val="28"/>
          <w:szCs w:val="28"/>
          <w:shd w:val="clear" w:color="auto" w:fill="FFFFFF"/>
        </w:rPr>
      </w:pPr>
      <w:r>
        <w:rPr>
          <w:rFonts w:hint="eastAsia" w:ascii="宋体" w:hAnsi="宋体" w:eastAsia="宋体" w:cs="宋体"/>
          <w:b/>
          <w:bCs/>
          <w:color w:val="444444"/>
          <w:sz w:val="32"/>
          <w:szCs w:val="32"/>
          <w:shd w:val="clear" w:color="auto" w:fill="FFFFFF"/>
        </w:rPr>
        <w:t>2、预决算信息公开情况。</w:t>
      </w:r>
      <w:r>
        <w:rPr>
          <w:rFonts w:hint="eastAsia" w:ascii="宋体" w:hAnsi="宋体" w:eastAsia="宋体" w:cs="宋体"/>
          <w:color w:val="444444"/>
          <w:kern w:val="2"/>
          <w:sz w:val="28"/>
          <w:szCs w:val="28"/>
          <w:shd w:val="clear" w:color="auto" w:fill="FFFFFF"/>
        </w:rPr>
        <w:t>我单位及时在区政府统一平台公开了部门预算、决算和绩效目标、绩效自评报告、“三公经费”等信息，接受群众和社会监督。</w:t>
      </w:r>
    </w:p>
    <w:p>
      <w:pPr>
        <w:pStyle w:val="5"/>
        <w:widowControl/>
        <w:spacing w:before="240" w:beforeAutospacing="0" w:afterAutospacing="0" w:line="480" w:lineRule="atLeast"/>
        <w:ind w:firstLine="420"/>
        <w:jc w:val="both"/>
        <w:rPr>
          <w:rFonts w:ascii="宋体" w:hAnsi="宋体" w:eastAsia="宋体" w:cs="宋体"/>
          <w:color w:val="444444"/>
          <w:kern w:val="2"/>
          <w:sz w:val="28"/>
          <w:szCs w:val="28"/>
          <w:shd w:val="clear" w:color="auto" w:fill="FFFFFF"/>
        </w:rPr>
      </w:pPr>
      <w:r>
        <w:rPr>
          <w:rFonts w:hint="eastAsia" w:ascii="宋体" w:hAnsi="宋体" w:eastAsia="宋体" w:cs="宋体"/>
          <w:b/>
          <w:bCs/>
          <w:sz w:val="32"/>
          <w:szCs w:val="32"/>
          <w:shd w:val="clear" w:color="auto" w:fill="FFFFFF"/>
        </w:rPr>
        <w:t>3、资产管理情况。</w:t>
      </w:r>
      <w:r>
        <w:rPr>
          <w:rFonts w:hint="eastAsia" w:ascii="宋体" w:hAnsi="宋体" w:eastAsia="宋体" w:cs="宋体"/>
          <w:kern w:val="2"/>
          <w:sz w:val="28"/>
          <w:szCs w:val="28"/>
          <w:shd w:val="clear" w:color="auto" w:fill="FFFFFF"/>
        </w:rPr>
        <w:t>截止2022年12月31日，</w:t>
      </w:r>
      <w:r>
        <w:rPr>
          <w:rFonts w:hint="eastAsia" w:ascii="方正小标宋_GBK" w:hAnsi="方正小标宋_GBK" w:eastAsia="方正小标宋_GBK" w:cs="方正小标宋_GBK"/>
          <w:sz w:val="28"/>
          <w:szCs w:val="28"/>
        </w:rPr>
        <w:t>我单位</w:t>
      </w:r>
      <w:r>
        <w:rPr>
          <w:rFonts w:hint="eastAsia" w:ascii="宋体" w:hAnsi="宋体" w:eastAsia="宋体" w:cs="宋体"/>
          <w:kern w:val="2"/>
          <w:sz w:val="28"/>
          <w:szCs w:val="28"/>
          <w:shd w:val="clear" w:color="auto" w:fill="FFFFFF"/>
        </w:rPr>
        <w:t>拥有各类资产总额14.42万元，其中流动资产11万元，固定资产3.42万元。单位为加强资产管</w:t>
      </w:r>
      <w:r>
        <w:rPr>
          <w:rFonts w:hint="eastAsia" w:ascii="宋体" w:hAnsi="宋体" w:eastAsia="宋体" w:cs="宋体"/>
          <w:color w:val="444444"/>
          <w:kern w:val="2"/>
          <w:sz w:val="28"/>
          <w:szCs w:val="28"/>
          <w:shd w:val="clear" w:color="auto" w:fill="FFFFFF"/>
        </w:rPr>
        <w:t>理，内部制定了资产管理制度，对各类资产的购置、保管、使用、报废、处置等方面都作出了明确的规定，制度要求所有办公设备（含办公用品）的添置，先由各委室提出申请，经业务分管领导审核同意后，再由办公室及时采购并建立固定资产实物登记台账，工作人员异动，必须及时办理固定资产移交手续，不得侵占和擅自带走，各委室不得擅自购买任何办公用品和设备，否则不予报销。</w:t>
      </w:r>
    </w:p>
    <w:p>
      <w:pPr>
        <w:spacing w:line="720" w:lineRule="auto"/>
        <w:ind w:firstLine="643" w:firstLineChars="200"/>
        <w:jc w:val="left"/>
        <w:rPr>
          <w:rFonts w:ascii="宋体" w:hAnsi="宋体" w:eastAsia="宋体" w:cs="宋体"/>
          <w:b/>
          <w:bCs/>
          <w:color w:val="444444"/>
          <w:sz w:val="32"/>
          <w:szCs w:val="32"/>
          <w:shd w:val="clear" w:color="auto" w:fill="FFFFFF"/>
        </w:rPr>
      </w:pPr>
      <w:r>
        <w:rPr>
          <w:rFonts w:hint="eastAsia" w:ascii="宋体" w:hAnsi="宋体" w:eastAsia="宋体" w:cs="宋体"/>
          <w:b/>
          <w:bCs/>
          <w:color w:val="444444"/>
          <w:sz w:val="32"/>
          <w:szCs w:val="32"/>
          <w:shd w:val="clear" w:color="auto" w:fill="FFFFFF"/>
        </w:rPr>
        <w:t>（二）职责覆行和主要绩效情况</w:t>
      </w:r>
    </w:p>
    <w:p>
      <w:pPr>
        <w:pStyle w:val="5"/>
        <w:widowControl/>
        <w:spacing w:after="300" w:line="600" w:lineRule="atLeast"/>
        <w:ind w:firstLine="840" w:firstLineChars="300"/>
        <w:rPr>
          <w:rFonts w:ascii="宋体" w:hAnsi="宋体" w:eastAsia="宋体" w:cs="宋体"/>
          <w:color w:val="444444"/>
          <w:kern w:val="2"/>
          <w:sz w:val="28"/>
          <w:szCs w:val="28"/>
          <w:shd w:val="clear" w:color="auto" w:fill="FFFFFF"/>
        </w:rPr>
      </w:pPr>
      <w:r>
        <w:rPr>
          <w:rFonts w:hint="eastAsia" w:ascii="宋体" w:hAnsi="宋体" w:eastAsia="宋体" w:cs="宋体"/>
          <w:color w:val="444444"/>
          <w:kern w:val="2"/>
          <w:sz w:val="28"/>
          <w:szCs w:val="28"/>
          <w:shd w:val="clear" w:color="auto" w:fill="FFFFFF"/>
        </w:rPr>
        <w:t>2022年，我单位充分履行职责职能，严格执行各项管理制度，经济、社会等效益显著、社会公众满意度上升，较好地完成了全年工作目标。</w:t>
      </w:r>
    </w:p>
    <w:p>
      <w:pPr>
        <w:pStyle w:val="5"/>
        <w:widowControl/>
        <w:spacing w:after="300" w:line="600" w:lineRule="atLeast"/>
        <w:ind w:firstLine="840" w:firstLineChars="300"/>
        <w:rPr>
          <w:rFonts w:hint="eastAsia" w:ascii="宋体" w:hAnsi="宋体" w:eastAsia="宋体" w:cs="宋体"/>
          <w:color w:val="444444"/>
          <w:kern w:val="2"/>
          <w:sz w:val="28"/>
          <w:szCs w:val="28"/>
          <w:shd w:val="clear" w:color="auto" w:fill="FFFFFF"/>
        </w:rPr>
      </w:pPr>
      <w:r>
        <w:rPr>
          <w:rFonts w:hint="eastAsia" w:ascii="宋体" w:hAnsi="宋体" w:eastAsia="宋体" w:cs="宋体"/>
          <w:color w:val="444444"/>
          <w:kern w:val="2"/>
          <w:sz w:val="28"/>
          <w:szCs w:val="28"/>
          <w:shd w:val="clear" w:color="auto" w:fill="FFFFFF"/>
        </w:rPr>
        <w:t>1、持续推进供给侧结构性改革工作。</w:t>
      </w:r>
    </w:p>
    <w:p>
      <w:pPr>
        <w:pStyle w:val="5"/>
        <w:widowControl/>
        <w:spacing w:after="300" w:line="600" w:lineRule="atLeast"/>
        <w:ind w:firstLine="840" w:firstLineChars="300"/>
        <w:rPr>
          <w:rFonts w:hint="eastAsia" w:ascii="宋体" w:hAnsi="宋体" w:eastAsia="宋体" w:cs="宋体"/>
          <w:color w:val="444444"/>
          <w:kern w:val="2"/>
          <w:sz w:val="28"/>
          <w:szCs w:val="28"/>
          <w:shd w:val="clear" w:color="auto" w:fill="FFFFFF"/>
        </w:rPr>
      </w:pPr>
      <w:r>
        <w:rPr>
          <w:rFonts w:hint="eastAsia" w:ascii="宋体" w:hAnsi="宋体" w:eastAsia="宋体" w:cs="宋体"/>
          <w:color w:val="444444"/>
          <w:kern w:val="2"/>
          <w:sz w:val="28"/>
          <w:szCs w:val="28"/>
          <w:shd w:val="clear" w:color="auto" w:fill="FFFFFF"/>
        </w:rPr>
        <w:t>一是宣传贯彻了中央、省、市、区关于农业农村农民工作的法律法规和方针政策，结合全区“十四五”规划研究拟订供销合作社发展战略和规划并组织实施，指导服务全区供销合作社改革发展。二是加快新型农业社会化服务体系建设，加强面向农民生产生活的网络网点建设，构建覆盖城乡、双向流通的现代流通网络体系；抓好惠农综合服务工程建设，加快基层社、农民专业合作社、村（社区）综合服务等基层组织和服务体系建设。三是按照区政府授权和委托，对重要农业生产资料、重要农产品及其它商品的生产、经营、储备进行组织、协调和管理，承接政府向社会力量购买的公共服务。</w:t>
      </w:r>
    </w:p>
    <w:p>
      <w:pPr>
        <w:pStyle w:val="5"/>
        <w:widowControl/>
        <w:spacing w:after="300" w:line="600" w:lineRule="atLeast"/>
        <w:ind w:firstLine="840" w:firstLineChars="300"/>
        <w:rPr>
          <w:rFonts w:hint="eastAsia" w:ascii="宋体" w:hAnsi="宋体" w:eastAsia="宋体" w:cs="宋体"/>
          <w:color w:val="444444"/>
          <w:kern w:val="2"/>
          <w:sz w:val="28"/>
          <w:szCs w:val="28"/>
          <w:shd w:val="clear" w:color="auto" w:fill="FFFFFF"/>
        </w:rPr>
      </w:pPr>
      <w:r>
        <w:rPr>
          <w:rFonts w:hint="eastAsia" w:ascii="宋体" w:hAnsi="宋体" w:eastAsia="宋体" w:cs="宋体"/>
          <w:color w:val="444444"/>
          <w:kern w:val="2"/>
          <w:sz w:val="28"/>
          <w:szCs w:val="28"/>
          <w:shd w:val="clear" w:color="auto" w:fill="FFFFFF"/>
        </w:rPr>
        <w:t>2、推动全区再生资源回收工作。</w:t>
      </w:r>
    </w:p>
    <w:p>
      <w:pPr>
        <w:pStyle w:val="5"/>
        <w:widowControl/>
        <w:spacing w:after="300" w:line="600" w:lineRule="atLeast"/>
        <w:ind w:firstLine="840" w:firstLineChars="300"/>
        <w:rPr>
          <w:rFonts w:hint="eastAsia" w:ascii="宋体" w:hAnsi="宋体" w:eastAsia="宋体" w:cs="宋体"/>
          <w:color w:val="444444"/>
          <w:kern w:val="2"/>
          <w:sz w:val="28"/>
          <w:szCs w:val="28"/>
          <w:shd w:val="clear" w:color="auto" w:fill="FFFFFF"/>
        </w:rPr>
      </w:pPr>
      <w:r>
        <w:rPr>
          <w:rFonts w:hint="eastAsia" w:ascii="宋体" w:hAnsi="宋体" w:eastAsia="宋体" w:cs="宋体"/>
          <w:color w:val="444444"/>
          <w:kern w:val="2"/>
          <w:sz w:val="28"/>
          <w:szCs w:val="28"/>
          <w:shd w:val="clear" w:color="auto" w:fill="FFFFFF"/>
        </w:rPr>
        <w:t>一是积极利用我区为全省再生资源示范区这块金字招牌，通过供销惠农服务工程对接农村清洁工程，再生资源回收利用与城乡环境清扫处理二网融合，一村一站一员建设，与党建、社建、村建有机结合，构建全域再生资源回收利用、城乡环境治理一体化信息化产业化体系，实现再生资源由“废品买卖型”向“环境服务型”的转型升级，打造环境治理服务供销品牌。至目前，已建好7个村级惠民综合服务社，9个村级再生资源分拣站及全区再生资源分拣中心，目前已经区级再生资源分拣中心开始初步运营，日回收量逐渐增长。</w:t>
      </w:r>
    </w:p>
    <w:p>
      <w:pPr>
        <w:pStyle w:val="5"/>
        <w:widowControl/>
        <w:spacing w:after="300" w:line="600" w:lineRule="atLeast"/>
        <w:ind w:firstLine="840" w:firstLineChars="300"/>
        <w:rPr>
          <w:rFonts w:hint="eastAsia" w:ascii="宋体" w:hAnsi="宋体" w:eastAsia="宋体" w:cs="宋体"/>
          <w:color w:val="444444"/>
          <w:kern w:val="2"/>
          <w:sz w:val="28"/>
          <w:szCs w:val="28"/>
          <w:shd w:val="clear" w:color="auto" w:fill="FFFFFF"/>
        </w:rPr>
      </w:pPr>
      <w:r>
        <w:rPr>
          <w:rFonts w:hint="eastAsia" w:ascii="宋体" w:hAnsi="宋体" w:eastAsia="宋体" w:cs="宋体"/>
          <w:color w:val="444444"/>
          <w:kern w:val="2"/>
          <w:sz w:val="28"/>
          <w:szCs w:val="28"/>
          <w:shd w:val="clear" w:color="auto" w:fill="FFFFFF"/>
        </w:rPr>
        <w:t>3、服务乡村产业振兴成效明显。</w:t>
      </w:r>
    </w:p>
    <w:p>
      <w:pPr>
        <w:pStyle w:val="5"/>
        <w:widowControl/>
        <w:spacing w:after="300" w:line="600" w:lineRule="atLeast"/>
        <w:ind w:firstLine="840" w:firstLineChars="300"/>
        <w:rPr>
          <w:rFonts w:hint="eastAsia" w:ascii="宋体" w:hAnsi="宋体" w:eastAsia="宋体" w:cs="宋体"/>
          <w:color w:val="444444"/>
          <w:kern w:val="2"/>
          <w:sz w:val="28"/>
          <w:szCs w:val="28"/>
          <w:shd w:val="clear" w:color="auto" w:fill="FFFFFF"/>
        </w:rPr>
      </w:pPr>
      <w:r>
        <w:rPr>
          <w:rFonts w:hint="eastAsia" w:ascii="宋体" w:hAnsi="宋体" w:eastAsia="宋体" w:cs="宋体"/>
          <w:color w:val="444444"/>
          <w:kern w:val="2"/>
          <w:sz w:val="28"/>
          <w:szCs w:val="28"/>
          <w:shd w:val="clear" w:color="auto" w:fill="FFFFFF"/>
        </w:rPr>
        <w:t>我社重点围绕供销社系统流通网络优势，突出服务农业产、供、销一体化，着重做好扩大农产品市场、提高效益、促进产业融合发展等工作，力求精准参与乡村振兴战略，以服务农业增加农民收入，促进乡村发展，基本形成链条完整的产业融合发展体系，为深化供销社综合改革，夯实乡村产业振兴基础作出贡献。</w:t>
      </w:r>
    </w:p>
    <w:p>
      <w:pPr>
        <w:pStyle w:val="5"/>
        <w:widowControl/>
        <w:spacing w:after="300" w:line="600" w:lineRule="atLeast"/>
        <w:ind w:firstLine="840" w:firstLineChars="300"/>
        <w:rPr>
          <w:rFonts w:hint="eastAsia" w:ascii="宋体" w:hAnsi="宋体" w:eastAsia="宋体" w:cs="宋体"/>
          <w:color w:val="444444"/>
          <w:kern w:val="2"/>
          <w:sz w:val="28"/>
          <w:szCs w:val="28"/>
          <w:shd w:val="clear" w:color="auto" w:fill="FFFFFF"/>
        </w:rPr>
      </w:pPr>
      <w:r>
        <w:rPr>
          <w:rFonts w:hint="eastAsia" w:ascii="宋体" w:hAnsi="宋体" w:eastAsia="宋体" w:cs="宋体"/>
          <w:color w:val="444444"/>
          <w:kern w:val="2"/>
          <w:sz w:val="28"/>
          <w:szCs w:val="28"/>
          <w:shd w:val="clear" w:color="auto" w:fill="FFFFFF"/>
        </w:rPr>
        <w:t>4、农业供给侧结构性改革稳步推进。</w:t>
      </w:r>
    </w:p>
    <w:p>
      <w:pPr>
        <w:pStyle w:val="5"/>
        <w:widowControl/>
        <w:spacing w:after="300" w:line="600" w:lineRule="atLeast"/>
        <w:ind w:firstLine="840" w:firstLineChars="300"/>
        <w:rPr>
          <w:rFonts w:hint="eastAsia" w:ascii="宋体" w:hAnsi="宋体" w:eastAsia="宋体" w:cs="宋体"/>
          <w:color w:val="444444"/>
          <w:kern w:val="2"/>
          <w:sz w:val="28"/>
          <w:szCs w:val="28"/>
          <w:shd w:val="clear" w:color="auto" w:fill="FFFFFF"/>
        </w:rPr>
      </w:pPr>
      <w:r>
        <w:rPr>
          <w:rFonts w:hint="eastAsia" w:ascii="宋体" w:hAnsi="宋体" w:eastAsia="宋体" w:cs="宋体"/>
          <w:color w:val="444444"/>
          <w:kern w:val="2"/>
          <w:sz w:val="28"/>
          <w:szCs w:val="28"/>
          <w:shd w:val="clear" w:color="auto" w:fill="FFFFFF"/>
        </w:rPr>
        <w:t>一方面，加快发展传统经营服务网络。农资网点累计发展到16个，供销社农资市场占有率超过70 %；化肥销售量0.2万吨，销售金额240万元，农村流通主渠道作用愈加凸显。另一方面，由卖产品向卖服务转变。坚持有偿性与公益性相结合，在为农服务中心开办农化服务、测土配方智能配肥、土地托管、农村合作金融服务、农村电商、农产品展示展销、检测、农民培训等，并在服务中心设立镇街涉农业务服务窗口，为群众提供一站式、全方位服务。</w:t>
      </w:r>
    </w:p>
    <w:p>
      <w:pPr>
        <w:pStyle w:val="5"/>
        <w:widowControl/>
        <w:spacing w:after="300" w:line="600" w:lineRule="atLeast"/>
        <w:ind w:firstLine="840" w:firstLineChars="300"/>
        <w:rPr>
          <w:rFonts w:hint="eastAsia" w:ascii="宋体" w:hAnsi="宋体" w:eastAsia="宋体" w:cs="宋体"/>
          <w:color w:val="444444"/>
          <w:kern w:val="2"/>
          <w:sz w:val="28"/>
          <w:szCs w:val="28"/>
          <w:shd w:val="clear" w:color="auto" w:fill="FFFFFF"/>
        </w:rPr>
      </w:pPr>
      <w:r>
        <w:rPr>
          <w:rFonts w:hint="eastAsia" w:ascii="宋体" w:hAnsi="宋体" w:eastAsia="宋体" w:cs="宋体"/>
          <w:color w:val="444444"/>
          <w:kern w:val="2"/>
          <w:sz w:val="28"/>
          <w:szCs w:val="28"/>
          <w:shd w:val="clear" w:color="auto" w:fill="FFFFFF"/>
        </w:rPr>
        <w:t>5、党建工作顺利推进。</w:t>
      </w:r>
    </w:p>
    <w:p>
      <w:pPr>
        <w:pStyle w:val="5"/>
        <w:widowControl/>
        <w:spacing w:after="300" w:line="600" w:lineRule="atLeast"/>
        <w:ind w:firstLine="840" w:firstLineChars="300"/>
        <w:rPr>
          <w:rFonts w:hint="eastAsia" w:ascii="宋体" w:hAnsi="宋体" w:eastAsia="宋体" w:cs="宋体"/>
          <w:color w:val="444444"/>
          <w:kern w:val="2"/>
          <w:sz w:val="28"/>
          <w:szCs w:val="28"/>
          <w:shd w:val="clear" w:color="auto" w:fill="FFFFFF"/>
        </w:rPr>
      </w:pPr>
      <w:r>
        <w:rPr>
          <w:rFonts w:hint="eastAsia" w:ascii="宋体" w:hAnsi="宋体" w:eastAsia="宋体" w:cs="宋体"/>
          <w:color w:val="444444"/>
          <w:kern w:val="2"/>
          <w:sz w:val="28"/>
          <w:szCs w:val="28"/>
          <w:shd w:val="clear" w:color="auto" w:fill="FFFFFF"/>
        </w:rPr>
        <w:t>今年来我社深入学习贯彻党的二十大精神，</w:t>
      </w:r>
      <w:bookmarkStart w:id="1" w:name="_GoBack"/>
      <w:bookmarkEnd w:id="1"/>
      <w:r>
        <w:rPr>
          <w:rFonts w:hint="eastAsia" w:ascii="宋体" w:hAnsi="宋体" w:eastAsia="宋体" w:cs="宋体"/>
          <w:color w:val="444444"/>
          <w:kern w:val="2"/>
          <w:sz w:val="28"/>
          <w:szCs w:val="28"/>
          <w:shd w:val="clear" w:color="auto" w:fill="FFFFFF"/>
          <w:lang w:eastAsia="zh-CN"/>
        </w:rPr>
        <w:t>习近平新时代中国特色社会主义思想</w:t>
      </w:r>
      <w:r>
        <w:rPr>
          <w:rFonts w:hint="eastAsia" w:ascii="宋体" w:hAnsi="宋体" w:eastAsia="宋体" w:cs="宋体"/>
          <w:color w:val="444444"/>
          <w:kern w:val="2"/>
          <w:sz w:val="28"/>
          <w:szCs w:val="28"/>
          <w:shd w:val="clear" w:color="auto" w:fill="FFFFFF"/>
        </w:rPr>
        <w:t>，树立和落实科学发展观，坚持党要管党，从严治党的方针，围绕加强党的执政能力建设这个重点，抓住认真开展争先创优活动这个契机，全面推进党的思想、组织、作风和制度建设，构建和谐社会的目标提供坚强的思想、政治和组织保证。一是我社注重把党员干部的思想政治工作同精神文明建设融为一体，与业务工作紧密结合，从小事抓起，从日常工作做起，把发挥党员作用落实到每项日常工作中。发挥党员在精神文明建设中的表率作用；热情服务、树立公仆形象；树立清正廉洁、秉公执法者的形象。坚持不懈开展“三会一课”，严格按制度要求完成了党支部的民主生活会等党内正常活动；按时足量完成了党费的收缴工作；开展了民主评议党员、民主测评党员干部活动。</w:t>
      </w:r>
    </w:p>
    <w:p>
      <w:pPr>
        <w:pStyle w:val="5"/>
        <w:widowControl/>
        <w:spacing w:after="300" w:line="600" w:lineRule="atLeast"/>
        <w:ind w:firstLine="840" w:firstLineChars="300"/>
        <w:rPr>
          <w:rFonts w:hint="eastAsia" w:ascii="宋体" w:hAnsi="宋体" w:eastAsia="宋体" w:cs="宋体"/>
          <w:color w:val="444444"/>
          <w:kern w:val="2"/>
          <w:sz w:val="28"/>
          <w:szCs w:val="28"/>
          <w:shd w:val="clear" w:color="auto" w:fill="FFFFFF"/>
        </w:rPr>
      </w:pPr>
      <w:r>
        <w:rPr>
          <w:rFonts w:hint="eastAsia" w:ascii="宋体" w:hAnsi="宋体" w:eastAsia="宋体" w:cs="宋体"/>
          <w:color w:val="444444"/>
          <w:kern w:val="2"/>
          <w:sz w:val="28"/>
          <w:szCs w:val="28"/>
          <w:shd w:val="clear" w:color="auto" w:fill="FFFFFF"/>
        </w:rPr>
        <w:t>6、安全生产形势持续稳定。</w:t>
      </w:r>
    </w:p>
    <w:p>
      <w:pPr>
        <w:pStyle w:val="5"/>
        <w:widowControl/>
        <w:spacing w:after="300" w:line="600" w:lineRule="atLeast"/>
        <w:ind w:firstLine="840" w:firstLineChars="300"/>
        <w:rPr>
          <w:rFonts w:hint="eastAsia" w:ascii="宋体" w:hAnsi="宋体" w:eastAsia="宋体" w:cs="宋体"/>
          <w:color w:val="444444"/>
          <w:kern w:val="2"/>
          <w:sz w:val="28"/>
          <w:szCs w:val="28"/>
          <w:shd w:val="clear" w:color="auto" w:fill="FFFFFF"/>
        </w:rPr>
      </w:pPr>
      <w:r>
        <w:rPr>
          <w:rFonts w:hint="eastAsia" w:ascii="宋体" w:hAnsi="宋体" w:eastAsia="宋体" w:cs="宋体"/>
          <w:color w:val="444444"/>
          <w:kern w:val="2"/>
          <w:sz w:val="28"/>
          <w:szCs w:val="28"/>
          <w:shd w:val="clear" w:color="auto" w:fill="FFFFFF"/>
        </w:rPr>
        <w:t>今年以来我社时刻绷紧安全生产这根弦，坚守安全生产红线。召开全系统安全工作专题会议，健全和完善应急预案体系，实现部门和企业应急预案有效衔接，陈家桥供销社、农资市场经营部等全部制定了安全生产应急预案。同时积极响应区委、区政府要求深入开展“安全生产月”各项活动，扎实开展消防管理安全、涉氨治理安全、全区废品店等重点安全生产整治活动，没有发生安全生产事故。</w:t>
      </w:r>
    </w:p>
    <w:p>
      <w:pPr>
        <w:pStyle w:val="5"/>
        <w:widowControl/>
        <w:spacing w:before="240" w:beforeAutospacing="0" w:afterAutospacing="0" w:line="720" w:lineRule="auto"/>
        <w:ind w:firstLine="420"/>
        <w:jc w:val="both"/>
        <w:rPr>
          <w:rFonts w:ascii="宋体" w:hAnsi="宋体" w:eastAsia="宋体" w:cs="宋体"/>
          <w:b/>
          <w:bCs/>
          <w:color w:val="444444"/>
          <w:sz w:val="32"/>
          <w:szCs w:val="32"/>
          <w:shd w:val="clear" w:color="auto" w:fill="FFFFFF"/>
        </w:rPr>
      </w:pPr>
      <w:r>
        <w:rPr>
          <w:rFonts w:hint="eastAsia" w:ascii="宋体" w:hAnsi="宋体" w:eastAsia="宋体" w:cs="宋体"/>
          <w:b/>
          <w:bCs/>
          <w:color w:val="444444"/>
          <w:sz w:val="32"/>
          <w:szCs w:val="32"/>
          <w:shd w:val="clear" w:color="auto" w:fill="FFFFFF"/>
        </w:rPr>
        <w:t>五、改进措施及有关建议</w:t>
      </w:r>
    </w:p>
    <w:p>
      <w:pPr>
        <w:widowControl/>
        <w:shd w:val="clear" w:color="auto" w:fill="FFFFFF"/>
        <w:spacing w:beforeAutospacing="1" w:afterAutospacing="1" w:line="480" w:lineRule="atLeast"/>
        <w:ind w:firstLine="480"/>
        <w:jc w:val="left"/>
        <w:rPr>
          <w:rFonts w:ascii="微软雅黑" w:hAnsi="微软雅黑" w:eastAsia="微软雅黑" w:cs="微软雅黑"/>
          <w:color w:val="1E1E1E"/>
          <w:sz w:val="28"/>
          <w:szCs w:val="28"/>
        </w:rPr>
      </w:pPr>
      <w:r>
        <w:rPr>
          <w:rFonts w:hint="eastAsia" w:ascii="宋体" w:hAnsi="宋体" w:eastAsia="宋体" w:cs="宋体"/>
          <w:color w:val="1E1E1E"/>
          <w:kern w:val="0"/>
          <w:sz w:val="28"/>
          <w:szCs w:val="28"/>
          <w:shd w:val="clear" w:color="auto" w:fill="FFFFFF"/>
        </w:rPr>
        <w:t>1.进一步推进预算绩效管理信息系统建设，完善绩效管理相关制度，提高可操作性。</w:t>
      </w:r>
    </w:p>
    <w:p>
      <w:pPr>
        <w:widowControl/>
        <w:shd w:val="clear" w:color="auto" w:fill="FFFFFF"/>
        <w:spacing w:beforeAutospacing="1" w:afterAutospacing="1" w:line="480" w:lineRule="atLeast"/>
        <w:ind w:firstLine="480"/>
        <w:jc w:val="left"/>
        <w:rPr>
          <w:rFonts w:ascii="微软雅黑" w:hAnsi="微软雅黑" w:eastAsia="微软雅黑" w:cs="微软雅黑"/>
          <w:color w:val="1E1E1E"/>
          <w:sz w:val="28"/>
          <w:szCs w:val="28"/>
        </w:rPr>
      </w:pPr>
      <w:r>
        <w:rPr>
          <w:rFonts w:hint="eastAsia" w:ascii="宋体" w:hAnsi="宋体" w:eastAsia="宋体" w:cs="宋体"/>
          <w:color w:val="1E1E1E"/>
          <w:kern w:val="0"/>
          <w:sz w:val="28"/>
          <w:szCs w:val="28"/>
          <w:shd w:val="clear" w:color="auto" w:fill="FFFFFF"/>
        </w:rPr>
        <w:t>2.构建单位财务部门和业务部门共同参与、协调配合的绩效评价工作机制，落实 “谁干事谁花钱、谁花钱谁担责”的权责机制，提高财政资金使用效益。</w:t>
      </w:r>
    </w:p>
    <w:p>
      <w:pPr>
        <w:widowControl/>
        <w:shd w:val="clear" w:color="auto" w:fill="FFFFFF"/>
        <w:spacing w:beforeAutospacing="1" w:afterAutospacing="1" w:line="480" w:lineRule="atLeast"/>
        <w:ind w:firstLine="480"/>
        <w:jc w:val="left"/>
        <w:rPr>
          <w:rFonts w:hint="eastAsia" w:ascii="宋体" w:hAnsi="宋体" w:eastAsia="宋体" w:cs="宋体"/>
          <w:color w:val="1E1E1E"/>
          <w:kern w:val="0"/>
          <w:sz w:val="28"/>
          <w:szCs w:val="28"/>
          <w:shd w:val="clear" w:color="auto" w:fill="FFFFFF"/>
        </w:rPr>
      </w:pPr>
      <w:r>
        <w:rPr>
          <w:rFonts w:hint="eastAsia" w:ascii="宋体" w:hAnsi="宋体" w:eastAsia="宋体" w:cs="宋体"/>
          <w:color w:val="1E1E1E"/>
          <w:kern w:val="0"/>
          <w:sz w:val="28"/>
          <w:szCs w:val="28"/>
          <w:shd w:val="clear" w:color="auto" w:fill="FFFFFF"/>
        </w:rPr>
        <w:t>3.进一步提高绩效管理水平，加强预算执行的准确性，开展好支出绩效管理工作，运用好绩效评价结果，不断提升绩效管理水平。</w:t>
      </w:r>
    </w:p>
    <w:p>
      <w:pPr>
        <w:spacing w:line="600" w:lineRule="exact"/>
        <w:rPr>
          <w:rFonts w:ascii="宋体" w:hAnsi="宋体" w:cs="宋体"/>
          <w:kern w:val="0"/>
          <w:sz w:val="32"/>
          <w:szCs w:val="32"/>
        </w:rPr>
      </w:pPr>
      <w:bookmarkStart w:id="0" w:name="RANGE!A1:H22"/>
      <w:r>
        <w:rPr>
          <w:rFonts w:hint="eastAsia" w:ascii="黑体" w:hAnsi="宋体" w:eastAsia="黑体" w:cs="宋体"/>
          <w:kern w:val="0"/>
          <w:sz w:val="32"/>
          <w:szCs w:val="32"/>
        </w:rPr>
        <w:t>附件</w:t>
      </w:r>
      <w:bookmarkEnd w:id="0"/>
      <w:r>
        <w:rPr>
          <w:rFonts w:hint="eastAsia" w:ascii="黑体" w:hAnsi="宋体" w:eastAsia="黑体" w:cs="宋体"/>
          <w:kern w:val="0"/>
          <w:sz w:val="32"/>
          <w:szCs w:val="32"/>
        </w:rPr>
        <w:t>1</w:t>
      </w:r>
      <w:r>
        <w:rPr>
          <w:rFonts w:ascii="黑体" w:hAnsi="宋体" w:eastAsia="黑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p>
    <w:p>
      <w:pPr>
        <w:widowControl/>
        <w:ind w:left="93"/>
        <w:jc w:val="center"/>
        <w:rPr>
          <w:rFonts w:hint="eastAsia" w:ascii="宋体" w:hAnsi="宋体" w:cs="宋体"/>
          <w:bCs/>
          <w:kern w:val="0"/>
          <w:sz w:val="32"/>
          <w:szCs w:val="32"/>
        </w:rPr>
      </w:pPr>
      <w:r>
        <w:rPr>
          <w:rFonts w:hint="eastAsia" w:ascii="宋体" w:hAnsi="宋体" w:cs="宋体"/>
          <w:bCs/>
          <w:kern w:val="0"/>
          <w:sz w:val="32"/>
          <w:szCs w:val="32"/>
        </w:rPr>
        <w:t>部门整体支出绩效评价指标评分表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429"/>
        <w:gridCol w:w="567"/>
        <w:gridCol w:w="851"/>
        <w:gridCol w:w="567"/>
        <w:gridCol w:w="3118"/>
        <w:gridCol w:w="3472"/>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blHeader/>
          <w:jc w:val="center"/>
        </w:trPr>
        <w:tc>
          <w:tcPr>
            <w:tcW w:w="411"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一级指标</w:t>
            </w:r>
          </w:p>
        </w:tc>
        <w:tc>
          <w:tcPr>
            <w:tcW w:w="429"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二级指标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851"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三级   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3118"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评价标准</w:t>
            </w:r>
          </w:p>
        </w:tc>
        <w:tc>
          <w:tcPr>
            <w:tcW w:w="3472"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备注</w:t>
            </w:r>
          </w:p>
        </w:tc>
        <w:tc>
          <w:tcPr>
            <w:tcW w:w="617" w:type="dxa"/>
            <w:noWrap w:val="0"/>
            <w:vAlign w:val="center"/>
          </w:tcPr>
          <w:p>
            <w:pPr>
              <w:widowControl/>
              <w:jc w:val="center"/>
              <w:rPr>
                <w:rFonts w:hint="eastAsia" w:ascii="宋体" w:hAnsi="宋体" w:eastAsia="宋体" w:cs="宋体"/>
                <w:b/>
                <w:bCs/>
                <w:kern w:val="0"/>
                <w:sz w:val="24"/>
                <w:szCs w:val="24"/>
              </w:rPr>
            </w:pPr>
            <w:r>
              <w:rPr>
                <w:rFonts w:hint="eastAsia" w:ascii="宋体" w:hAnsi="宋体" w:cs="宋体"/>
                <w:b/>
                <w:bCs/>
                <w:kern w:val="0"/>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411" w:type="dxa"/>
            <w:vMerge w:val="restart"/>
            <w:noWrap w:val="0"/>
            <w:textDirection w:val="tbRlV"/>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投    入</w:t>
            </w:r>
          </w:p>
        </w:tc>
        <w:tc>
          <w:tcPr>
            <w:tcW w:w="429"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预算配置</w:t>
            </w:r>
          </w:p>
        </w:tc>
        <w:tc>
          <w:tcPr>
            <w:tcW w:w="567"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0,计3分；“三公经费”＞0，每超过一个百分点扣0.3分，扣完为止。</w:t>
            </w:r>
          </w:p>
        </w:tc>
        <w:tc>
          <w:tcPr>
            <w:tcW w:w="3472"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“三公经费”变动率=[（本年度“三公经费”总额-上年度“三公经费”总额）/上年度“三公经费”总额]×100%。</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“三公经费”：指政府部门人员因公出国（境）经费、公务车购置及运行费、公务招待费产生的消费。</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①招待费用明确招待标准和招待人数,1分;②车辆维护、燃油使用政府定点，1分。③</w:t>
            </w:r>
            <w:r>
              <w:rPr>
                <w:rFonts w:hint="eastAsia" w:ascii="仿宋_GB2312" w:hAnsi="仿宋" w:eastAsia="仿宋_GB2312" w:cs="仿宋"/>
                <w:kern w:val="0"/>
                <w:sz w:val="20"/>
                <w:szCs w:val="20"/>
              </w:rPr>
              <w:t>制定“三公经费”管理办法，1分，每少一项扣1分，扣完为止。</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招待费变动率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0,计2分；“公务招待费变动率”＞0，每超过一个百分点扣0.2分，扣完为止。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公务招待费变动率=[（本年度“公务招待费”总额-上年度“公务招待费”总额）/上年度“公务招待费”总额]×100%。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运行费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0,计2分；“公务用车购置运行费变动率”＞0，每超过一个百分点扣0.2分，扣完为止。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公务用车购置运行费变动率=[（本年度“公务用车购置运行费”总额-上年度“公务用车购置运行费”总额）/上年度“公务用车购置运行费”总额]×100%。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 和服务支出 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0,计2分；“商品和服务支出”变动率＞0，每超过一个百分点扣0.2分，扣完为止。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“商品和服务支出”变动率=[（本年度“商品和服务支出”总额-上年度“商品和服务支出”总额）/上年度“商品和服务支出”总额]×100%。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支出  安排率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重点支出安排率≥90%，计2分；80%（含）-90%，计1分；70%（含）-80%，计0.5分；低于70%不得分。</w:t>
            </w:r>
          </w:p>
        </w:tc>
        <w:tc>
          <w:tcPr>
            <w:tcW w:w="3472"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重点支出安排率=（重点项目支出/项目总支出）×100%</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重点项目支出：市政府确定的为民办实事和部门重点工程与重点工作支出。项目总支出：部门（单位）年度预算安排的项目支出总额。</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①实行收支两条线，1分；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②未发生截留、坐支或转移，1分。以上每发现一次违规现象扣1分，扣完为止。</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非税收入完成率100%，2分，每少一个百分点，扣0.1分，扣完为止。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年度非税实际收入完成数/</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年度非税收入预算数）×100%，有减免因素的，以非税局确定的为准。</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411" w:type="dxa"/>
            <w:vMerge w:val="restart"/>
            <w:noWrap w:val="0"/>
            <w:textDirection w:val="tbRlV"/>
            <w:vAlign w:val="center"/>
          </w:tcPr>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过    程</w:t>
            </w:r>
          </w:p>
          <w:p>
            <w:pPr>
              <w:widowControl/>
              <w:ind w:left="113" w:right="113"/>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      程</w:t>
            </w:r>
          </w:p>
        </w:tc>
        <w:tc>
          <w:tcPr>
            <w:tcW w:w="429" w:type="dxa"/>
            <w:vMerge w:val="restart"/>
            <w:tcBorders>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预算执行</w:t>
            </w:r>
          </w:p>
        </w:tc>
        <w:tc>
          <w:tcPr>
            <w:tcW w:w="567" w:type="dxa"/>
            <w:vMerge w:val="restart"/>
            <w:tcBorders>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完成率&lt;1，计2分，</w:t>
            </w:r>
          </w:p>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完成率=1，计1分，</w:t>
            </w:r>
          </w:p>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完成率&gt;1，不得分。</w:t>
            </w:r>
          </w:p>
          <w:p>
            <w:pPr>
              <w:widowControl/>
              <w:jc w:val="left"/>
              <w:rPr>
                <w:rFonts w:hint="eastAsia" w:ascii="仿宋_GB2312" w:hAnsi="宋体" w:eastAsia="仿宋_GB2312" w:cs="宋体"/>
                <w:kern w:val="0"/>
                <w:sz w:val="20"/>
                <w:szCs w:val="20"/>
                <w:highlight w:val="none"/>
              </w:rPr>
            </w:pP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预算完成率=（预算完成数/预算数）×100%。预算完成数：部门（单位）本年度实际完成的预算数；预算数：财政部门批复的本年度部门（单位）预算数。</w:t>
            </w:r>
          </w:p>
        </w:tc>
        <w:tc>
          <w:tcPr>
            <w:tcW w:w="617" w:type="dxa"/>
            <w:noWrap w:val="0"/>
            <w:vAlign w:val="center"/>
          </w:tcPr>
          <w:p>
            <w:pPr>
              <w:widowControl/>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资金  结余</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结余超过10%（不含），2分；结余在0-10%（含）的，1分；本年超支不得分。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本项结余不含未完工项目资金的结转数。</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控制率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以100%为标准。三公经费控制率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100%，计2分；每超过一个百分点扣0.2分，扣完为止。单位没有制定“三公”经费预算，该项不得分。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“三公经费”控制率=（“三公经费”实际支出数/“三公经费”预算安排数）×100%。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采购</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①编</w:t>
            </w:r>
            <w:r>
              <w:rPr>
                <w:rFonts w:hint="eastAsia" w:ascii="仿宋_GB2312" w:hAnsi="宋体" w:eastAsia="仿宋_GB2312" w:cs="宋体"/>
                <w:kern w:val="0"/>
                <w:sz w:val="20"/>
                <w:szCs w:val="20"/>
              </w:rPr>
              <w:t>制政府采购年度预算并上报的，0.5分；②追加并编制政府采购预算的，0.5分；</w:t>
            </w:r>
            <w:r>
              <w:rPr>
                <w:rFonts w:hint="eastAsia" w:ascii="仿宋" w:hAnsi="仿宋" w:eastAsia="仿宋" w:cs="宋体"/>
                <w:kern w:val="0"/>
                <w:sz w:val="20"/>
                <w:szCs w:val="20"/>
              </w:rPr>
              <w:t>③</w:t>
            </w:r>
            <w:r>
              <w:rPr>
                <w:rFonts w:hint="eastAsia" w:ascii="仿宋_GB2312" w:hAnsi="宋体" w:eastAsia="仿宋_GB2312" w:cs="宋体"/>
                <w:kern w:val="0"/>
                <w:sz w:val="20"/>
                <w:szCs w:val="20"/>
              </w:rPr>
              <w:t>政府采购执行率=100%，计1分；每少一个百分点扣0.1分，扣完为止。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政府采购执行率=（实际实行政府采购金额/应实行政府采购金额）×100%。应实行政府采金额以《湘财购[2012]27号》文件为标准。</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jc w:val="center"/>
        </w:trPr>
        <w:tc>
          <w:tcPr>
            <w:tcW w:w="411" w:type="dxa"/>
            <w:vMerge w:val="continue"/>
            <w:noWrap w:val="0"/>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预算管理</w:t>
            </w:r>
          </w:p>
        </w:tc>
        <w:tc>
          <w:tcPr>
            <w:tcW w:w="567" w:type="dxa"/>
            <w:vMerge w:val="restart"/>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28</w:t>
            </w:r>
          </w:p>
        </w:tc>
        <w:tc>
          <w:tcPr>
            <w:tcW w:w="851" w:type="dxa"/>
            <w:tcBorders>
              <w:top w:val="single" w:color="auto" w:sz="4" w:space="0"/>
            </w:tcBorders>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管理  制度</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健全性</w:t>
            </w:r>
          </w:p>
        </w:tc>
        <w:tc>
          <w:tcPr>
            <w:tcW w:w="567" w:type="dxa"/>
            <w:tcBorders>
              <w:top w:val="single" w:color="auto" w:sz="4" w:space="0"/>
            </w:tcBorders>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w:t>
            </w:r>
          </w:p>
          <w:p>
            <w:pPr>
              <w:widowControl/>
              <w:jc w:val="both"/>
              <w:rPr>
                <w:rFonts w:hint="eastAsia" w:ascii="仿宋_GB2312" w:hAnsi="宋体" w:eastAsia="仿宋_GB2312" w:cs="宋体"/>
                <w:kern w:val="0"/>
                <w:sz w:val="20"/>
                <w:szCs w:val="20"/>
              </w:rPr>
            </w:pPr>
          </w:p>
        </w:tc>
        <w:tc>
          <w:tcPr>
            <w:tcW w:w="3118" w:type="dxa"/>
            <w:tcBorders>
              <w:top w:val="single" w:color="auto" w:sz="4" w:space="0"/>
            </w:tcBorders>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①已制定资金管理办法、内部财务管理制度、会计核算制度等管理制度，1分；</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②建立健全单位内部控制制度，1分；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③会计人员、机构按规定设置，1分；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④会计基础工作健全，1分；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⑤会计档案符合规定要求，1分；</w:t>
            </w:r>
          </w:p>
          <w:p>
            <w:pPr>
              <w:widowControl/>
              <w:jc w:val="left"/>
              <w:rPr>
                <w:rFonts w:hint="eastAsia" w:ascii="仿宋_GB2312" w:hAnsi="宋体" w:eastAsia="仿宋_GB2312" w:cs="宋体"/>
                <w:kern w:val="0"/>
                <w:sz w:val="20"/>
                <w:szCs w:val="20"/>
              </w:rPr>
            </w:pPr>
            <w:r>
              <w:rPr>
                <w:rFonts w:hint="eastAsia" w:ascii="仿宋_GB2312" w:hAnsi="仿宋" w:eastAsia="仿宋_GB2312" w:cs="仿宋"/>
                <w:kern w:val="0"/>
                <w:sz w:val="20"/>
                <w:szCs w:val="20"/>
              </w:rPr>
              <w:t>⑥项目管理规范（包括项目立项、申报、招投标、制度建立、按时完工等），1分，每发现少一项扣0.2分，扣完为止。</w:t>
            </w:r>
          </w:p>
        </w:tc>
        <w:tc>
          <w:tcPr>
            <w:tcW w:w="3472" w:type="dxa"/>
            <w:tcBorders>
              <w:top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411" w:type="dxa"/>
            <w:vMerge w:val="continue"/>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tcBorders>
              <w:top w:val="single" w:color="auto" w:sz="4" w:space="0"/>
            </w:tcBorders>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内控制度情况</w:t>
            </w:r>
          </w:p>
        </w:tc>
        <w:tc>
          <w:tcPr>
            <w:tcW w:w="567" w:type="dxa"/>
            <w:tcBorders>
              <w:top w:val="single" w:color="auto" w:sz="4" w:space="0"/>
            </w:tcBorders>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4分</w:t>
            </w:r>
          </w:p>
        </w:tc>
        <w:tc>
          <w:tcPr>
            <w:tcW w:w="3118" w:type="dxa"/>
            <w:tcBorders>
              <w:top w:val="single" w:color="auto" w:sz="4" w:space="0"/>
            </w:tcBorders>
            <w:noWrap w:val="0"/>
            <w:vAlign w:val="center"/>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内部控制制度完全执行，4分，执行过程中，某个环节（节点）执行不到位的，每个环节（节点）扣1分，扣完为止。</w:t>
            </w:r>
          </w:p>
        </w:tc>
        <w:tc>
          <w:tcPr>
            <w:tcW w:w="3472" w:type="dxa"/>
            <w:tcBorders>
              <w:top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7" w:hRule="atLeast"/>
          <w:jc w:val="center"/>
        </w:trPr>
        <w:tc>
          <w:tcPr>
            <w:tcW w:w="411" w:type="dxa"/>
            <w:vMerge w:val="restart"/>
            <w:tcBorders>
              <w:top w:val="nil"/>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过程</w:t>
            </w: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资金  使用</w:t>
            </w:r>
          </w:p>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合规性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14</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①支出符合国家财经法规和财务管理制度规定以及有关专项资金管理办法的规定；</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②资金（开支）拨付有完整的审批程序和手续；</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③支出符合部门预算批复的用途；</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④资金使用无截留、挤占、挪用、虚列支出、随意借用、大额现金支付等情况。</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⑤</w:t>
            </w:r>
            <w:r>
              <w:rPr>
                <w:rFonts w:hint="eastAsia" w:ascii="仿宋_GB2312" w:hAnsi="仿宋" w:eastAsia="仿宋_GB2312" w:cs="仿宋"/>
                <w:kern w:val="0"/>
                <w:sz w:val="20"/>
                <w:szCs w:val="20"/>
              </w:rPr>
              <w:t>重大财务事项经由集体研究决策；</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⑥</w:t>
            </w:r>
            <w:r>
              <w:rPr>
                <w:rFonts w:hint="eastAsia" w:ascii="仿宋_GB2312" w:hAnsi="仿宋" w:eastAsia="仿宋_GB2312" w:cs="仿宋"/>
                <w:kern w:val="0"/>
                <w:sz w:val="20"/>
                <w:szCs w:val="20"/>
              </w:rPr>
              <w:t>专项资金做到专款专用；</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⑦</w:t>
            </w:r>
            <w:r>
              <w:rPr>
                <w:rFonts w:hint="eastAsia" w:ascii="仿宋_GB2312" w:hAnsi="仿宋" w:eastAsia="仿宋_GB2312" w:cs="仿宋"/>
                <w:kern w:val="0"/>
                <w:sz w:val="20"/>
                <w:szCs w:val="20"/>
              </w:rPr>
              <w:t>原始凭证的取得真实有效；</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⑧</w:t>
            </w:r>
            <w:r>
              <w:rPr>
                <w:rFonts w:hint="eastAsia" w:ascii="仿宋_GB2312" w:hAnsi="仿宋" w:eastAsia="仿宋_GB2312" w:cs="仿宋"/>
                <w:kern w:val="0"/>
                <w:sz w:val="20"/>
                <w:szCs w:val="20"/>
              </w:rPr>
              <w:t>无超范围、超预算开支；</w:t>
            </w:r>
          </w:p>
          <w:p>
            <w:pPr>
              <w:widowControl/>
              <w:jc w:val="left"/>
              <w:rPr>
                <w:rFonts w:hint="eastAsia" w:ascii="仿宋_GB2312" w:hAnsi="仿宋" w:eastAsia="仿宋_GB2312" w:cs="仿宋"/>
                <w:kern w:val="0"/>
                <w:sz w:val="20"/>
                <w:szCs w:val="20"/>
                <w:lang w:eastAsia="zh-CN"/>
              </w:rPr>
            </w:pPr>
            <w:r>
              <w:rPr>
                <w:rFonts w:hint="eastAsia" w:ascii="仿宋" w:hAnsi="仿宋" w:eastAsia="仿宋" w:cs="仿宋"/>
                <w:kern w:val="0"/>
                <w:sz w:val="20"/>
                <w:szCs w:val="20"/>
              </w:rPr>
              <w:t>⑨</w:t>
            </w:r>
            <w:r>
              <w:rPr>
                <w:rFonts w:hint="eastAsia" w:ascii="仿宋_GB2312" w:hAnsi="仿宋" w:eastAsia="仿宋_GB2312" w:cs="仿宋"/>
                <w:kern w:val="0"/>
                <w:sz w:val="20"/>
                <w:szCs w:val="20"/>
              </w:rPr>
              <w:t>无超标准发放津补贴、奖金，无用公款支付应由个人支付的款项。</w:t>
            </w:r>
          </w:p>
          <w:p>
            <w:pPr>
              <w:widowControl/>
              <w:jc w:val="left"/>
              <w:rPr>
                <w:rFonts w:ascii="仿宋_GB2312" w:hAnsi="宋体" w:eastAsia="仿宋_GB2312" w:cs="宋体"/>
                <w:kern w:val="0"/>
                <w:sz w:val="20"/>
                <w:szCs w:val="20"/>
              </w:rPr>
            </w:pPr>
            <w:r>
              <w:rPr>
                <w:rFonts w:hint="eastAsia" w:ascii="仿宋_GB2312" w:hAnsi="仿宋" w:eastAsia="仿宋_GB2312" w:cs="仿宋"/>
                <w:kern w:val="0"/>
                <w:sz w:val="20"/>
                <w:szCs w:val="20"/>
              </w:rPr>
              <w:t>以上情况每出现一例不</w:t>
            </w:r>
            <w:r>
              <w:rPr>
                <w:rFonts w:hint="eastAsia" w:ascii="仿宋_GB2312" w:hAnsi="宋体" w:eastAsia="仿宋_GB2312" w:cs="宋体"/>
                <w:kern w:val="0"/>
                <w:sz w:val="20"/>
                <w:szCs w:val="20"/>
              </w:rPr>
              <w:t>符合要求的扣2分，扣完为止。</w:t>
            </w:r>
          </w:p>
        </w:tc>
        <w:tc>
          <w:tcPr>
            <w:tcW w:w="3472"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部门（单位）使用预算资金是否符合相关的预算财务管理制度的规定，用以反映和考核部门（单位）预算资金的规范运行情况。</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851" w:type="dxa"/>
            <w:noWrap w:val="0"/>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预决算信息公开性和完善性</w:t>
            </w:r>
          </w:p>
        </w:tc>
        <w:tc>
          <w:tcPr>
            <w:tcW w:w="567" w:type="dxa"/>
            <w:noWrap w:val="0"/>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3118"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①按规定内容公开预决算信息，1分；②按规定时限公开预决算信息，1分；③基础数据信息和会计信息资料真实、完整，1分；④基础数据信息和汇集信息资料准确，1分。                                           </w:t>
            </w:r>
          </w:p>
        </w:tc>
        <w:tc>
          <w:tcPr>
            <w:tcW w:w="3472"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预决算信息是指与部门预算、执行、决算、监督、绩效等管理相关的信息。</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资产管理</w:t>
            </w:r>
          </w:p>
        </w:tc>
        <w:tc>
          <w:tcPr>
            <w:tcW w:w="567" w:type="dxa"/>
            <w:vMerge w:val="restart"/>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管理  制度</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健全性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①已制定资产管理制度，1分；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xml:space="preserve">②相关资产管理制度得到有效执行，1分。                                           </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部门（单位）为加强资产管理，规范资产管理行为而制定的管理制度是否健全完整、用以反映和考核部门（单位）资产管理制度对完成主要职责或促进社会发展的保障情况</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jc w:val="center"/>
        </w:trPr>
        <w:tc>
          <w:tcPr>
            <w:tcW w:w="411" w:type="dxa"/>
            <w:vMerge w:val="continue"/>
            <w:tcBorders>
              <w:top w:val="nil"/>
            </w:tcBorders>
            <w:noWrap w:val="0"/>
            <w:vAlign w:val="center"/>
          </w:tcPr>
          <w:p>
            <w:pPr>
              <w:widowControl/>
              <w:jc w:val="center"/>
              <w:rPr>
                <w:rFonts w:hint="eastAsia"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资产  管理</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安全性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 xml:space="preserve">①资产保存完整；②资产配置合理；③资产处置规范； </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④资产账务管理合规，帐实帐卡、账账、账表（决算报表等）相符；⑤资产有偿使用及处置收入及时足额上缴；</w:t>
            </w:r>
            <w:r>
              <w:rPr>
                <w:rFonts w:hint="eastAsia" w:ascii="仿宋_GB2312" w:hAnsi="仿宋" w:eastAsia="仿宋_GB2312" w:cs="仿宋"/>
                <w:kern w:val="0"/>
                <w:sz w:val="20"/>
                <w:szCs w:val="20"/>
              </w:rPr>
              <w:t>⑥清查盘点：每年至少清查盘点一次；⑦产权明晰，权证齐全</w:t>
            </w:r>
            <w:r>
              <w:rPr>
                <w:rFonts w:hint="eastAsia" w:ascii="仿宋_GB2312" w:hAnsi="宋体" w:eastAsia="仿宋_GB2312" w:cs="宋体"/>
                <w:kern w:val="0"/>
                <w:sz w:val="20"/>
                <w:szCs w:val="20"/>
              </w:rPr>
              <w:t>；⑧按标准购置固定资产。</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以上情况每出现一例不符合要求的扣2分；⑨未按时报送2018年行政事业单位资产报表的，每延迟一天，扣1分，扣完为止。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部门（单位）的资产是否保存完整，使用合规、配置合理、处置规范、收入及时足额上缴，用以反映和考核部门（单位）资产安全运行情况。</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固定  资产</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利用率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固定资产利用率,100%,2分,每低于一个百分点扣0.2分，扣完为止。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固定资产利用率=（实际在用固定资产总额/所有固定资产总额）×100%</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restart"/>
            <w:tcBorders>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绩效管理</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17</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目标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①本单位所有专项、项目资金均实行目标管理的，各2分,每少一个专项、项目的，扣1分，扣完为止；②编制并报送</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年度部门整体支出绩效目标的，2分；③在规定时间内报送、公开以上目标的，2分，否则不得分。</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411" w:type="dxa"/>
            <w:vMerge w:val="continue"/>
            <w:tcBorders>
              <w:top w:val="nil"/>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 评价</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w:t>
            </w:r>
            <w:r>
              <w:rPr>
                <w:rFonts w:hint="eastAsia" w:ascii="仿宋_GB2312" w:hAnsi="宋体" w:eastAsia="仿宋_GB2312" w:cs="宋体"/>
                <w:kern w:val="0"/>
                <w:sz w:val="20"/>
                <w:szCs w:val="20"/>
              </w:rPr>
              <w:t>开展2019年度专项资金绩效自评的，2分，每少一个专项资金的自评扣1分，扣完为止；</w:t>
            </w:r>
            <w:r>
              <w:rPr>
                <w:rFonts w:hint="eastAsia" w:ascii="仿宋" w:hAnsi="仿宋" w:eastAsia="仿宋" w:cs="宋体"/>
                <w:kern w:val="0"/>
                <w:sz w:val="20"/>
                <w:szCs w:val="20"/>
              </w:rPr>
              <w:t>②</w:t>
            </w:r>
            <w:r>
              <w:rPr>
                <w:rFonts w:hint="eastAsia" w:ascii="仿宋_GB2312" w:hAnsi="宋体" w:eastAsia="仿宋_GB2312" w:cs="宋体"/>
                <w:kern w:val="0"/>
                <w:sz w:val="20"/>
                <w:szCs w:val="20"/>
              </w:rPr>
              <w:t>开展2019年度已完工项目绩效自评的，2分，每少一个项目扣1分，扣完为止；</w:t>
            </w:r>
            <w:r>
              <w:rPr>
                <w:rFonts w:hint="eastAsia" w:ascii="仿宋" w:hAnsi="仿宋" w:eastAsia="仿宋" w:cs="宋体"/>
                <w:kern w:val="0"/>
                <w:sz w:val="20"/>
                <w:szCs w:val="20"/>
              </w:rPr>
              <w:t>③</w:t>
            </w:r>
            <w:r>
              <w:rPr>
                <w:rFonts w:hint="eastAsia" w:ascii="仿宋_GB2312" w:hAnsi="宋体" w:eastAsia="仿宋_GB2312" w:cs="宋体"/>
                <w:kern w:val="0"/>
                <w:sz w:val="20"/>
                <w:szCs w:val="20"/>
              </w:rPr>
              <w:t>开展2019年度部门整体支出绩效自评的，1分；</w:t>
            </w:r>
            <w:r>
              <w:rPr>
                <w:rFonts w:hint="eastAsia" w:ascii="仿宋" w:hAnsi="仿宋" w:eastAsia="仿宋" w:cs="宋体"/>
                <w:kern w:val="0"/>
                <w:sz w:val="20"/>
                <w:szCs w:val="20"/>
              </w:rPr>
              <w:t>④</w:t>
            </w:r>
            <w:r>
              <w:rPr>
                <w:rFonts w:hint="eastAsia" w:ascii="仿宋_GB2312" w:hAnsi="宋体" w:eastAsia="仿宋_GB2312" w:cs="宋体"/>
                <w:kern w:val="0"/>
                <w:sz w:val="20"/>
                <w:szCs w:val="20"/>
              </w:rPr>
              <w:t>在规定时间内报送、公开以上自评报告材料的，2分。</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411" w:type="dxa"/>
            <w:tcBorders>
              <w:top w:val="nil"/>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tcBorders>
              <w:top w:val="nil"/>
              <w:bottom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tcBorders>
              <w:top w:val="nil"/>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评价 结果 运用</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 w:hAnsi="仿宋" w:eastAsia="仿宋" w:cs="宋体"/>
                <w:sz w:val="20"/>
                <w:szCs w:val="20"/>
              </w:rPr>
            </w:pPr>
            <w:r>
              <w:rPr>
                <w:rFonts w:hint="eastAsia" w:ascii="仿宋_GB2312" w:hAnsi="宋体" w:eastAsia="仿宋_GB2312" w:cs="宋体"/>
                <w:kern w:val="0"/>
                <w:sz w:val="20"/>
                <w:szCs w:val="20"/>
              </w:rPr>
              <w:t>根据2019年度财政重点绩效评价和单位自评情况，向财政报送整改结果并整改到位的，2分，否则不得分。</w:t>
            </w:r>
          </w:p>
        </w:tc>
        <w:tc>
          <w:tcPr>
            <w:tcW w:w="3472" w:type="dxa"/>
            <w:noWrap w:val="0"/>
            <w:vAlign w:val="center"/>
          </w:tcPr>
          <w:p>
            <w:pPr>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restart"/>
            <w:tcBorders>
              <w:top w:val="single" w:color="auto" w:sz="4" w:space="0"/>
            </w:tcBorders>
            <w:noWrap w:val="0"/>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产   出</w:t>
            </w:r>
          </w:p>
        </w:tc>
        <w:tc>
          <w:tcPr>
            <w:tcW w:w="429" w:type="dxa"/>
            <w:vMerge w:val="restart"/>
            <w:tcBorders>
              <w:top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职责履行</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工作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该项得分=重点工作完成率×2</w:t>
            </w: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重点工作为市政府确定的为民办实事和部门重点工程与重点工作。</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411" w:type="dxa"/>
            <w:vMerge w:val="continue"/>
            <w:tcBorders>
              <w:bottom w:val="single" w:color="auto" w:sz="4" w:space="0"/>
            </w:tcBorders>
            <w:noWrap w:val="0"/>
            <w:textDirection w:val="tbRlV"/>
            <w:vAlign w:val="center"/>
          </w:tcPr>
          <w:p>
            <w:pPr>
              <w:widowControl/>
              <w:jc w:val="center"/>
              <w:rPr>
                <w:rFonts w:hint="eastAsia"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工作</w:t>
            </w:r>
          </w:p>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质量</w:t>
            </w:r>
          </w:p>
        </w:tc>
        <w:tc>
          <w:tcPr>
            <w:tcW w:w="567" w:type="dxa"/>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以绩效考核评估结果为标准，优秀，计3分；良好，2分；合格，1分；不合格，0分。</w:t>
            </w: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p>
        </w:tc>
        <w:tc>
          <w:tcPr>
            <w:tcW w:w="617" w:type="dxa"/>
            <w:noWrap w:val="0"/>
            <w:vAlign w:val="center"/>
          </w:tcPr>
          <w:p>
            <w:pPr>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11" w:type="dxa"/>
            <w:vMerge w:val="restart"/>
            <w:tcBorders>
              <w:top w:val="single" w:color="auto" w:sz="4" w:space="0"/>
              <w:bottom w:val="single" w:color="auto" w:sz="4" w:space="0"/>
            </w:tcBorders>
            <w:noWrap w:val="0"/>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  果</w:t>
            </w:r>
          </w:p>
        </w:tc>
        <w:tc>
          <w:tcPr>
            <w:tcW w:w="429"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履职效益</w:t>
            </w:r>
          </w:p>
        </w:tc>
        <w:tc>
          <w:tcPr>
            <w:tcW w:w="567"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经济  效益</w:t>
            </w:r>
          </w:p>
        </w:tc>
        <w:tc>
          <w:tcPr>
            <w:tcW w:w="567" w:type="dxa"/>
            <w:vMerge w:val="restart"/>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6590" w:type="dxa"/>
            <w:gridSpan w:val="2"/>
            <w:vMerge w:val="restart"/>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此三项指标可根据部门实际并结合</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年度部门整体支出绩效目标设立情况有选择的进行评价。</w:t>
            </w:r>
          </w:p>
        </w:tc>
        <w:tc>
          <w:tcPr>
            <w:tcW w:w="617" w:type="dxa"/>
            <w:vMerge w:val="restart"/>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  效益</w:t>
            </w:r>
          </w:p>
        </w:tc>
        <w:tc>
          <w:tcPr>
            <w:tcW w:w="567" w:type="dxa"/>
            <w:vMerge w:val="continue"/>
            <w:noWrap w:val="0"/>
            <w:vAlign w:val="center"/>
          </w:tcPr>
          <w:p>
            <w:pPr>
              <w:widowControl/>
              <w:jc w:val="both"/>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left"/>
              <w:rPr>
                <w:rFonts w:hint="eastAsia" w:ascii="仿宋_GB2312" w:hAnsi="宋体" w:eastAsia="仿宋_GB2312" w:cs="宋体"/>
                <w:kern w:val="0"/>
                <w:sz w:val="20"/>
                <w:szCs w:val="20"/>
              </w:rPr>
            </w:pPr>
          </w:p>
        </w:tc>
        <w:tc>
          <w:tcPr>
            <w:tcW w:w="617" w:type="dxa"/>
            <w:vMerge w:val="continue"/>
            <w:noWrap w:val="0"/>
            <w:vAlign w:val="center"/>
          </w:tcPr>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生态  效益</w:t>
            </w:r>
          </w:p>
        </w:tc>
        <w:tc>
          <w:tcPr>
            <w:tcW w:w="567" w:type="dxa"/>
            <w:vMerge w:val="continue"/>
            <w:noWrap w:val="0"/>
            <w:vAlign w:val="center"/>
          </w:tcPr>
          <w:p>
            <w:pPr>
              <w:widowControl/>
              <w:jc w:val="both"/>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left"/>
              <w:rPr>
                <w:rFonts w:hint="eastAsia" w:ascii="仿宋_GB2312" w:hAnsi="宋体" w:eastAsia="仿宋_GB2312" w:cs="宋体"/>
                <w:kern w:val="0"/>
                <w:sz w:val="20"/>
                <w:szCs w:val="20"/>
              </w:rPr>
            </w:pPr>
          </w:p>
        </w:tc>
        <w:tc>
          <w:tcPr>
            <w:tcW w:w="617" w:type="dxa"/>
            <w:vMerge w:val="continue"/>
            <w:noWrap w:val="0"/>
            <w:vAlign w:val="center"/>
          </w:tcPr>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社会公众或服务对象满意度</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90%（含）以上计2分；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80%（含）-90%，计1分；70%（含）-80%，计0.5分；低于70%,计0分。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社会公众或服务对象是指部门（单位）履行职责而影响到的部门，群体或个人，一般采取社会调查的方式(不少于30份)。</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40" w:type="dxa"/>
            <w:gridSpan w:val="2"/>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合计</w:t>
            </w:r>
          </w:p>
        </w:tc>
        <w:tc>
          <w:tcPr>
            <w:tcW w:w="8575" w:type="dxa"/>
            <w:gridSpan w:val="5"/>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93</w:t>
            </w:r>
          </w:p>
        </w:tc>
      </w:tr>
    </w:tbl>
    <w:p>
      <w:pPr>
        <w:widowControl/>
        <w:shd w:val="clear" w:color="auto" w:fill="FFFFFF"/>
        <w:spacing w:beforeAutospacing="1" w:afterAutospacing="1" w:line="480" w:lineRule="atLeast"/>
        <w:ind w:firstLine="480"/>
        <w:jc w:val="left"/>
        <w:rPr>
          <w:rFonts w:hint="eastAsia" w:ascii="宋体" w:hAnsi="宋体" w:eastAsia="宋体" w:cs="宋体"/>
          <w:color w:val="1E1E1E"/>
          <w:kern w:val="0"/>
          <w:sz w:val="28"/>
          <w:szCs w:val="28"/>
          <w:shd w:val="clear" w:color="auto" w:fill="FFFFFF"/>
        </w:rPr>
      </w:pPr>
    </w:p>
    <w:p>
      <w:pPr>
        <w:pStyle w:val="8"/>
        <w:ind w:firstLine="560" w:firstLineChars="200"/>
        <w:rPr>
          <w:rFonts w:ascii="宋体" w:hAnsi="宋体" w:eastAsia="宋体" w:cs="宋体"/>
          <w:color w:val="444444"/>
          <w:kern w:val="2"/>
          <w:sz w:val="28"/>
          <w:szCs w:val="28"/>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S Mincho">
    <w:panose1 w:val="02020609040205080304"/>
    <w:charset w:val="80"/>
    <w:family w:val="modern"/>
    <w:pitch w:val="default"/>
    <w:sig w:usb0="A00002BF" w:usb1="68C7FCFB" w:usb2="00000010" w:usb3="00000000" w:csb0="4002009F" w:csb1="DFD70000"/>
  </w:font>
  <w:font w:name="方正小标宋_GBK">
    <w:altName w:val="Arial Unicode MS"/>
    <w:panose1 w:val="00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NhM2ZmMTVmYTllNzRiYzA0YjM4OTkwOWUwMmQzMjgifQ=="/>
  </w:docVars>
  <w:rsids>
    <w:rsidRoot w:val="00FF160A"/>
    <w:rsid w:val="000E35D2"/>
    <w:rsid w:val="001E2828"/>
    <w:rsid w:val="00244042"/>
    <w:rsid w:val="002D5E5C"/>
    <w:rsid w:val="0050341E"/>
    <w:rsid w:val="00554C33"/>
    <w:rsid w:val="00702EC6"/>
    <w:rsid w:val="007B1082"/>
    <w:rsid w:val="00812690"/>
    <w:rsid w:val="00952517"/>
    <w:rsid w:val="009A6A01"/>
    <w:rsid w:val="00D51644"/>
    <w:rsid w:val="00E555A1"/>
    <w:rsid w:val="00FF160A"/>
    <w:rsid w:val="025D08EA"/>
    <w:rsid w:val="02A74CAA"/>
    <w:rsid w:val="05213482"/>
    <w:rsid w:val="09E17252"/>
    <w:rsid w:val="0D5E3707"/>
    <w:rsid w:val="11E84674"/>
    <w:rsid w:val="126C42B4"/>
    <w:rsid w:val="17042185"/>
    <w:rsid w:val="1F010C8F"/>
    <w:rsid w:val="20F63895"/>
    <w:rsid w:val="23FE2FF4"/>
    <w:rsid w:val="26166273"/>
    <w:rsid w:val="2B032004"/>
    <w:rsid w:val="2C7529D1"/>
    <w:rsid w:val="2D6C05C8"/>
    <w:rsid w:val="3619015E"/>
    <w:rsid w:val="36E22B02"/>
    <w:rsid w:val="37A26170"/>
    <w:rsid w:val="3B9303B2"/>
    <w:rsid w:val="3C8416D7"/>
    <w:rsid w:val="3FAB09ED"/>
    <w:rsid w:val="44AF5D78"/>
    <w:rsid w:val="45833892"/>
    <w:rsid w:val="45CB4E15"/>
    <w:rsid w:val="4ACA7AAB"/>
    <w:rsid w:val="4B991F60"/>
    <w:rsid w:val="4D113C42"/>
    <w:rsid w:val="4E58558A"/>
    <w:rsid w:val="4F3501F1"/>
    <w:rsid w:val="52C04276"/>
    <w:rsid w:val="53202F66"/>
    <w:rsid w:val="55C776C9"/>
    <w:rsid w:val="575435C3"/>
    <w:rsid w:val="58CA4CA4"/>
    <w:rsid w:val="59A70B1E"/>
    <w:rsid w:val="59E60318"/>
    <w:rsid w:val="5CBC5F90"/>
    <w:rsid w:val="5E6D1153"/>
    <w:rsid w:val="5F83500A"/>
    <w:rsid w:val="60745B56"/>
    <w:rsid w:val="641F097E"/>
    <w:rsid w:val="65236940"/>
    <w:rsid w:val="664A41B0"/>
    <w:rsid w:val="66D16D4F"/>
    <w:rsid w:val="66FE6113"/>
    <w:rsid w:val="6B874FA2"/>
    <w:rsid w:val="6FD52562"/>
    <w:rsid w:val="70514092"/>
    <w:rsid w:val="70852420"/>
    <w:rsid w:val="73125FD0"/>
    <w:rsid w:val="76DC35F5"/>
    <w:rsid w:val="77017114"/>
    <w:rsid w:val="7832658D"/>
    <w:rsid w:val="784658BC"/>
    <w:rsid w:val="79074D5F"/>
    <w:rsid w:val="7AF745AA"/>
    <w:rsid w:val="7B7D06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paragraph" w:customStyle="1" w:styleId="8">
    <w:name w:val="Default"/>
    <w:autoRedefine/>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2896</Words>
  <Characters>3008</Characters>
  <Lines>21</Lines>
  <Paragraphs>6</Paragraphs>
  <TotalTime>0</TotalTime>
  <ScaleCrop>false</ScaleCrop>
  <LinksUpToDate>false</LinksUpToDate>
  <CharactersWithSpaces>3011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2022-06-28T09:10:00Z</dcterms:created>
  <dc:creator>Administrator</dc:creator>
  <cp:lastModifiedBy>企业用户_314885341</cp:lastModifiedBy>
  <dcterms:modified xsi:type="dcterms:W3CDTF">2024-01-26T08:50:25Z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940B8059199B4A289414AF523A65E0B0_13</vt:lpwstr>
  </property>
</Properties>
</file>