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方正小标宋_GBK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202</w:t>
      </w:r>
      <w:r>
        <w:rPr>
          <w:rFonts w:hint="default" w:ascii="Times New Roman" w:hAnsi="Times New Roman" w:eastAsia="方正小标宋_GBK" w:cs="Times New Roman"/>
          <w:sz w:val="52"/>
          <w:szCs w:val="52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52"/>
          <w:szCs w:val="52"/>
        </w:rPr>
        <w:t>年度</w:t>
      </w:r>
      <w:r>
        <w:rPr>
          <w:rFonts w:hint="eastAsia" w:eastAsia="方正小标宋_GBK" w:cs="Times New Roman"/>
          <w:sz w:val="52"/>
          <w:szCs w:val="52"/>
          <w:lang w:eastAsia="zh-CN"/>
        </w:rPr>
        <w:t>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</w:rPr>
        <w:t>部门</w:t>
      </w:r>
      <w:r>
        <w:rPr>
          <w:rFonts w:ascii="Times New Roman" w:hAnsi="Times New Roman" w:eastAsia="方正小标宋_GBK" w:cs="Times New Roman"/>
          <w:sz w:val="52"/>
          <w:szCs w:val="52"/>
        </w:rPr>
        <w:t>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  <w:t xml:space="preserve"> 邵阳市北塔区财政局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default" w:ascii="Times New Roman" w:hAnsi="Times New Roman" w:eastAsia="仿宋" w:cs="Times New Roman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default" w:ascii="Times New Roman" w:hAnsi="Times New Roman" w:eastAsia="仿宋" w:cs="Times New Roman"/>
          <w:sz w:val="40"/>
          <w:szCs w:val="40"/>
          <w:lang w:val="en-US" w:eastAsia="zh-CN"/>
        </w:rPr>
        <w:t xml:space="preserve"> 7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default" w:ascii="Times New Roman" w:hAnsi="Times New Roman" w:eastAsia="仿宋" w:cs="Times New Roman"/>
          <w:sz w:val="40"/>
          <w:szCs w:val="40"/>
          <w:lang w:val="en-US" w:eastAsia="zh-CN"/>
        </w:rPr>
        <w:t xml:space="preserve"> 30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邵阳市北塔区财政局内设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股一室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个事业机构（2个副科级单位）。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股一室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分别为：办公室、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预算行财股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农财股（加挂农村综合改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革办公室牌子）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税政国资及监督股（加挂国有资产监督管理办公室牌子）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经建企业股、社保及综合股、金融债务股、会计信息股、国库管理股、国库集中支付核算中心（加挂会计代理记账中心牌子）、财政投资评审中心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；二个事业机构分别为：区政府采购服务中心、区财政事务中心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全部纳入局机关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年部门编制范围。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年，我单位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共有编制人数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人，实际人数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人，退休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、贯彻执行国家和省财政税收方针、政策和财政预决算、财务、会计方面的法规、条例及基本建设财务管理制度，指导全区财政工作。 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、编制年度本级预算草案并组织预算执行；编制区本级财政总决算；受区政府委托，向区人大报告区本级预算、预算执行情况和财政总决算。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、管理各项财政收入、专项资金和财政专户；管理有关政府性基金。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管理财政行政政法和教科文支出；执行政府采购政策，负责控制社会集团购买力工作；管理财政预算内行政机构、事业单位和社会团体的非贸易外汇。根据国家、省统一规定的开支标准和支出政策，结合我区实际，制订具体实施办法，执行《行政单位财务规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事业单位财务规则》。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、制订全区行政事业单位国有资产管理的规章制度；监缴行政事业单位国有资产的处置收入；制订清产核资的有关政策、制度和办法并组织实施。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、对区级财政支出重大项目进行绩效评价。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、管理财政经济发展支出，负责财政性资金项目工程预决算审查。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、执行《企业财务通则》；负责财政支农、农业财务管理。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监督执行会计规章制度；指导和管理社会审计；监督财税方针政策、法律法规的执行情况；检查反映财政收支管理中的重大问题；提出加强财政管理的政策、建议。制订财政科学研究和教育规划；组织财政人员培训；负责财政信息和财政宣传工作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贯彻落实中央、省税费改革政策，制定全区税费改革实施方案及相关配套政策、制度和实施办法并组织实施和督促检查；负责指导和协调全区农村综合配套改革试点工作；制定税费改革转移支付办法；开展税收制度和收费改革调研，参与行政事业性收费清理整顿工作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、预测分析全区财政经济形势，研究经济运行中有关财政问题，提出实施宏观调控的政策建议；研究财政发展战略和重大财政改革方案。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、负责移民资金分配使用的监督与财务管理。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、完成区委、区政府交办的其他任务。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（四）绩效目标设定情况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单位紧紧围绕全区工作大局，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年度工作情况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强化财源建设及税收征管，严格落实“过紧日子”要求，优化区级财政收支结构，统筹抓好稳增长、调结构、促转型、惠民生等各项工作，全力保障民生等重点支出需要，全面严格规范财政收支管理，防范债务风险，进一步严肃财经纪律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预算执行、使用、管理总体情况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年度一般公共预算财政拨款年初结转和结余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万元，本年收入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万元，本年支出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万元，年末结转和结余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sz w:val="32"/>
          <w:szCs w:val="32"/>
          <w:shd w:val="clear" w:fill="FFFFFF"/>
        </w:rPr>
        <w:t>预算执行取得预期效果，财政运行整体良好。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（二）部门预算执行情况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年度一般公共预算财政拨款基本支出年初结转和结余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万元，本年年初预算数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491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万元，全年预算数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万元，预算执行率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%，年末结转和结余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没有超出预算规模、范围和标准。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年度本部门项目预算。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经费使用和管理情况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年“三公”经费年初预算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万元（公务接待费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万元、公务用车购置及运行费用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万元、出国（境）经费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万元），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年“三公”经费实际支出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万元减少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万元，减少了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%，主要是坚持过紧日子，厉行节约，减少“三公”经费的开支。 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年无政府性基金预算收入和支出。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我单位2023年无国有资本经营预算收入和支出。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我单位2023年无社会保险基金预算收入和支出。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综合评价结论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根据部门整体支出绩效评价规定的内容，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在决策依据及决策程序上符合相关规定，设立了明确、细化、可衡量的绩效目标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认真自评，总评价分为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分，实际得分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分，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年度部门整体支出绩效自评为优。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outlineLvl w:val="1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综合评价情况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在区委、区政府的坚强领导和在区人大、区政协的监督支持下，坚持以服务经济社会高质量发展为目标，坚持稳中求进工作总基调，贯彻新发展理念，积极发挥财政职能，加强收支预算管理，财政运行总体平稳。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财力渠道广，财政收入稳定增长。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全年区级一般预算收入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953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万元，同比增长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21.04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%。区财政由区委、区政府主要领导、区政府分管领导多次带领到财政部、省、市财政部门汇报工作，积极争资引项。年内我单位加强财政资金动态监控，建立“定期清理、限期使用、超期收回”长效机制，对历年沉淀的国库暂存款及国库集中支付结余指标进行调整，共盘活财政存量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10,478.00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万元，并将清理回收的资金用于支持稳增长、保民生、防风险。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优化财政支出管理，提高资金绩效。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我单位深入贯彻落实党的二十大和习近平总书记关于“艰苦奋斗、勤俭节约”和“党和政府带头过紧日子”等重要指示精神，牢固树立带头过“紧日子”的思想，充分认识过紧日子、严控一般性支出的重要性和必要性，努力用党和政府的紧日子换老百姓的好日子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年全区一般公共预算支出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98,041.00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万元，民生支出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63,328.00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万元（其中：教育支出为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325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万元，医疗卫生支出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693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万元，农林水支出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11,956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万元，社会保障和就业支出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13,202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万元，节能环保支出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567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万元），占一般公共预算支出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%。我单位聚焦民生实事，深化推进城市路网工程，有效纾解城市交通阻塞难题；为农村沿线道路安排路灯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580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盏，极大地解决了群众出行安全问题，消除了安全隐患；新增公办幼儿学位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630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个、公办义务教育学位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900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个，学位任务完成率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225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%。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防范化解风险，确保财政平稳运行。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年，我单位严防“三保”、资金监管和政府债务风险，对所有“三保”及直达资金全流程动态监控，统筹各种财力资源，深度调整支出结构，确保“三保”支出优先保障；深入开展“三湘护农”以及财会监督检查，全面规范财经秩序；安排财政资金，按时偿还债券本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935.92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万元，充分运用地方政府债务管理系统等线上工具，动态监控全区政府债务水平，确保债务风险总体安全可控。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持续深化财政改革，助力财政提质增效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一是优化和完善资金拨付制度。优化资金拨付的流程和环节，提高资金的拨付效率；充分运用预算管理一体化系统，对预算单位进行线上监管，加强对财政资金的拨付审核、管理和监督，明确用途，防范资金滥用和挪用，确保财政资金的安全和有效使用。二是强化预算绩效管理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年预算绩效管理贯穿于预算编制、执行、监督和评价的全过程，做到了事前有评估、事中有监控、事后有评价。三是积极推进电子非税收入。全面推行非税收入收缴电子化改革，通过接入湖南非税征缴服务平台实现系统功能拓展和数据互联互通，打造了安全高效便民的非税缴款渠道，实现了资金自动对账、票款自动结报、票据自动核销，有效降低了征缴成本，大大提高资金收缴运行效率。四是强化财评采购管理。充分发挥财政投资评审职能，完成评审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项，审核金额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4.32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亿元，核减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6,691.00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万元。坚持规范采购流程及大力推行电子采购平台，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年完成政府采购合同金额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6,011.21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万元，节约资金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532.00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（一）财政供给不足，财政支出压力大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“三保”保障任务重，我区各项财政刚性支出只增不减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债券类债务仍有较大数额，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综合债务率相对较高，但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偿债资金来源单一，财政供给不足，偿债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压力</w:t>
      </w:r>
      <w:r>
        <w:rPr>
          <w:rFonts w:hint="eastAsia" w:ascii="仿宋_GB2312" w:hAnsi="仿宋_GB2312" w:eastAsia="仿宋_GB2312" w:cs="仿宋_GB2312"/>
          <w:sz w:val="32"/>
          <w:szCs w:val="32"/>
        </w:rPr>
        <w:t>大。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楷体_GB2312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</w:rPr>
        <w:t>（二）预算编制</w:t>
      </w:r>
      <w:r>
        <w:rPr>
          <w:rFonts w:hint="eastAsia"/>
          <w:sz w:val="32"/>
          <w:szCs w:val="24"/>
          <w:lang w:val="en-US" w:eastAsia="zh-CN"/>
        </w:rPr>
        <w:t>缺少科学性与全面性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Style w:val="14"/>
          <w:rFonts w:hint="eastAsia"/>
          <w:b w:val="0"/>
          <w:sz w:val="32"/>
          <w:szCs w:val="24"/>
        </w:rPr>
      </w:pP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当前</w:t>
      </w:r>
      <w:r>
        <w:rPr>
          <w:rStyle w:val="14"/>
          <w:rFonts w:hint="eastAsia"/>
          <w:b w:val="0"/>
          <w:sz w:val="32"/>
          <w:szCs w:val="24"/>
        </w:rPr>
        <w:t>预算编制要求经济科目细化到款级，但在实际编制过程中，由于</w:t>
      </w: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部分</w:t>
      </w:r>
      <w:r>
        <w:rPr>
          <w:rStyle w:val="14"/>
          <w:rFonts w:hint="eastAsia"/>
          <w:b w:val="0"/>
          <w:sz w:val="32"/>
          <w:szCs w:val="24"/>
        </w:rPr>
        <w:t>预算支出项目具有预测性和不确定性等特点，造成实际支出与预算编制</w:t>
      </w: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细项经济科目存在差异</w:t>
      </w:r>
      <w:r>
        <w:rPr>
          <w:rStyle w:val="14"/>
          <w:rFonts w:hint="eastAsia"/>
          <w:b w:val="0"/>
          <w:sz w:val="32"/>
          <w:szCs w:val="24"/>
        </w:rPr>
        <w:t>。</w:t>
      </w: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另外，</w:t>
      </w:r>
      <w:r>
        <w:rPr>
          <w:rStyle w:val="14"/>
          <w:rFonts w:hint="eastAsia"/>
          <w:b w:val="0"/>
          <w:sz w:val="32"/>
          <w:szCs w:val="24"/>
        </w:rPr>
        <w:t>存量政府债务</w:t>
      </w:r>
      <w:r>
        <w:rPr>
          <w:rStyle w:val="14"/>
          <w:rFonts w:hint="eastAsia" w:eastAsia="仿宋"/>
          <w:b w:val="0"/>
          <w:sz w:val="32"/>
          <w:szCs w:val="24"/>
          <w:lang w:eastAsia="zh-CN"/>
        </w:rPr>
        <w:t>、</w:t>
      </w: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系统维护、经费类支出等方面在</w:t>
      </w:r>
      <w:r>
        <w:rPr>
          <w:rStyle w:val="14"/>
          <w:rFonts w:hint="eastAsia"/>
          <w:b w:val="0"/>
          <w:sz w:val="32"/>
          <w:szCs w:val="24"/>
        </w:rPr>
        <w:t>纳入预算管理</w:t>
      </w:r>
      <w:r>
        <w:rPr>
          <w:rStyle w:val="14"/>
          <w:rFonts w:hint="eastAsia" w:eastAsia="仿宋"/>
          <w:b w:val="0"/>
          <w:sz w:val="32"/>
          <w:szCs w:val="24"/>
          <w:lang w:eastAsia="zh-CN"/>
        </w:rPr>
        <w:t>的</w:t>
      </w: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能力不够</w:t>
      </w:r>
      <w:r>
        <w:rPr>
          <w:rStyle w:val="14"/>
          <w:rFonts w:hint="eastAsia"/>
          <w:b w:val="0"/>
          <w:sz w:val="32"/>
          <w:szCs w:val="24"/>
        </w:rPr>
        <w:t>，</w:t>
      </w:r>
      <w:r>
        <w:rPr>
          <w:rStyle w:val="14"/>
          <w:rFonts w:hint="eastAsia" w:eastAsia="仿宋"/>
          <w:b w:val="0"/>
          <w:sz w:val="32"/>
          <w:szCs w:val="24"/>
          <w:lang w:val="en-US" w:eastAsia="zh-CN"/>
        </w:rPr>
        <w:t>对其指标的细化、量化不足</w:t>
      </w:r>
      <w:r>
        <w:rPr>
          <w:rStyle w:val="14"/>
          <w:rFonts w:hint="eastAsia"/>
          <w:b w:val="0"/>
          <w:sz w:val="32"/>
          <w:szCs w:val="24"/>
        </w:rPr>
        <w:t xml:space="preserve">。 </w:t>
      </w:r>
    </w:p>
    <w:p>
      <w:pPr>
        <w:pStyle w:val="2"/>
        <w:numPr>
          <w:ilvl w:val="0"/>
          <w:numId w:val="3"/>
        </w:numPr>
        <w:ind w:left="0" w:leftChars="0" w:firstLine="640" w:firstLineChars="200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  <w:lang w:val="en-US" w:eastAsia="zh-CN"/>
        </w:rPr>
        <w:t>部分预算安排项目绩效成效不高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Style w:val="14"/>
          <w:rFonts w:hint="eastAsia" w:eastAsia="仿宋" w:cs="Times New Roman"/>
          <w:b w:val="0"/>
          <w:sz w:val="32"/>
          <w:szCs w:val="24"/>
          <w:lang w:eastAsia="zh-CN"/>
        </w:rPr>
      </w:pPr>
      <w:r>
        <w:rPr>
          <w:rStyle w:val="14"/>
          <w:rFonts w:hint="eastAsia" w:cs="Times New Roman"/>
          <w:b w:val="0"/>
          <w:sz w:val="32"/>
          <w:szCs w:val="24"/>
        </w:rPr>
        <w:t>加强预算绩效管理理念虽然已是普遍共识，但对该项工作重要性的认识程度还存在显著差异</w:t>
      </w:r>
      <w:r>
        <w:rPr>
          <w:rStyle w:val="14"/>
          <w:rFonts w:hint="eastAsia" w:eastAsia="仿宋" w:cs="Times New Roman"/>
          <w:b w:val="0"/>
          <w:sz w:val="32"/>
          <w:szCs w:val="24"/>
          <w:lang w:eastAsia="zh-CN"/>
        </w:rPr>
        <w:t>。</w:t>
      </w:r>
      <w:r>
        <w:rPr>
          <w:rStyle w:val="14"/>
          <w:rFonts w:hint="eastAsia" w:cs="Times New Roman"/>
          <w:b w:val="0"/>
          <w:sz w:val="32"/>
          <w:szCs w:val="24"/>
        </w:rPr>
        <w:t>部分预算安排</w:t>
      </w:r>
      <w:r>
        <w:rPr>
          <w:rStyle w:val="14"/>
          <w:rFonts w:hint="eastAsia" w:eastAsia="仿宋" w:cs="Times New Roman"/>
          <w:b w:val="0"/>
          <w:sz w:val="32"/>
          <w:szCs w:val="24"/>
          <w:lang w:eastAsia="zh-CN"/>
        </w:rPr>
        <w:t>的</w:t>
      </w:r>
      <w:r>
        <w:rPr>
          <w:rStyle w:val="14"/>
          <w:rFonts w:hint="eastAsia" w:cs="Times New Roman"/>
          <w:b w:val="0"/>
          <w:sz w:val="32"/>
          <w:szCs w:val="24"/>
        </w:rPr>
        <w:t>项目</w:t>
      </w:r>
      <w:r>
        <w:rPr>
          <w:rStyle w:val="14"/>
          <w:rFonts w:hint="eastAsia" w:eastAsia="仿宋" w:cs="Times New Roman"/>
          <w:b w:val="0"/>
          <w:sz w:val="32"/>
          <w:szCs w:val="24"/>
          <w:lang w:val="en-US" w:eastAsia="zh-CN"/>
        </w:rPr>
        <w:t>实际工作</w:t>
      </w:r>
      <w:r>
        <w:rPr>
          <w:rStyle w:val="14"/>
          <w:rFonts w:hint="eastAsia" w:cs="Times New Roman"/>
          <w:b w:val="0"/>
          <w:sz w:val="32"/>
          <w:szCs w:val="24"/>
        </w:rPr>
        <w:t>绩效</w:t>
      </w:r>
      <w:r>
        <w:rPr>
          <w:rStyle w:val="14"/>
          <w:rFonts w:hint="eastAsia" w:eastAsia="仿宋" w:cs="Times New Roman"/>
          <w:b w:val="0"/>
          <w:sz w:val="32"/>
          <w:szCs w:val="24"/>
          <w:lang w:val="en-US" w:eastAsia="zh-CN"/>
        </w:rPr>
        <w:t>成效</w:t>
      </w:r>
      <w:r>
        <w:rPr>
          <w:rStyle w:val="14"/>
          <w:rFonts w:hint="eastAsia" w:cs="Times New Roman"/>
          <w:b w:val="0"/>
          <w:sz w:val="32"/>
          <w:szCs w:val="24"/>
        </w:rPr>
        <w:t>不高</w:t>
      </w:r>
      <w:r>
        <w:rPr>
          <w:rStyle w:val="14"/>
          <w:rFonts w:hint="eastAsia" w:eastAsia="仿宋" w:cs="Times New Roman"/>
          <w:b w:val="0"/>
          <w:sz w:val="32"/>
          <w:szCs w:val="24"/>
          <w:lang w:eastAsia="zh-CN"/>
        </w:rPr>
        <w:t>，</w:t>
      </w:r>
      <w:r>
        <w:rPr>
          <w:rStyle w:val="14"/>
          <w:rFonts w:hint="eastAsia" w:eastAsia="仿宋" w:cs="Times New Roman"/>
          <w:b w:val="0"/>
          <w:sz w:val="32"/>
          <w:szCs w:val="24"/>
          <w:lang w:val="en-US" w:eastAsia="zh-CN"/>
        </w:rPr>
        <w:t>预算单位其</w:t>
      </w:r>
      <w:r>
        <w:rPr>
          <w:rStyle w:val="14"/>
          <w:rFonts w:hint="eastAsia" w:eastAsia="仿宋" w:cs="Times New Roman"/>
          <w:b w:val="0"/>
          <w:sz w:val="32"/>
          <w:szCs w:val="24"/>
          <w:lang w:eastAsia="zh-CN"/>
        </w:rPr>
        <w:t>业务部门对开展绩效评价积极性</w:t>
      </w:r>
      <w:r>
        <w:rPr>
          <w:rStyle w:val="14"/>
          <w:rFonts w:hint="eastAsia" w:eastAsia="仿宋" w:cs="Times New Roman"/>
          <w:b w:val="0"/>
          <w:sz w:val="32"/>
          <w:szCs w:val="24"/>
          <w:lang w:val="en-US" w:eastAsia="zh-CN"/>
        </w:rPr>
        <w:t>不高</w:t>
      </w:r>
      <w:r>
        <w:rPr>
          <w:rStyle w:val="14"/>
          <w:rFonts w:hint="eastAsia" w:eastAsia="仿宋" w:cs="Times New Roman"/>
          <w:b w:val="0"/>
          <w:sz w:val="32"/>
          <w:szCs w:val="24"/>
          <w:lang w:eastAsia="zh-CN"/>
        </w:rPr>
        <w:t>，财务部门对绩效评价结果运用无从下手，未形成管理合力。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夯实财源建设，提升财政保障水平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加强财源建设。围绕减轻税收负担、加大收费清理和降费力度、推进供给侧结构性改革、多渠道融资等方面，出台指向精准的财税惠企政策，夯实现有财源，激活新兴财源，培育后续财源，实现财源建设新突破。二是强化税收征管。坚持依法征管、应收尽收，确保完成财政收入预算。深化税收保障体系建设，不断提高税收征管水平，确保地方财政收入既有数量又有质量。三是多方争取资金。密切关注国家政策导向，抓住国债增发契机，加强部门协作、上下联动，多渠道、多层次争取上级各类补助资金。四是盘活存量资金。进一步加大财政资金整合力度，盘活财政结余结转资金，清理各领域沉淀资金，加快项目支出进度，进一步提高财政资金使用效益。五是持续优化支出结构。硬化预算执行刚性约束，继续压减一般性、非刚性支出，加大民生支出，兜牢“三保”底线，确保资金用到实处，增进民生福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）强化绩效管理意识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科学、准确预测财政收支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强化绩效管理意识，进一步细化预算编制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对年度数据、各类指标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资金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下发文件及时汇总归档，充分发挥前瞻性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收支预测，科学合理编制部门预算，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设立绩效目标，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推进预算编制科学化、准确化。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绩效指标的设立，紧紧围绕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预算资金管理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各项工作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目标，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分解出细化、量化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、可实现、便于考核的绩效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指标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结合实际工作，做精共性指标，突出个性指标。对于难以量化的指标，采用能够反映工作质量和成果的描述简要概括。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压实绩效考核责任，强化预算精准执行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进一步强化监督意识，坚持把财政监督有效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融入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财政管理中，坚持内外并举，既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重视对部门预算单位的监督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检查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重视对财政部门内部资金分配过程中的监控，扎实推进资金从下达到使用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监管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责任落实，大力压缩绩效不高项目的预算安排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。坚持在明确责任、划定序列、优化指标上求突破，强化预算精准执行，实行按项目进度分期精准拨款，无进度不拨款，无绩效不拨款，让责任划分更合理、分值设置更精准、实施细则更科学，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充分发挥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绩效激励约束作用。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强化对考核任务的指导力度，帮助各责任单位理解指标变化、理清考核重点、明确努力方向。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报告附件：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部门整体支出绩效评价基础数据表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部门整体支出绩效自评表</w:t>
      </w:r>
    </w:p>
    <w:p>
      <w:p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部门整体支出绩效评价基础数据表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ind w:left="91"/>
        <w:jc w:val="left"/>
        <w:textAlignment w:val="auto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填报单位：邵阳市北塔区财政局                                        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149.78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牢固树立“过紧日子”的思想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调整优化支出结构，压减一般性支出和非急需、非刚性支出，规范“三公”经费管理，将有限的资金用在刀刃上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王雅黎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2024.7.30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联系电话：17718985782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整体支出绩效自评表</w:t>
      </w:r>
    </w:p>
    <w:tbl>
      <w:tblPr>
        <w:tblStyle w:val="9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8"/>
        <w:gridCol w:w="1054"/>
        <w:gridCol w:w="974"/>
        <w:gridCol w:w="87"/>
        <w:gridCol w:w="1153"/>
        <w:gridCol w:w="1096"/>
        <w:gridCol w:w="689"/>
        <w:gridCol w:w="866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邵阳市北塔区财政局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0"/>
                <w:szCs w:val="2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491.58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784.12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784.12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784.12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年度，本部门将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持续优化财政收支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，强化财源建设及税收征管，积极化解隐性债务，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推进财政管理体制改革，做好民生保障。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年度，我区地方财政收入排名全市第一，财源建设成绩优异；已逐步健全债务风险防范体制；建立健全了财政投资评审机制，财政管理规范化成效明显；资金监管到位，严格审核专项项目。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农村公益事业项目建设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20个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27个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审退不合理项目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聘请第三方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绩效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检查项目数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净审减率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预算绩效管理覆盖率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资金拨付及时率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各项工作完成时间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2023年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政府采购执行率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优化区级财政收支结构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有效防范地方政府债务风险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有效防范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有效防范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防范水平仍待提高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建立健全财政投资评审机制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建立健全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建立健全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规范专项项目管理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深化农村改革，改善村容村貌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深化改革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深化改革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预算绩效管理水平持续提升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王雅黎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2024.7.30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联系电话：17718985782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2098" w:right="1800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A182E"/>
    <w:multiLevelType w:val="singleLevel"/>
    <w:tmpl w:val="A5CA18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85669C"/>
    <w:multiLevelType w:val="singleLevel"/>
    <w:tmpl w:val="AA8566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9223321"/>
    <w:multiLevelType w:val="singleLevel"/>
    <w:tmpl w:val="E92233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DQ2MTVhMjBmNWVkNDdmODUyYjIyYmJhNjY4YWMifQ=="/>
    <w:docVar w:name="KSO_WPS_MARK_KEY" w:val="9920a277-c0c3-43b4-93d3-1636fe398e0b"/>
  </w:docVars>
  <w:rsids>
    <w:rsidRoot w:val="00172A27"/>
    <w:rsid w:val="0090207B"/>
    <w:rsid w:val="01862FF2"/>
    <w:rsid w:val="04096F7B"/>
    <w:rsid w:val="05552A6C"/>
    <w:rsid w:val="05E95AA6"/>
    <w:rsid w:val="0C180A78"/>
    <w:rsid w:val="0D276746"/>
    <w:rsid w:val="0D464D9C"/>
    <w:rsid w:val="0DD52794"/>
    <w:rsid w:val="0E1411CE"/>
    <w:rsid w:val="0E956870"/>
    <w:rsid w:val="10C666A5"/>
    <w:rsid w:val="10D40911"/>
    <w:rsid w:val="11421D1E"/>
    <w:rsid w:val="1223366A"/>
    <w:rsid w:val="143877FD"/>
    <w:rsid w:val="173914CE"/>
    <w:rsid w:val="19E805B2"/>
    <w:rsid w:val="1B7C5E2D"/>
    <w:rsid w:val="1DEA2BFC"/>
    <w:rsid w:val="21AB2FC8"/>
    <w:rsid w:val="22FE234B"/>
    <w:rsid w:val="23424E8E"/>
    <w:rsid w:val="23A80837"/>
    <w:rsid w:val="23B97A91"/>
    <w:rsid w:val="23C659E4"/>
    <w:rsid w:val="24ED23D9"/>
    <w:rsid w:val="25571B9E"/>
    <w:rsid w:val="25BF5A6C"/>
    <w:rsid w:val="27405E9F"/>
    <w:rsid w:val="277E6F02"/>
    <w:rsid w:val="29990575"/>
    <w:rsid w:val="2AF6742D"/>
    <w:rsid w:val="2C730B86"/>
    <w:rsid w:val="2E833798"/>
    <w:rsid w:val="2EA72D69"/>
    <w:rsid w:val="2F0D0070"/>
    <w:rsid w:val="2F762642"/>
    <w:rsid w:val="312A2265"/>
    <w:rsid w:val="316D2048"/>
    <w:rsid w:val="31B87EF8"/>
    <w:rsid w:val="34C75F13"/>
    <w:rsid w:val="360A4309"/>
    <w:rsid w:val="36FC0F5D"/>
    <w:rsid w:val="37314B19"/>
    <w:rsid w:val="375773F8"/>
    <w:rsid w:val="387F0109"/>
    <w:rsid w:val="38877E93"/>
    <w:rsid w:val="39365415"/>
    <w:rsid w:val="393E32BB"/>
    <w:rsid w:val="3AC2576A"/>
    <w:rsid w:val="3BE455FD"/>
    <w:rsid w:val="3CB8475C"/>
    <w:rsid w:val="3EB574CC"/>
    <w:rsid w:val="40701CFB"/>
    <w:rsid w:val="40EB7C06"/>
    <w:rsid w:val="419B2857"/>
    <w:rsid w:val="41D71DA8"/>
    <w:rsid w:val="41DE664A"/>
    <w:rsid w:val="4521341D"/>
    <w:rsid w:val="49774DCA"/>
    <w:rsid w:val="4C6611ED"/>
    <w:rsid w:val="4EDF504B"/>
    <w:rsid w:val="4F824AB9"/>
    <w:rsid w:val="51037E7B"/>
    <w:rsid w:val="523D2DC2"/>
    <w:rsid w:val="53026F23"/>
    <w:rsid w:val="534B4A7D"/>
    <w:rsid w:val="544561BC"/>
    <w:rsid w:val="54EA0A94"/>
    <w:rsid w:val="552A0475"/>
    <w:rsid w:val="578D10CB"/>
    <w:rsid w:val="57AC15B6"/>
    <w:rsid w:val="57FD3876"/>
    <w:rsid w:val="58EE31BF"/>
    <w:rsid w:val="59F42A57"/>
    <w:rsid w:val="5A5915AC"/>
    <w:rsid w:val="5C537F09"/>
    <w:rsid w:val="5C7659A5"/>
    <w:rsid w:val="5D215911"/>
    <w:rsid w:val="5D6A35D0"/>
    <w:rsid w:val="5E160396"/>
    <w:rsid w:val="5E59557E"/>
    <w:rsid w:val="5F2A5093"/>
    <w:rsid w:val="60FD6695"/>
    <w:rsid w:val="61D03DA9"/>
    <w:rsid w:val="66553F56"/>
    <w:rsid w:val="66C57C55"/>
    <w:rsid w:val="67DD3554"/>
    <w:rsid w:val="68B166E3"/>
    <w:rsid w:val="695232F6"/>
    <w:rsid w:val="696432C9"/>
    <w:rsid w:val="69B53FB1"/>
    <w:rsid w:val="6A12486A"/>
    <w:rsid w:val="6B2D5DC9"/>
    <w:rsid w:val="6E7D2BC3"/>
    <w:rsid w:val="71454C52"/>
    <w:rsid w:val="753C4E9B"/>
    <w:rsid w:val="77202EE9"/>
    <w:rsid w:val="78000AED"/>
    <w:rsid w:val="781113A7"/>
    <w:rsid w:val="78C551B2"/>
    <w:rsid w:val="791E6510"/>
    <w:rsid w:val="79A951B4"/>
    <w:rsid w:val="79CB24E1"/>
    <w:rsid w:val="7C1104EC"/>
    <w:rsid w:val="7C8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108"/>
    </w:pPr>
    <w:rPr>
      <w:rFonts w:asci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1">
    <w:name w:val="标题1"/>
    <w:basedOn w:val="2"/>
    <w:autoRedefine/>
    <w:qFormat/>
    <w:uiPriority w:val="0"/>
    <w:rPr>
      <w:rFonts w:eastAsia="黑体"/>
    </w:rPr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2 Char"/>
    <w:link w:val="2"/>
    <w:unhideWhenUsed/>
    <w:qFormat/>
    <w:uiPriority w:val="0"/>
    <w:rPr>
      <w:rFonts w:hint="default" w:ascii="Arial" w:hAnsi="Arial" w:eastAsia="仿宋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5352</Words>
  <Characters>5767</Characters>
  <Lines>0</Lines>
  <Paragraphs>0</Paragraphs>
  <TotalTime>0</TotalTime>
  <ScaleCrop>false</ScaleCrop>
  <LinksUpToDate>false</LinksUpToDate>
  <CharactersWithSpaces>6004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涵</cp:lastModifiedBy>
  <cp:lastPrinted>2024-02-26T03:24:00Z</cp:lastPrinted>
  <dcterms:modified xsi:type="dcterms:W3CDTF">2024-08-05T01:48:28Z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A1D2FD49B7D4423184342429DEA89BC7_13</vt:lpwstr>
  </property>
</Properties>
</file>