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rPr>
          <w:rFonts w:hint="default" w:ascii="Times New Roman" w:hAnsi="Times New Roman" w:cs="Times New Roman"/>
        </w:rPr>
      </w:pPr>
    </w:p>
    <w:p>
      <w:pPr>
        <w:pStyle w:val="5"/>
        <w:rPr>
          <w:rFonts w:hint="default" w:ascii="Times New Roman" w:hAnsi="Times New Roman" w:cs="Times New Roman"/>
        </w:rPr>
      </w:pPr>
    </w:p>
    <w:p>
      <w:pPr>
        <w:pStyle w:val="5"/>
        <w:rPr>
          <w:rFonts w:hint="default" w:ascii="Times New Roman" w:hAnsi="Times New Roman" w:cs="Times New Roman"/>
        </w:rPr>
      </w:pPr>
    </w:p>
    <w:p>
      <w:pPr>
        <w:pStyle w:val="5"/>
        <w:rPr>
          <w:rFonts w:hint="default" w:ascii="Times New Roman" w:hAnsi="Times New Roman" w:cs="Times New Roman"/>
        </w:rPr>
      </w:pPr>
    </w:p>
    <w:p>
      <w:pPr>
        <w:pStyle w:val="5"/>
        <w:rPr>
          <w:rFonts w:hint="default" w:ascii="Times New Roman" w:hAnsi="Times New Roman" w:cs="Times New Roman"/>
        </w:rPr>
      </w:pPr>
    </w:p>
    <w:p>
      <w:pPr>
        <w:pStyle w:val="5"/>
        <w:rPr>
          <w:rFonts w:hint="default" w:ascii="Times New Roman" w:hAnsi="Times New Roman" w:cs="Times New Roman"/>
        </w:rPr>
      </w:pPr>
    </w:p>
    <w:p>
      <w:pPr>
        <w:pStyle w:val="5"/>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cs="Times New Roman"/>
        </w:rPr>
      </w:pPr>
      <w:bookmarkStart w:id="40" w:name="_GoBack"/>
      <w:bookmarkEnd w:id="40"/>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小标宋_GBK" w:cs="Times New Roman"/>
          <w:b w:val="0"/>
          <w:bCs w:val="0"/>
          <w:sz w:val="44"/>
          <w:szCs w:val="44"/>
          <w:lang w:val="en-US" w:eastAsia="zh-CN"/>
        </w:rPr>
      </w:pPr>
      <w:r>
        <w:rPr>
          <w:rFonts w:hint="default" w:ascii="Times New Roman" w:hAnsi="Times New Roman" w:eastAsia="方正小标宋_GBK" w:cs="Times New Roman"/>
          <w:b w:val="0"/>
          <w:bCs w:val="0"/>
          <w:sz w:val="44"/>
          <w:szCs w:val="44"/>
          <w:lang w:val="en-US" w:eastAsia="zh-CN"/>
        </w:rPr>
        <w:t>邵阳市北塔区畜牧水产事务中心</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小标宋_GBK" w:cs="Times New Roman"/>
          <w:b w:val="0"/>
          <w:bCs w:val="0"/>
          <w:sz w:val="44"/>
          <w:szCs w:val="44"/>
          <w:lang w:val="en-US" w:eastAsia="zh-CN"/>
        </w:rPr>
      </w:pPr>
      <w:r>
        <w:rPr>
          <w:rFonts w:hint="default" w:ascii="Times New Roman" w:hAnsi="Times New Roman" w:eastAsia="方正小标宋_GBK" w:cs="Times New Roman"/>
          <w:b w:val="0"/>
          <w:bCs w:val="0"/>
          <w:sz w:val="44"/>
          <w:szCs w:val="44"/>
          <w:lang w:val="en-US" w:eastAsia="zh-CN"/>
        </w:rPr>
        <w:t>2022年度部门整体支出绩效评价报告</w:t>
      </w:r>
    </w:p>
    <w:p>
      <w:pPr>
        <w:pStyle w:val="10"/>
        <w:rPr>
          <w:rFonts w:hint="default" w:ascii="Times New Roman" w:hAnsi="Times New Roman" w:cs="Times New Roman"/>
        </w:rPr>
      </w:pPr>
    </w:p>
    <w:p>
      <w:pPr>
        <w:pStyle w:val="10"/>
        <w:rPr>
          <w:rFonts w:hint="default" w:ascii="Times New Roman" w:hAnsi="Times New Roman" w:cs="Times New Roman"/>
        </w:rPr>
      </w:pPr>
    </w:p>
    <w:p>
      <w:pPr>
        <w:pStyle w:val="22"/>
        <w:rPr>
          <w:rFonts w:hint="default" w:ascii="Times New Roman" w:hAnsi="Times New Roman" w:eastAsia="宋体" w:cs="Times New Roman"/>
          <w:spacing w:val="-8"/>
          <w:sz w:val="43"/>
          <w:szCs w:val="43"/>
          <w14:textOutline w14:w="7810" w14:cap="flat" w14:cmpd="sng">
            <w14:solidFill>
              <w14:srgbClr w14:val="000000"/>
            </w14:solidFill>
            <w14:prstDash w14:val="solid"/>
            <w14:miter w14:val="0"/>
          </w14:textOutline>
        </w:rPr>
      </w:pPr>
    </w:p>
    <w:p>
      <w:pPr>
        <w:jc w:val="center"/>
        <w:rPr>
          <w:rFonts w:hint="default" w:ascii="Times New Roman" w:hAnsi="Times New Roman" w:eastAsia="仿宋" w:cs="Times New Roman"/>
          <w:b/>
          <w:bCs/>
          <w:sz w:val="32"/>
          <w:szCs w:val="32"/>
        </w:rPr>
      </w:pPr>
    </w:p>
    <w:p>
      <w:pPr>
        <w:jc w:val="center"/>
        <w:rPr>
          <w:rFonts w:hint="default" w:ascii="Times New Roman" w:hAnsi="Times New Roman" w:eastAsia="仿宋" w:cs="Times New Roman"/>
          <w:b/>
          <w:bCs/>
          <w:sz w:val="32"/>
          <w:szCs w:val="32"/>
        </w:rPr>
      </w:pPr>
    </w:p>
    <w:p>
      <w:pPr>
        <w:pStyle w:val="23"/>
        <w:ind w:left="0" w:leftChars="0" w:firstLine="0" w:firstLineChars="0"/>
        <w:rPr>
          <w:rFonts w:hint="default" w:ascii="Times New Roman" w:hAnsi="Times New Roman" w:eastAsia="仿宋" w:cs="Times New Roman"/>
          <w:b/>
          <w:bCs/>
          <w:sz w:val="30"/>
          <w:szCs w:val="30"/>
        </w:rPr>
      </w:pPr>
    </w:p>
    <w:p>
      <w:pPr>
        <w:pStyle w:val="23"/>
        <w:ind w:left="0" w:leftChars="0" w:firstLine="0" w:firstLineChars="0"/>
        <w:rPr>
          <w:rFonts w:hint="default" w:ascii="Times New Roman" w:hAnsi="Times New Roman" w:eastAsia="仿宋" w:cs="Times New Roman"/>
          <w:b/>
          <w:bCs/>
          <w:sz w:val="30"/>
          <w:szCs w:val="30"/>
        </w:rPr>
      </w:pPr>
    </w:p>
    <w:p>
      <w:pPr>
        <w:pStyle w:val="23"/>
        <w:ind w:left="0" w:leftChars="0" w:firstLine="0" w:firstLineChars="0"/>
        <w:rPr>
          <w:rFonts w:hint="default" w:ascii="Times New Roman" w:hAnsi="Times New Roman" w:eastAsia="仿宋" w:cs="Times New Roman"/>
          <w:b/>
          <w:bCs/>
          <w:sz w:val="30"/>
          <w:szCs w:val="30"/>
        </w:rPr>
      </w:pPr>
    </w:p>
    <w:p>
      <w:pPr>
        <w:pStyle w:val="23"/>
        <w:ind w:left="0" w:leftChars="0" w:firstLine="0" w:firstLineChars="0"/>
        <w:rPr>
          <w:rFonts w:hint="default" w:ascii="Times New Roman" w:hAnsi="Times New Roman" w:eastAsia="仿宋" w:cs="Times New Roman"/>
          <w:b/>
          <w:bCs/>
          <w:sz w:val="30"/>
          <w:szCs w:val="30"/>
        </w:rPr>
      </w:pPr>
    </w:p>
    <w:p>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outlineLvl w:val="9"/>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rPr>
        <w:t>湖南财正会计师事务所</w:t>
      </w:r>
      <w:r>
        <w:rPr>
          <w:rFonts w:hint="default" w:ascii="Times New Roman" w:hAnsi="Times New Roman" w:eastAsia="仿宋" w:cs="Times New Roman"/>
          <w:b/>
          <w:bCs/>
          <w:sz w:val="32"/>
          <w:szCs w:val="32"/>
          <w:lang w:val="en-US" w:eastAsia="zh-CN"/>
        </w:rPr>
        <w:t>（普通合伙）</w:t>
      </w:r>
    </w:p>
    <w:p>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outlineLvl w:val="9"/>
        <w:rPr>
          <w:rFonts w:hint="default" w:ascii="Times New Roman" w:hAnsi="Times New Roman" w:eastAsia="仿宋" w:cs="Times New Roman"/>
          <w:b/>
          <w:bCs/>
          <w:sz w:val="32"/>
          <w:szCs w:val="32"/>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titlePg/>
          <w:docGrid w:type="lines" w:linePitch="312" w:charSpace="0"/>
        </w:sectPr>
      </w:pPr>
      <w:r>
        <w:rPr>
          <w:rFonts w:hint="default" w:ascii="Times New Roman" w:hAnsi="Times New Roman" w:eastAsia="仿宋" w:cs="Times New Roman"/>
          <w:b/>
          <w:bCs/>
          <w:sz w:val="32"/>
          <w:szCs w:val="32"/>
          <w:highlight w:val="none"/>
        </w:rPr>
        <w:t>二〇二</w:t>
      </w:r>
      <w:r>
        <w:rPr>
          <w:rFonts w:hint="default" w:ascii="Times New Roman" w:hAnsi="Times New Roman" w:eastAsia="仿宋" w:cs="Times New Roman"/>
          <w:b/>
          <w:bCs/>
          <w:sz w:val="32"/>
          <w:szCs w:val="32"/>
          <w:highlight w:val="none"/>
          <w:lang w:val="en-US" w:eastAsia="zh-CN"/>
        </w:rPr>
        <w:t>三</w:t>
      </w:r>
      <w:r>
        <w:rPr>
          <w:rFonts w:hint="default" w:ascii="Times New Roman" w:hAnsi="Times New Roman" w:eastAsia="仿宋" w:cs="Times New Roman"/>
          <w:b/>
          <w:bCs/>
          <w:sz w:val="32"/>
          <w:szCs w:val="32"/>
          <w:highlight w:val="none"/>
        </w:rPr>
        <w:t>年</w:t>
      </w:r>
      <w:r>
        <w:rPr>
          <w:rFonts w:hint="default" w:ascii="Times New Roman" w:hAnsi="Times New Roman" w:eastAsia="仿宋" w:cs="Times New Roman"/>
          <w:b/>
          <w:bCs/>
          <w:sz w:val="32"/>
          <w:szCs w:val="32"/>
          <w:highlight w:val="none"/>
          <w:lang w:val="en-US" w:eastAsia="zh-CN"/>
        </w:rPr>
        <w:t>十</w:t>
      </w:r>
      <w:r>
        <w:rPr>
          <w:rFonts w:hint="default" w:ascii="Times New Roman" w:hAnsi="Times New Roman" w:eastAsia="仿宋" w:cs="Times New Roman"/>
          <w:b/>
          <w:bCs/>
          <w:sz w:val="32"/>
          <w:szCs w:val="32"/>
          <w:highlight w:val="none"/>
        </w:rPr>
        <w:t>月</w:t>
      </w:r>
    </w:p>
    <w:sdt>
      <w:sdtPr>
        <w:rPr>
          <w:rFonts w:hint="eastAsia" w:ascii="方正小标宋_GBK" w:hAnsi="方正小标宋_GBK" w:eastAsia="方正小标宋_GBK" w:cs="方正小标宋_GBK"/>
          <w:b w:val="0"/>
          <w:bCs w:val="0"/>
          <w:kern w:val="2"/>
          <w:sz w:val="44"/>
          <w:szCs w:val="44"/>
          <w:lang w:val="en-US" w:eastAsia="zh-CN" w:bidi="ar-SA"/>
        </w:rPr>
        <w:id w:val="147451260"/>
        <w15:color w:val="DBDBDB"/>
        <w:docPartObj>
          <w:docPartGallery w:val="Table of Contents"/>
          <w:docPartUnique/>
        </w:docPartObj>
      </w:sdtPr>
      <w:sdtEndPr>
        <w:rPr>
          <w:rFonts w:hint="default" w:ascii="Times New Roman" w:hAnsi="Times New Roman" w:eastAsia="仿宋" w:cs="Times New Roman"/>
          <w:b/>
          <w:bCs/>
          <w:kern w:val="2"/>
          <w:sz w:val="31"/>
          <w:szCs w:val="31"/>
          <w:lang w:val="en-US" w:eastAsia="zh-CN" w:bidi="ar-SA"/>
        </w:rPr>
      </w:sdtEndPr>
      <w:sdtContent>
        <w:p>
          <w:pPr>
            <w:spacing w:before="0" w:beforeLines="0" w:after="0" w:afterLines="0" w:line="240" w:lineRule="auto"/>
            <w:ind w:left="0" w:leftChars="0" w:right="0" w:rightChars="0" w:firstLine="0" w:firstLineChars="0"/>
            <w:jc w:val="center"/>
            <w:rPr>
              <w:rFonts w:hint="default" w:ascii="Times New Roman" w:hAnsi="Times New Roman" w:eastAsia="仿宋" w:cs="Times New Roman"/>
              <w:kern w:val="2"/>
              <w:sz w:val="32"/>
              <w:szCs w:val="31"/>
              <w:lang w:val="en-US" w:eastAsia="zh-CN" w:bidi="ar-SA"/>
            </w:rPr>
          </w:pPr>
          <w:r>
            <w:rPr>
              <w:rFonts w:hint="eastAsia" w:ascii="方正小标宋_GBK" w:hAnsi="方正小标宋_GBK" w:eastAsia="方正小标宋_GBK" w:cs="方正小标宋_GBK"/>
              <w:b w:val="0"/>
              <w:bCs w:val="0"/>
              <w:sz w:val="44"/>
              <w:szCs w:val="44"/>
            </w:rPr>
            <w:t>目</w:t>
          </w:r>
          <w:r>
            <w:rPr>
              <w:rFonts w:hint="eastAsia" w:ascii="方正小标宋_GBK" w:hAnsi="方正小标宋_GBK" w:eastAsia="方正小标宋_GBK" w:cs="方正小标宋_GBK"/>
              <w:b w:val="0"/>
              <w:bCs w:val="0"/>
              <w:sz w:val="44"/>
              <w:szCs w:val="44"/>
              <w:lang w:val="en-US" w:eastAsia="zh-CN"/>
            </w:rPr>
            <w:t xml:space="preserve"> </w:t>
          </w:r>
          <w:r>
            <w:rPr>
              <w:rFonts w:hint="eastAsia" w:ascii="方正小标宋_GBK" w:hAnsi="方正小标宋_GBK" w:eastAsia="方正小标宋_GBK" w:cs="方正小标宋_GBK"/>
              <w:b w:val="0"/>
              <w:bCs w:val="0"/>
              <w:sz w:val="44"/>
              <w:szCs w:val="44"/>
            </w:rPr>
            <w:t>录</w:t>
          </w:r>
          <w:r>
            <w:rPr>
              <w:rFonts w:hint="default" w:ascii="Times New Roman" w:hAnsi="Times New Roman" w:eastAsia="仿宋" w:cs="Times New Roman"/>
              <w:sz w:val="31"/>
              <w:szCs w:val="31"/>
            </w:rPr>
            <w:fldChar w:fldCharType="begin"/>
          </w:r>
          <w:r>
            <w:rPr>
              <w:rFonts w:hint="default" w:ascii="Times New Roman" w:hAnsi="Times New Roman" w:eastAsia="仿宋" w:cs="Times New Roman"/>
              <w:sz w:val="31"/>
              <w:szCs w:val="31"/>
            </w:rPr>
            <w:instrText xml:space="preserve">TOC \o "1-2" \h \u </w:instrText>
          </w:r>
          <w:r>
            <w:rPr>
              <w:rFonts w:hint="default" w:ascii="Times New Roman" w:hAnsi="Times New Roman" w:eastAsia="仿宋" w:cs="Times New Roman"/>
              <w:sz w:val="31"/>
              <w:szCs w:val="31"/>
            </w:rPr>
            <w:fldChar w:fldCharType="separate"/>
          </w:r>
        </w:p>
        <w:p>
          <w:pPr>
            <w:pStyle w:val="14"/>
            <w:tabs>
              <w:tab w:val="right" w:leader="dot" w:pos="8392"/>
            </w:tabs>
            <w:rPr>
              <w:rFonts w:hint="default" w:ascii="Times New Roman" w:hAnsi="Times New Roman" w:eastAsia="仿宋" w:cs="Times New Roman"/>
            </w:rPr>
          </w:pPr>
          <w:r>
            <w:rPr>
              <w:rFonts w:hint="default" w:ascii="Times New Roman" w:hAnsi="Times New Roman" w:eastAsia="仿宋" w:cs="Times New Roman"/>
              <w:szCs w:val="31"/>
            </w:rPr>
            <w:fldChar w:fldCharType="begin"/>
          </w:r>
          <w:r>
            <w:rPr>
              <w:rFonts w:hint="default" w:ascii="Times New Roman" w:hAnsi="Times New Roman" w:eastAsia="仿宋" w:cs="Times New Roman"/>
              <w:szCs w:val="31"/>
            </w:rPr>
            <w:instrText xml:space="preserve"> HYPERLINK \l _Toc17556 </w:instrText>
          </w:r>
          <w:r>
            <w:rPr>
              <w:rFonts w:hint="default" w:ascii="Times New Roman" w:hAnsi="Times New Roman" w:eastAsia="仿宋" w:cs="Times New Roman"/>
              <w:szCs w:val="31"/>
            </w:rPr>
            <w:fldChar w:fldCharType="separate"/>
          </w:r>
          <w:r>
            <w:rPr>
              <w:rFonts w:hint="default" w:ascii="Times New Roman" w:hAnsi="Times New Roman" w:eastAsia="仿宋" w:cs="Times New Roman"/>
              <w:lang w:val="en-US" w:eastAsia="zh-CN"/>
            </w:rPr>
            <w:t>一、单位基本情况</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_Toc17556 \h </w:instrText>
          </w:r>
          <w:r>
            <w:rPr>
              <w:rFonts w:hint="default" w:ascii="Times New Roman" w:hAnsi="Times New Roman" w:eastAsia="仿宋" w:cs="Times New Roman"/>
            </w:rPr>
            <w:fldChar w:fldCharType="separate"/>
          </w:r>
          <w:r>
            <w:rPr>
              <w:rFonts w:hint="default" w:ascii="Times New Roman" w:hAnsi="Times New Roman" w:eastAsia="仿宋" w:cs="Times New Roman"/>
            </w:rPr>
            <w:t>2</w:t>
          </w:r>
          <w:r>
            <w:rPr>
              <w:rFonts w:hint="default" w:ascii="Times New Roman" w:hAnsi="Times New Roman" w:eastAsia="仿宋" w:cs="Times New Roman"/>
            </w:rPr>
            <w:fldChar w:fldCharType="end"/>
          </w:r>
          <w:r>
            <w:rPr>
              <w:rFonts w:hint="default" w:ascii="Times New Roman" w:hAnsi="Times New Roman" w:eastAsia="仿宋" w:cs="Times New Roman"/>
              <w:szCs w:val="31"/>
            </w:rPr>
            <w:fldChar w:fldCharType="end"/>
          </w:r>
        </w:p>
        <w:p>
          <w:pPr>
            <w:pStyle w:val="16"/>
            <w:tabs>
              <w:tab w:val="right" w:leader="dot" w:pos="8392"/>
            </w:tabs>
            <w:rPr>
              <w:rFonts w:hint="default" w:ascii="Times New Roman" w:hAnsi="Times New Roman" w:eastAsia="仿宋" w:cs="Times New Roman"/>
            </w:rPr>
          </w:pPr>
          <w:r>
            <w:rPr>
              <w:rFonts w:hint="default" w:ascii="Times New Roman" w:hAnsi="Times New Roman" w:eastAsia="仿宋" w:cs="Times New Roman"/>
              <w:szCs w:val="31"/>
            </w:rPr>
            <w:fldChar w:fldCharType="begin"/>
          </w:r>
          <w:r>
            <w:rPr>
              <w:rFonts w:hint="default" w:ascii="Times New Roman" w:hAnsi="Times New Roman" w:eastAsia="仿宋" w:cs="Times New Roman"/>
              <w:szCs w:val="31"/>
            </w:rPr>
            <w:instrText xml:space="preserve"> HYPERLINK \l _Toc4706 </w:instrText>
          </w:r>
          <w:r>
            <w:rPr>
              <w:rFonts w:hint="default" w:ascii="Times New Roman" w:hAnsi="Times New Roman" w:eastAsia="仿宋" w:cs="Times New Roman"/>
              <w:szCs w:val="31"/>
            </w:rPr>
            <w:fldChar w:fldCharType="separate"/>
          </w:r>
          <w:r>
            <w:rPr>
              <w:rFonts w:hint="default" w:ascii="Times New Roman" w:hAnsi="Times New Roman" w:eastAsia="仿宋" w:cs="Times New Roman"/>
              <w:lang w:val="en-US" w:eastAsia="zh-CN"/>
            </w:rPr>
            <w:t>（一）部门概况</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_Toc4706 \h </w:instrText>
          </w:r>
          <w:r>
            <w:rPr>
              <w:rFonts w:hint="default" w:ascii="Times New Roman" w:hAnsi="Times New Roman" w:eastAsia="仿宋" w:cs="Times New Roman"/>
            </w:rPr>
            <w:fldChar w:fldCharType="separate"/>
          </w:r>
          <w:r>
            <w:rPr>
              <w:rFonts w:hint="default" w:ascii="Times New Roman" w:hAnsi="Times New Roman" w:eastAsia="仿宋" w:cs="Times New Roman"/>
            </w:rPr>
            <w:t>2</w:t>
          </w:r>
          <w:r>
            <w:rPr>
              <w:rFonts w:hint="default" w:ascii="Times New Roman" w:hAnsi="Times New Roman" w:eastAsia="仿宋" w:cs="Times New Roman"/>
            </w:rPr>
            <w:fldChar w:fldCharType="end"/>
          </w:r>
          <w:r>
            <w:rPr>
              <w:rFonts w:hint="default" w:ascii="Times New Roman" w:hAnsi="Times New Roman" w:eastAsia="仿宋" w:cs="Times New Roman"/>
              <w:szCs w:val="31"/>
            </w:rPr>
            <w:fldChar w:fldCharType="end"/>
          </w:r>
        </w:p>
        <w:p>
          <w:pPr>
            <w:pStyle w:val="16"/>
            <w:tabs>
              <w:tab w:val="right" w:leader="dot" w:pos="8392"/>
            </w:tabs>
            <w:rPr>
              <w:rFonts w:hint="default" w:ascii="Times New Roman" w:hAnsi="Times New Roman" w:eastAsia="仿宋" w:cs="Times New Roman"/>
            </w:rPr>
          </w:pPr>
          <w:r>
            <w:rPr>
              <w:rFonts w:hint="default" w:ascii="Times New Roman" w:hAnsi="Times New Roman" w:eastAsia="仿宋" w:cs="Times New Roman"/>
              <w:szCs w:val="31"/>
            </w:rPr>
            <w:fldChar w:fldCharType="begin"/>
          </w:r>
          <w:r>
            <w:rPr>
              <w:rFonts w:hint="default" w:ascii="Times New Roman" w:hAnsi="Times New Roman" w:eastAsia="仿宋" w:cs="Times New Roman"/>
              <w:szCs w:val="31"/>
            </w:rPr>
            <w:instrText xml:space="preserve"> HYPERLINK \l _Toc7477 </w:instrText>
          </w:r>
          <w:r>
            <w:rPr>
              <w:rFonts w:hint="default" w:ascii="Times New Roman" w:hAnsi="Times New Roman" w:eastAsia="仿宋" w:cs="Times New Roman"/>
              <w:szCs w:val="31"/>
            </w:rPr>
            <w:fldChar w:fldCharType="separate"/>
          </w:r>
          <w:r>
            <w:rPr>
              <w:rFonts w:hint="default" w:ascii="Times New Roman" w:hAnsi="Times New Roman" w:eastAsia="仿宋" w:cs="Times New Roman"/>
              <w:lang w:val="en-US" w:eastAsia="zh-CN"/>
            </w:rPr>
            <w:t>（二）主要职责</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_Toc7477 \h </w:instrText>
          </w:r>
          <w:r>
            <w:rPr>
              <w:rFonts w:hint="default" w:ascii="Times New Roman" w:hAnsi="Times New Roman" w:eastAsia="仿宋" w:cs="Times New Roman"/>
            </w:rPr>
            <w:fldChar w:fldCharType="separate"/>
          </w:r>
          <w:r>
            <w:rPr>
              <w:rFonts w:hint="default" w:ascii="Times New Roman" w:hAnsi="Times New Roman" w:eastAsia="仿宋" w:cs="Times New Roman"/>
            </w:rPr>
            <w:t>2</w:t>
          </w:r>
          <w:r>
            <w:rPr>
              <w:rFonts w:hint="default" w:ascii="Times New Roman" w:hAnsi="Times New Roman" w:eastAsia="仿宋" w:cs="Times New Roman"/>
            </w:rPr>
            <w:fldChar w:fldCharType="end"/>
          </w:r>
          <w:r>
            <w:rPr>
              <w:rFonts w:hint="default" w:ascii="Times New Roman" w:hAnsi="Times New Roman" w:eastAsia="仿宋" w:cs="Times New Roman"/>
              <w:szCs w:val="31"/>
            </w:rPr>
            <w:fldChar w:fldCharType="end"/>
          </w:r>
        </w:p>
        <w:p>
          <w:pPr>
            <w:pStyle w:val="16"/>
            <w:tabs>
              <w:tab w:val="right" w:leader="dot" w:pos="8392"/>
            </w:tabs>
            <w:rPr>
              <w:rFonts w:hint="default" w:ascii="Times New Roman" w:hAnsi="Times New Roman" w:eastAsia="仿宋" w:cs="Times New Roman"/>
            </w:rPr>
          </w:pPr>
          <w:r>
            <w:rPr>
              <w:rFonts w:hint="default" w:ascii="Times New Roman" w:hAnsi="Times New Roman" w:eastAsia="仿宋" w:cs="Times New Roman"/>
              <w:szCs w:val="31"/>
            </w:rPr>
            <w:fldChar w:fldCharType="begin"/>
          </w:r>
          <w:r>
            <w:rPr>
              <w:rFonts w:hint="default" w:ascii="Times New Roman" w:hAnsi="Times New Roman" w:eastAsia="仿宋" w:cs="Times New Roman"/>
              <w:szCs w:val="31"/>
            </w:rPr>
            <w:instrText xml:space="preserve"> HYPERLINK \l _Toc29554 </w:instrText>
          </w:r>
          <w:r>
            <w:rPr>
              <w:rFonts w:hint="default" w:ascii="Times New Roman" w:hAnsi="Times New Roman" w:eastAsia="仿宋" w:cs="Times New Roman"/>
              <w:szCs w:val="31"/>
            </w:rPr>
            <w:fldChar w:fldCharType="separate"/>
          </w:r>
          <w:r>
            <w:rPr>
              <w:rFonts w:hint="default" w:ascii="Times New Roman" w:hAnsi="Times New Roman" w:eastAsia="仿宋" w:cs="Times New Roman"/>
              <w:lang w:val="en-US" w:eastAsia="zh-CN"/>
            </w:rPr>
            <w:t>（三）人员情况</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_Toc29554 \h </w:instrText>
          </w:r>
          <w:r>
            <w:rPr>
              <w:rFonts w:hint="default" w:ascii="Times New Roman" w:hAnsi="Times New Roman" w:eastAsia="仿宋" w:cs="Times New Roman"/>
            </w:rPr>
            <w:fldChar w:fldCharType="separate"/>
          </w:r>
          <w:r>
            <w:rPr>
              <w:rFonts w:hint="default" w:ascii="Times New Roman" w:hAnsi="Times New Roman" w:eastAsia="仿宋" w:cs="Times New Roman"/>
            </w:rPr>
            <w:t>3</w:t>
          </w:r>
          <w:r>
            <w:rPr>
              <w:rFonts w:hint="default" w:ascii="Times New Roman" w:hAnsi="Times New Roman" w:eastAsia="仿宋" w:cs="Times New Roman"/>
            </w:rPr>
            <w:fldChar w:fldCharType="end"/>
          </w:r>
          <w:r>
            <w:rPr>
              <w:rFonts w:hint="default" w:ascii="Times New Roman" w:hAnsi="Times New Roman" w:eastAsia="仿宋" w:cs="Times New Roman"/>
              <w:szCs w:val="31"/>
            </w:rPr>
            <w:fldChar w:fldCharType="end"/>
          </w:r>
        </w:p>
        <w:p>
          <w:pPr>
            <w:pStyle w:val="14"/>
            <w:tabs>
              <w:tab w:val="right" w:leader="dot" w:pos="8392"/>
            </w:tabs>
            <w:rPr>
              <w:rFonts w:hint="default" w:ascii="Times New Roman" w:hAnsi="Times New Roman" w:eastAsia="仿宋" w:cs="Times New Roman"/>
            </w:rPr>
          </w:pPr>
          <w:r>
            <w:rPr>
              <w:rFonts w:hint="default" w:ascii="Times New Roman" w:hAnsi="Times New Roman" w:eastAsia="仿宋" w:cs="Times New Roman"/>
              <w:szCs w:val="31"/>
            </w:rPr>
            <w:fldChar w:fldCharType="begin"/>
          </w:r>
          <w:r>
            <w:rPr>
              <w:rFonts w:hint="default" w:ascii="Times New Roman" w:hAnsi="Times New Roman" w:eastAsia="仿宋" w:cs="Times New Roman"/>
              <w:szCs w:val="31"/>
            </w:rPr>
            <w:instrText xml:space="preserve"> HYPERLINK \l _Toc21067 </w:instrText>
          </w:r>
          <w:r>
            <w:rPr>
              <w:rFonts w:hint="default" w:ascii="Times New Roman" w:hAnsi="Times New Roman" w:eastAsia="仿宋" w:cs="Times New Roman"/>
              <w:szCs w:val="31"/>
            </w:rPr>
            <w:fldChar w:fldCharType="separate"/>
          </w:r>
          <w:r>
            <w:rPr>
              <w:rFonts w:hint="default" w:ascii="Times New Roman" w:hAnsi="Times New Roman" w:eastAsia="仿宋" w:cs="Times New Roman"/>
              <w:lang w:val="en-US" w:eastAsia="zh-CN"/>
            </w:rPr>
            <w:t>二、部门整体收支情况</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_Toc21067 \h </w:instrText>
          </w:r>
          <w:r>
            <w:rPr>
              <w:rFonts w:hint="default" w:ascii="Times New Roman" w:hAnsi="Times New Roman" w:eastAsia="仿宋" w:cs="Times New Roman"/>
            </w:rPr>
            <w:fldChar w:fldCharType="separate"/>
          </w:r>
          <w:r>
            <w:rPr>
              <w:rFonts w:hint="default" w:ascii="Times New Roman" w:hAnsi="Times New Roman" w:eastAsia="仿宋" w:cs="Times New Roman"/>
            </w:rPr>
            <w:t>3</w:t>
          </w:r>
          <w:r>
            <w:rPr>
              <w:rFonts w:hint="default" w:ascii="Times New Roman" w:hAnsi="Times New Roman" w:eastAsia="仿宋" w:cs="Times New Roman"/>
            </w:rPr>
            <w:fldChar w:fldCharType="end"/>
          </w:r>
          <w:r>
            <w:rPr>
              <w:rFonts w:hint="default" w:ascii="Times New Roman" w:hAnsi="Times New Roman" w:eastAsia="仿宋" w:cs="Times New Roman"/>
              <w:szCs w:val="31"/>
            </w:rPr>
            <w:fldChar w:fldCharType="end"/>
          </w:r>
        </w:p>
        <w:p>
          <w:pPr>
            <w:pStyle w:val="16"/>
            <w:tabs>
              <w:tab w:val="right" w:leader="dot" w:pos="8392"/>
            </w:tabs>
            <w:rPr>
              <w:rFonts w:hint="default" w:ascii="Times New Roman" w:hAnsi="Times New Roman" w:eastAsia="仿宋" w:cs="Times New Roman"/>
            </w:rPr>
          </w:pPr>
          <w:r>
            <w:rPr>
              <w:rFonts w:hint="default" w:ascii="Times New Roman" w:hAnsi="Times New Roman" w:eastAsia="仿宋" w:cs="Times New Roman"/>
              <w:szCs w:val="31"/>
            </w:rPr>
            <w:fldChar w:fldCharType="begin"/>
          </w:r>
          <w:r>
            <w:rPr>
              <w:rFonts w:hint="default" w:ascii="Times New Roman" w:hAnsi="Times New Roman" w:eastAsia="仿宋" w:cs="Times New Roman"/>
              <w:szCs w:val="31"/>
            </w:rPr>
            <w:instrText xml:space="preserve"> HYPERLINK \l _Toc4 </w:instrText>
          </w:r>
          <w:r>
            <w:rPr>
              <w:rFonts w:hint="default" w:ascii="Times New Roman" w:hAnsi="Times New Roman" w:eastAsia="仿宋" w:cs="Times New Roman"/>
              <w:szCs w:val="31"/>
            </w:rPr>
            <w:fldChar w:fldCharType="separate"/>
          </w:r>
          <w:r>
            <w:rPr>
              <w:rFonts w:hint="default" w:ascii="Times New Roman" w:hAnsi="Times New Roman" w:eastAsia="仿宋" w:cs="Times New Roman"/>
              <w:lang w:val="en-US" w:eastAsia="zh-CN"/>
            </w:rPr>
            <w:t>（一）资金收入情况</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_Toc4 \h </w:instrText>
          </w:r>
          <w:r>
            <w:rPr>
              <w:rFonts w:hint="default" w:ascii="Times New Roman" w:hAnsi="Times New Roman" w:eastAsia="仿宋" w:cs="Times New Roman"/>
            </w:rPr>
            <w:fldChar w:fldCharType="separate"/>
          </w:r>
          <w:r>
            <w:rPr>
              <w:rFonts w:hint="default" w:ascii="Times New Roman" w:hAnsi="Times New Roman" w:eastAsia="仿宋" w:cs="Times New Roman"/>
            </w:rPr>
            <w:t>3</w:t>
          </w:r>
          <w:r>
            <w:rPr>
              <w:rFonts w:hint="default" w:ascii="Times New Roman" w:hAnsi="Times New Roman" w:eastAsia="仿宋" w:cs="Times New Roman"/>
            </w:rPr>
            <w:fldChar w:fldCharType="end"/>
          </w:r>
          <w:r>
            <w:rPr>
              <w:rFonts w:hint="default" w:ascii="Times New Roman" w:hAnsi="Times New Roman" w:eastAsia="仿宋" w:cs="Times New Roman"/>
              <w:szCs w:val="31"/>
            </w:rPr>
            <w:fldChar w:fldCharType="end"/>
          </w:r>
        </w:p>
        <w:p>
          <w:pPr>
            <w:pStyle w:val="16"/>
            <w:tabs>
              <w:tab w:val="right" w:leader="dot" w:pos="8392"/>
            </w:tabs>
            <w:rPr>
              <w:rFonts w:hint="default" w:ascii="Times New Roman" w:hAnsi="Times New Roman" w:eastAsia="仿宋" w:cs="Times New Roman"/>
            </w:rPr>
          </w:pPr>
          <w:r>
            <w:rPr>
              <w:rFonts w:hint="default" w:ascii="Times New Roman" w:hAnsi="Times New Roman" w:eastAsia="仿宋" w:cs="Times New Roman"/>
              <w:szCs w:val="31"/>
            </w:rPr>
            <w:fldChar w:fldCharType="begin"/>
          </w:r>
          <w:r>
            <w:rPr>
              <w:rFonts w:hint="default" w:ascii="Times New Roman" w:hAnsi="Times New Roman" w:eastAsia="仿宋" w:cs="Times New Roman"/>
              <w:szCs w:val="31"/>
            </w:rPr>
            <w:instrText xml:space="preserve"> HYPERLINK \l _Toc2880 </w:instrText>
          </w:r>
          <w:r>
            <w:rPr>
              <w:rFonts w:hint="default" w:ascii="Times New Roman" w:hAnsi="Times New Roman" w:eastAsia="仿宋" w:cs="Times New Roman"/>
              <w:szCs w:val="31"/>
            </w:rPr>
            <w:fldChar w:fldCharType="separate"/>
          </w:r>
          <w:r>
            <w:rPr>
              <w:rFonts w:hint="default" w:ascii="Times New Roman" w:hAnsi="Times New Roman" w:eastAsia="仿宋" w:cs="Times New Roman"/>
              <w:lang w:val="en-US" w:eastAsia="zh-CN"/>
            </w:rPr>
            <w:t>（二）资金支出情况</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_Toc2880 \h </w:instrText>
          </w:r>
          <w:r>
            <w:rPr>
              <w:rFonts w:hint="default" w:ascii="Times New Roman" w:hAnsi="Times New Roman" w:eastAsia="仿宋" w:cs="Times New Roman"/>
            </w:rPr>
            <w:fldChar w:fldCharType="separate"/>
          </w:r>
          <w:r>
            <w:rPr>
              <w:rFonts w:hint="default" w:ascii="Times New Roman" w:hAnsi="Times New Roman" w:eastAsia="仿宋" w:cs="Times New Roman"/>
            </w:rPr>
            <w:t>4</w:t>
          </w:r>
          <w:r>
            <w:rPr>
              <w:rFonts w:hint="default" w:ascii="Times New Roman" w:hAnsi="Times New Roman" w:eastAsia="仿宋" w:cs="Times New Roman"/>
            </w:rPr>
            <w:fldChar w:fldCharType="end"/>
          </w:r>
          <w:r>
            <w:rPr>
              <w:rFonts w:hint="default" w:ascii="Times New Roman" w:hAnsi="Times New Roman" w:eastAsia="仿宋" w:cs="Times New Roman"/>
              <w:szCs w:val="31"/>
            </w:rPr>
            <w:fldChar w:fldCharType="end"/>
          </w:r>
        </w:p>
        <w:p>
          <w:pPr>
            <w:pStyle w:val="16"/>
            <w:tabs>
              <w:tab w:val="right" w:leader="dot" w:pos="8392"/>
            </w:tabs>
            <w:rPr>
              <w:rFonts w:hint="default" w:ascii="Times New Roman" w:hAnsi="Times New Roman" w:eastAsia="仿宋" w:cs="Times New Roman"/>
            </w:rPr>
          </w:pPr>
          <w:r>
            <w:rPr>
              <w:rFonts w:hint="default" w:ascii="Times New Roman" w:hAnsi="Times New Roman" w:eastAsia="仿宋" w:cs="Times New Roman"/>
              <w:szCs w:val="31"/>
            </w:rPr>
            <w:fldChar w:fldCharType="begin"/>
          </w:r>
          <w:r>
            <w:rPr>
              <w:rFonts w:hint="default" w:ascii="Times New Roman" w:hAnsi="Times New Roman" w:eastAsia="仿宋" w:cs="Times New Roman"/>
              <w:szCs w:val="31"/>
            </w:rPr>
            <w:instrText xml:space="preserve"> HYPERLINK \l _Toc4806 </w:instrText>
          </w:r>
          <w:r>
            <w:rPr>
              <w:rFonts w:hint="default" w:ascii="Times New Roman" w:hAnsi="Times New Roman" w:eastAsia="仿宋" w:cs="Times New Roman"/>
              <w:szCs w:val="31"/>
            </w:rPr>
            <w:fldChar w:fldCharType="separate"/>
          </w:r>
          <w:r>
            <w:rPr>
              <w:rFonts w:hint="default" w:ascii="Times New Roman" w:hAnsi="Times New Roman" w:eastAsia="仿宋" w:cs="Times New Roman"/>
              <w:bCs/>
              <w:szCs w:val="32"/>
              <w:lang w:val="en-US" w:eastAsia="zh-CN"/>
            </w:rPr>
            <w:t>（三）资金管理情况</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_Toc4806 \h </w:instrText>
          </w:r>
          <w:r>
            <w:rPr>
              <w:rFonts w:hint="default" w:ascii="Times New Roman" w:hAnsi="Times New Roman" w:eastAsia="仿宋" w:cs="Times New Roman"/>
            </w:rPr>
            <w:fldChar w:fldCharType="separate"/>
          </w:r>
          <w:r>
            <w:rPr>
              <w:rFonts w:hint="default" w:ascii="Times New Roman" w:hAnsi="Times New Roman" w:eastAsia="仿宋" w:cs="Times New Roman"/>
            </w:rPr>
            <w:t>5</w:t>
          </w:r>
          <w:r>
            <w:rPr>
              <w:rFonts w:hint="default" w:ascii="Times New Roman" w:hAnsi="Times New Roman" w:eastAsia="仿宋" w:cs="Times New Roman"/>
            </w:rPr>
            <w:fldChar w:fldCharType="end"/>
          </w:r>
          <w:r>
            <w:rPr>
              <w:rFonts w:hint="default" w:ascii="Times New Roman" w:hAnsi="Times New Roman" w:eastAsia="仿宋" w:cs="Times New Roman"/>
              <w:szCs w:val="31"/>
            </w:rPr>
            <w:fldChar w:fldCharType="end"/>
          </w:r>
        </w:p>
        <w:p>
          <w:pPr>
            <w:pStyle w:val="14"/>
            <w:tabs>
              <w:tab w:val="right" w:leader="dot" w:pos="8392"/>
            </w:tabs>
            <w:rPr>
              <w:rFonts w:hint="default" w:ascii="Times New Roman" w:hAnsi="Times New Roman" w:eastAsia="仿宋" w:cs="Times New Roman"/>
            </w:rPr>
          </w:pPr>
          <w:r>
            <w:rPr>
              <w:rFonts w:hint="default" w:ascii="Times New Roman" w:hAnsi="Times New Roman" w:eastAsia="仿宋" w:cs="Times New Roman"/>
              <w:szCs w:val="31"/>
            </w:rPr>
            <w:fldChar w:fldCharType="begin"/>
          </w:r>
          <w:r>
            <w:rPr>
              <w:rFonts w:hint="default" w:ascii="Times New Roman" w:hAnsi="Times New Roman" w:eastAsia="仿宋" w:cs="Times New Roman"/>
              <w:szCs w:val="31"/>
            </w:rPr>
            <w:instrText xml:space="preserve"> HYPERLINK \l _Toc3377 </w:instrText>
          </w:r>
          <w:r>
            <w:rPr>
              <w:rFonts w:hint="default" w:ascii="Times New Roman" w:hAnsi="Times New Roman" w:eastAsia="仿宋" w:cs="Times New Roman"/>
              <w:szCs w:val="31"/>
            </w:rPr>
            <w:fldChar w:fldCharType="separate"/>
          </w:r>
          <w:r>
            <w:rPr>
              <w:rFonts w:hint="default" w:ascii="Times New Roman" w:hAnsi="Times New Roman" w:eastAsia="仿宋" w:cs="Times New Roman"/>
              <w:lang w:val="en-US" w:eastAsia="zh-CN"/>
            </w:rPr>
            <w:t>三、制度建设情况</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_Toc3377 \h </w:instrText>
          </w:r>
          <w:r>
            <w:rPr>
              <w:rFonts w:hint="default" w:ascii="Times New Roman" w:hAnsi="Times New Roman" w:eastAsia="仿宋" w:cs="Times New Roman"/>
            </w:rPr>
            <w:fldChar w:fldCharType="separate"/>
          </w:r>
          <w:r>
            <w:rPr>
              <w:rFonts w:hint="default" w:ascii="Times New Roman" w:hAnsi="Times New Roman" w:eastAsia="仿宋" w:cs="Times New Roman"/>
            </w:rPr>
            <w:t>6</w:t>
          </w:r>
          <w:r>
            <w:rPr>
              <w:rFonts w:hint="default" w:ascii="Times New Roman" w:hAnsi="Times New Roman" w:eastAsia="仿宋" w:cs="Times New Roman"/>
            </w:rPr>
            <w:fldChar w:fldCharType="end"/>
          </w:r>
          <w:r>
            <w:rPr>
              <w:rFonts w:hint="default" w:ascii="Times New Roman" w:hAnsi="Times New Roman" w:eastAsia="仿宋" w:cs="Times New Roman"/>
              <w:szCs w:val="31"/>
            </w:rPr>
            <w:fldChar w:fldCharType="end"/>
          </w:r>
        </w:p>
        <w:p>
          <w:pPr>
            <w:pStyle w:val="16"/>
            <w:tabs>
              <w:tab w:val="right" w:leader="dot" w:pos="8392"/>
            </w:tabs>
            <w:rPr>
              <w:rFonts w:hint="default" w:ascii="Times New Roman" w:hAnsi="Times New Roman" w:eastAsia="仿宋" w:cs="Times New Roman"/>
            </w:rPr>
          </w:pPr>
          <w:r>
            <w:rPr>
              <w:rFonts w:hint="default" w:ascii="Times New Roman" w:hAnsi="Times New Roman" w:eastAsia="仿宋" w:cs="Times New Roman"/>
              <w:szCs w:val="31"/>
            </w:rPr>
            <w:fldChar w:fldCharType="begin"/>
          </w:r>
          <w:r>
            <w:rPr>
              <w:rFonts w:hint="default" w:ascii="Times New Roman" w:hAnsi="Times New Roman" w:eastAsia="仿宋" w:cs="Times New Roman"/>
              <w:szCs w:val="31"/>
            </w:rPr>
            <w:instrText xml:space="preserve"> HYPERLINK \l _Toc1255 </w:instrText>
          </w:r>
          <w:r>
            <w:rPr>
              <w:rFonts w:hint="default" w:ascii="Times New Roman" w:hAnsi="Times New Roman" w:eastAsia="仿宋" w:cs="Times New Roman"/>
              <w:szCs w:val="31"/>
            </w:rPr>
            <w:fldChar w:fldCharType="separate"/>
          </w:r>
          <w:r>
            <w:rPr>
              <w:rFonts w:hint="default" w:ascii="Times New Roman" w:hAnsi="Times New Roman" w:eastAsia="仿宋" w:cs="Times New Roman"/>
              <w:bCs/>
              <w:szCs w:val="32"/>
              <w:lang w:val="en-US" w:eastAsia="zh-CN"/>
            </w:rPr>
            <w:t>（一）内控制度建设情况</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_Toc1255 \h </w:instrText>
          </w:r>
          <w:r>
            <w:rPr>
              <w:rFonts w:hint="default" w:ascii="Times New Roman" w:hAnsi="Times New Roman" w:eastAsia="仿宋" w:cs="Times New Roman"/>
            </w:rPr>
            <w:fldChar w:fldCharType="separate"/>
          </w:r>
          <w:r>
            <w:rPr>
              <w:rFonts w:hint="default" w:ascii="Times New Roman" w:hAnsi="Times New Roman" w:eastAsia="仿宋" w:cs="Times New Roman"/>
            </w:rPr>
            <w:t>6</w:t>
          </w:r>
          <w:r>
            <w:rPr>
              <w:rFonts w:hint="default" w:ascii="Times New Roman" w:hAnsi="Times New Roman" w:eastAsia="仿宋" w:cs="Times New Roman"/>
            </w:rPr>
            <w:fldChar w:fldCharType="end"/>
          </w:r>
          <w:r>
            <w:rPr>
              <w:rFonts w:hint="default" w:ascii="Times New Roman" w:hAnsi="Times New Roman" w:eastAsia="仿宋" w:cs="Times New Roman"/>
              <w:szCs w:val="31"/>
            </w:rPr>
            <w:fldChar w:fldCharType="end"/>
          </w:r>
        </w:p>
        <w:p>
          <w:pPr>
            <w:pStyle w:val="16"/>
            <w:tabs>
              <w:tab w:val="right" w:leader="dot" w:pos="8392"/>
            </w:tabs>
            <w:rPr>
              <w:rFonts w:hint="default" w:ascii="Times New Roman" w:hAnsi="Times New Roman" w:eastAsia="仿宋" w:cs="Times New Roman"/>
            </w:rPr>
          </w:pPr>
          <w:r>
            <w:rPr>
              <w:rFonts w:hint="default" w:ascii="Times New Roman" w:hAnsi="Times New Roman" w:eastAsia="仿宋" w:cs="Times New Roman"/>
              <w:szCs w:val="31"/>
            </w:rPr>
            <w:fldChar w:fldCharType="begin"/>
          </w:r>
          <w:r>
            <w:rPr>
              <w:rFonts w:hint="default" w:ascii="Times New Roman" w:hAnsi="Times New Roman" w:eastAsia="仿宋" w:cs="Times New Roman"/>
              <w:szCs w:val="31"/>
            </w:rPr>
            <w:instrText xml:space="preserve"> HYPERLINK \l _Toc23312 </w:instrText>
          </w:r>
          <w:r>
            <w:rPr>
              <w:rFonts w:hint="default" w:ascii="Times New Roman" w:hAnsi="Times New Roman" w:eastAsia="仿宋" w:cs="Times New Roman"/>
              <w:szCs w:val="31"/>
            </w:rPr>
            <w:fldChar w:fldCharType="separate"/>
          </w:r>
          <w:r>
            <w:rPr>
              <w:rFonts w:hint="default" w:ascii="Times New Roman" w:hAnsi="Times New Roman" w:eastAsia="仿宋" w:cs="Times New Roman"/>
              <w:bCs/>
              <w:szCs w:val="32"/>
              <w:lang w:val="en-US" w:eastAsia="zh-CN"/>
            </w:rPr>
            <w:t>（二）资产管理</w:t>
          </w:r>
          <w:r>
            <w:rPr>
              <w:rFonts w:hint="default" w:ascii="Times New Roman" w:hAnsi="Times New Roman" w:eastAsia="仿宋" w:cs="Times New Roman"/>
              <w:lang w:val="en-US" w:eastAsia="zh-CN"/>
            </w:rPr>
            <w:t>制度</w:t>
          </w:r>
          <w:r>
            <w:rPr>
              <w:rFonts w:hint="default" w:ascii="Times New Roman" w:hAnsi="Times New Roman" w:eastAsia="仿宋" w:cs="Times New Roman"/>
              <w:bCs/>
              <w:szCs w:val="32"/>
              <w:lang w:val="en-US" w:eastAsia="zh-CN"/>
            </w:rPr>
            <w:t>建设及使用情况</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_Toc23312 \h </w:instrText>
          </w:r>
          <w:r>
            <w:rPr>
              <w:rFonts w:hint="default" w:ascii="Times New Roman" w:hAnsi="Times New Roman" w:eastAsia="仿宋" w:cs="Times New Roman"/>
            </w:rPr>
            <w:fldChar w:fldCharType="separate"/>
          </w:r>
          <w:r>
            <w:rPr>
              <w:rFonts w:hint="default" w:ascii="Times New Roman" w:hAnsi="Times New Roman" w:eastAsia="仿宋" w:cs="Times New Roman"/>
            </w:rPr>
            <w:t>6</w:t>
          </w:r>
          <w:r>
            <w:rPr>
              <w:rFonts w:hint="default" w:ascii="Times New Roman" w:hAnsi="Times New Roman" w:eastAsia="仿宋" w:cs="Times New Roman"/>
            </w:rPr>
            <w:fldChar w:fldCharType="end"/>
          </w:r>
          <w:r>
            <w:rPr>
              <w:rFonts w:hint="default" w:ascii="Times New Roman" w:hAnsi="Times New Roman" w:eastAsia="仿宋" w:cs="Times New Roman"/>
              <w:szCs w:val="31"/>
            </w:rPr>
            <w:fldChar w:fldCharType="end"/>
          </w:r>
        </w:p>
        <w:p>
          <w:pPr>
            <w:pStyle w:val="16"/>
            <w:tabs>
              <w:tab w:val="right" w:leader="dot" w:pos="8392"/>
            </w:tabs>
            <w:rPr>
              <w:rFonts w:hint="default" w:ascii="Times New Roman" w:hAnsi="Times New Roman" w:eastAsia="仿宋" w:cs="Times New Roman"/>
            </w:rPr>
          </w:pPr>
          <w:r>
            <w:rPr>
              <w:rFonts w:hint="default" w:ascii="Times New Roman" w:hAnsi="Times New Roman" w:eastAsia="仿宋" w:cs="Times New Roman"/>
              <w:szCs w:val="31"/>
            </w:rPr>
            <w:fldChar w:fldCharType="begin"/>
          </w:r>
          <w:r>
            <w:rPr>
              <w:rFonts w:hint="default" w:ascii="Times New Roman" w:hAnsi="Times New Roman" w:eastAsia="仿宋" w:cs="Times New Roman"/>
              <w:szCs w:val="31"/>
            </w:rPr>
            <w:instrText xml:space="preserve"> HYPERLINK \l _Toc2595 </w:instrText>
          </w:r>
          <w:r>
            <w:rPr>
              <w:rFonts w:hint="default" w:ascii="Times New Roman" w:hAnsi="Times New Roman" w:eastAsia="仿宋" w:cs="Times New Roman"/>
              <w:szCs w:val="31"/>
            </w:rPr>
            <w:fldChar w:fldCharType="separate"/>
          </w:r>
          <w:r>
            <w:rPr>
              <w:rFonts w:hint="default" w:ascii="Times New Roman" w:hAnsi="Times New Roman" w:eastAsia="仿宋" w:cs="Times New Roman"/>
              <w:bCs/>
              <w:szCs w:val="32"/>
              <w:lang w:val="en-US" w:eastAsia="zh-CN"/>
            </w:rPr>
            <w:t>（三）政府采购</w:t>
          </w:r>
          <w:r>
            <w:rPr>
              <w:rFonts w:hint="default" w:ascii="Times New Roman" w:hAnsi="Times New Roman" w:eastAsia="仿宋" w:cs="Times New Roman"/>
              <w:lang w:val="en-US" w:eastAsia="zh-CN"/>
            </w:rPr>
            <w:t>制度</w:t>
          </w:r>
          <w:r>
            <w:rPr>
              <w:rFonts w:hint="default" w:ascii="Times New Roman" w:hAnsi="Times New Roman" w:eastAsia="仿宋" w:cs="Times New Roman"/>
              <w:bCs/>
              <w:szCs w:val="32"/>
              <w:lang w:val="en-US" w:eastAsia="zh-CN"/>
            </w:rPr>
            <w:t>建设情况</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_Toc2595 \h </w:instrText>
          </w:r>
          <w:r>
            <w:rPr>
              <w:rFonts w:hint="default" w:ascii="Times New Roman" w:hAnsi="Times New Roman" w:eastAsia="仿宋" w:cs="Times New Roman"/>
            </w:rPr>
            <w:fldChar w:fldCharType="separate"/>
          </w:r>
          <w:r>
            <w:rPr>
              <w:rFonts w:hint="default" w:ascii="Times New Roman" w:hAnsi="Times New Roman" w:eastAsia="仿宋" w:cs="Times New Roman"/>
            </w:rPr>
            <w:t>6</w:t>
          </w:r>
          <w:r>
            <w:rPr>
              <w:rFonts w:hint="default" w:ascii="Times New Roman" w:hAnsi="Times New Roman" w:eastAsia="仿宋" w:cs="Times New Roman"/>
            </w:rPr>
            <w:fldChar w:fldCharType="end"/>
          </w:r>
          <w:r>
            <w:rPr>
              <w:rFonts w:hint="default" w:ascii="Times New Roman" w:hAnsi="Times New Roman" w:eastAsia="仿宋" w:cs="Times New Roman"/>
              <w:szCs w:val="31"/>
            </w:rPr>
            <w:fldChar w:fldCharType="end"/>
          </w:r>
        </w:p>
        <w:p>
          <w:pPr>
            <w:pStyle w:val="14"/>
            <w:tabs>
              <w:tab w:val="right" w:leader="dot" w:pos="8392"/>
            </w:tabs>
            <w:rPr>
              <w:rFonts w:hint="default" w:ascii="Times New Roman" w:hAnsi="Times New Roman" w:eastAsia="仿宋" w:cs="Times New Roman"/>
            </w:rPr>
          </w:pPr>
          <w:r>
            <w:rPr>
              <w:rFonts w:hint="default" w:ascii="Times New Roman" w:hAnsi="Times New Roman" w:eastAsia="仿宋" w:cs="Times New Roman"/>
              <w:szCs w:val="31"/>
            </w:rPr>
            <w:fldChar w:fldCharType="begin"/>
          </w:r>
          <w:r>
            <w:rPr>
              <w:rFonts w:hint="default" w:ascii="Times New Roman" w:hAnsi="Times New Roman" w:eastAsia="仿宋" w:cs="Times New Roman"/>
              <w:szCs w:val="31"/>
            </w:rPr>
            <w:instrText xml:space="preserve"> HYPERLINK \l _Toc27635 </w:instrText>
          </w:r>
          <w:r>
            <w:rPr>
              <w:rFonts w:hint="default" w:ascii="Times New Roman" w:hAnsi="Times New Roman" w:eastAsia="仿宋" w:cs="Times New Roman"/>
              <w:szCs w:val="31"/>
            </w:rPr>
            <w:fldChar w:fldCharType="separate"/>
          </w:r>
          <w:r>
            <w:rPr>
              <w:rFonts w:hint="default" w:ascii="Times New Roman" w:hAnsi="Times New Roman" w:eastAsia="仿宋" w:cs="Times New Roman"/>
              <w:lang w:val="en-US" w:eastAsia="zh-CN"/>
            </w:rPr>
            <w:t>四、第三方重点绩效评价工作情况</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_Toc27635 \h </w:instrText>
          </w:r>
          <w:r>
            <w:rPr>
              <w:rFonts w:hint="default" w:ascii="Times New Roman" w:hAnsi="Times New Roman" w:eastAsia="仿宋" w:cs="Times New Roman"/>
            </w:rPr>
            <w:fldChar w:fldCharType="separate"/>
          </w:r>
          <w:r>
            <w:rPr>
              <w:rFonts w:hint="default" w:ascii="Times New Roman" w:hAnsi="Times New Roman" w:eastAsia="仿宋" w:cs="Times New Roman"/>
            </w:rPr>
            <w:t>7</w:t>
          </w:r>
          <w:r>
            <w:rPr>
              <w:rFonts w:hint="default" w:ascii="Times New Roman" w:hAnsi="Times New Roman" w:eastAsia="仿宋" w:cs="Times New Roman"/>
            </w:rPr>
            <w:fldChar w:fldCharType="end"/>
          </w:r>
          <w:r>
            <w:rPr>
              <w:rFonts w:hint="default" w:ascii="Times New Roman" w:hAnsi="Times New Roman" w:eastAsia="仿宋" w:cs="Times New Roman"/>
              <w:szCs w:val="31"/>
            </w:rPr>
            <w:fldChar w:fldCharType="end"/>
          </w:r>
        </w:p>
        <w:p>
          <w:pPr>
            <w:pStyle w:val="16"/>
            <w:tabs>
              <w:tab w:val="right" w:leader="dot" w:pos="8392"/>
            </w:tabs>
            <w:rPr>
              <w:rFonts w:hint="default" w:ascii="Times New Roman" w:hAnsi="Times New Roman" w:eastAsia="仿宋" w:cs="Times New Roman"/>
            </w:rPr>
          </w:pPr>
          <w:r>
            <w:rPr>
              <w:rFonts w:hint="default" w:ascii="Times New Roman" w:hAnsi="Times New Roman" w:eastAsia="仿宋" w:cs="Times New Roman"/>
              <w:szCs w:val="31"/>
            </w:rPr>
            <w:fldChar w:fldCharType="begin"/>
          </w:r>
          <w:r>
            <w:rPr>
              <w:rFonts w:hint="default" w:ascii="Times New Roman" w:hAnsi="Times New Roman" w:eastAsia="仿宋" w:cs="Times New Roman"/>
              <w:szCs w:val="31"/>
            </w:rPr>
            <w:instrText xml:space="preserve"> HYPERLINK \l _Toc11865 </w:instrText>
          </w:r>
          <w:r>
            <w:rPr>
              <w:rFonts w:hint="default" w:ascii="Times New Roman" w:hAnsi="Times New Roman" w:eastAsia="仿宋" w:cs="Times New Roman"/>
              <w:szCs w:val="31"/>
            </w:rPr>
            <w:fldChar w:fldCharType="separate"/>
          </w:r>
          <w:r>
            <w:rPr>
              <w:rFonts w:hint="default" w:ascii="Times New Roman" w:hAnsi="Times New Roman" w:eastAsia="仿宋" w:cs="Times New Roman"/>
              <w:bCs/>
              <w:szCs w:val="32"/>
              <w:lang w:val="en-US" w:eastAsia="zh-CN"/>
            </w:rPr>
            <w:t>（一）重点绩效评价目的</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_Toc11865 \h </w:instrText>
          </w:r>
          <w:r>
            <w:rPr>
              <w:rFonts w:hint="default" w:ascii="Times New Roman" w:hAnsi="Times New Roman" w:eastAsia="仿宋" w:cs="Times New Roman"/>
            </w:rPr>
            <w:fldChar w:fldCharType="separate"/>
          </w:r>
          <w:r>
            <w:rPr>
              <w:rFonts w:hint="default" w:ascii="Times New Roman" w:hAnsi="Times New Roman" w:eastAsia="仿宋" w:cs="Times New Roman"/>
            </w:rPr>
            <w:t>7</w:t>
          </w:r>
          <w:r>
            <w:rPr>
              <w:rFonts w:hint="default" w:ascii="Times New Roman" w:hAnsi="Times New Roman" w:eastAsia="仿宋" w:cs="Times New Roman"/>
            </w:rPr>
            <w:fldChar w:fldCharType="end"/>
          </w:r>
          <w:r>
            <w:rPr>
              <w:rFonts w:hint="default" w:ascii="Times New Roman" w:hAnsi="Times New Roman" w:eastAsia="仿宋" w:cs="Times New Roman"/>
              <w:szCs w:val="31"/>
            </w:rPr>
            <w:fldChar w:fldCharType="end"/>
          </w:r>
        </w:p>
        <w:p>
          <w:pPr>
            <w:pStyle w:val="16"/>
            <w:tabs>
              <w:tab w:val="right" w:leader="dot" w:pos="8392"/>
            </w:tabs>
            <w:rPr>
              <w:rFonts w:hint="default" w:ascii="Times New Roman" w:hAnsi="Times New Roman" w:eastAsia="仿宋" w:cs="Times New Roman"/>
            </w:rPr>
          </w:pPr>
          <w:r>
            <w:rPr>
              <w:rFonts w:hint="default" w:ascii="Times New Roman" w:hAnsi="Times New Roman" w:eastAsia="仿宋" w:cs="Times New Roman"/>
              <w:szCs w:val="31"/>
            </w:rPr>
            <w:fldChar w:fldCharType="begin"/>
          </w:r>
          <w:r>
            <w:rPr>
              <w:rFonts w:hint="default" w:ascii="Times New Roman" w:hAnsi="Times New Roman" w:eastAsia="仿宋" w:cs="Times New Roman"/>
              <w:szCs w:val="31"/>
            </w:rPr>
            <w:instrText xml:space="preserve"> HYPERLINK \l _Toc20691 </w:instrText>
          </w:r>
          <w:r>
            <w:rPr>
              <w:rFonts w:hint="default" w:ascii="Times New Roman" w:hAnsi="Times New Roman" w:eastAsia="仿宋" w:cs="Times New Roman"/>
              <w:szCs w:val="31"/>
            </w:rPr>
            <w:fldChar w:fldCharType="separate"/>
          </w:r>
          <w:r>
            <w:rPr>
              <w:rFonts w:hint="default" w:ascii="Times New Roman" w:hAnsi="Times New Roman" w:eastAsia="仿宋" w:cs="Times New Roman"/>
              <w:bCs/>
              <w:szCs w:val="32"/>
              <w:lang w:val="en-US" w:eastAsia="zh-CN"/>
            </w:rPr>
            <w:t>（二）重点绩效评价工作过程</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_Toc20691 \h </w:instrText>
          </w:r>
          <w:r>
            <w:rPr>
              <w:rFonts w:hint="default" w:ascii="Times New Roman" w:hAnsi="Times New Roman" w:eastAsia="仿宋" w:cs="Times New Roman"/>
            </w:rPr>
            <w:fldChar w:fldCharType="separate"/>
          </w:r>
          <w:r>
            <w:rPr>
              <w:rFonts w:hint="default" w:ascii="Times New Roman" w:hAnsi="Times New Roman" w:eastAsia="仿宋" w:cs="Times New Roman"/>
            </w:rPr>
            <w:t>7</w:t>
          </w:r>
          <w:r>
            <w:rPr>
              <w:rFonts w:hint="default" w:ascii="Times New Roman" w:hAnsi="Times New Roman" w:eastAsia="仿宋" w:cs="Times New Roman"/>
            </w:rPr>
            <w:fldChar w:fldCharType="end"/>
          </w:r>
          <w:r>
            <w:rPr>
              <w:rFonts w:hint="default" w:ascii="Times New Roman" w:hAnsi="Times New Roman" w:eastAsia="仿宋" w:cs="Times New Roman"/>
              <w:szCs w:val="31"/>
            </w:rPr>
            <w:fldChar w:fldCharType="end"/>
          </w:r>
        </w:p>
        <w:p>
          <w:pPr>
            <w:pStyle w:val="14"/>
            <w:tabs>
              <w:tab w:val="right" w:leader="dot" w:pos="8392"/>
            </w:tabs>
            <w:rPr>
              <w:rFonts w:hint="default" w:ascii="Times New Roman" w:hAnsi="Times New Roman" w:eastAsia="仿宋" w:cs="Times New Roman"/>
            </w:rPr>
          </w:pPr>
          <w:r>
            <w:rPr>
              <w:rFonts w:hint="default" w:ascii="Times New Roman" w:hAnsi="Times New Roman" w:eastAsia="仿宋" w:cs="Times New Roman"/>
              <w:szCs w:val="31"/>
            </w:rPr>
            <w:fldChar w:fldCharType="begin"/>
          </w:r>
          <w:r>
            <w:rPr>
              <w:rFonts w:hint="default" w:ascii="Times New Roman" w:hAnsi="Times New Roman" w:eastAsia="仿宋" w:cs="Times New Roman"/>
              <w:szCs w:val="31"/>
            </w:rPr>
            <w:instrText xml:space="preserve"> HYPERLINK \l _Toc2258 </w:instrText>
          </w:r>
          <w:r>
            <w:rPr>
              <w:rFonts w:hint="default" w:ascii="Times New Roman" w:hAnsi="Times New Roman" w:eastAsia="仿宋" w:cs="Times New Roman"/>
              <w:szCs w:val="31"/>
            </w:rPr>
            <w:fldChar w:fldCharType="separate"/>
          </w:r>
          <w:r>
            <w:rPr>
              <w:rFonts w:hint="default" w:ascii="Times New Roman" w:hAnsi="Times New Roman" w:eastAsia="仿宋" w:cs="Times New Roman"/>
              <w:lang w:val="en-US" w:eastAsia="zh-CN"/>
            </w:rPr>
            <w:t>五、部门整体支出绩效情况</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_Toc2258 \h </w:instrText>
          </w:r>
          <w:r>
            <w:rPr>
              <w:rFonts w:hint="default" w:ascii="Times New Roman" w:hAnsi="Times New Roman" w:eastAsia="仿宋" w:cs="Times New Roman"/>
            </w:rPr>
            <w:fldChar w:fldCharType="separate"/>
          </w:r>
          <w:r>
            <w:rPr>
              <w:rFonts w:hint="default" w:ascii="Times New Roman" w:hAnsi="Times New Roman" w:eastAsia="仿宋" w:cs="Times New Roman"/>
            </w:rPr>
            <w:t>8</w:t>
          </w:r>
          <w:r>
            <w:rPr>
              <w:rFonts w:hint="default" w:ascii="Times New Roman" w:hAnsi="Times New Roman" w:eastAsia="仿宋" w:cs="Times New Roman"/>
            </w:rPr>
            <w:fldChar w:fldCharType="end"/>
          </w:r>
          <w:r>
            <w:rPr>
              <w:rFonts w:hint="default" w:ascii="Times New Roman" w:hAnsi="Times New Roman" w:eastAsia="仿宋" w:cs="Times New Roman"/>
              <w:szCs w:val="31"/>
            </w:rPr>
            <w:fldChar w:fldCharType="end"/>
          </w:r>
        </w:p>
        <w:p>
          <w:pPr>
            <w:pStyle w:val="16"/>
            <w:tabs>
              <w:tab w:val="right" w:leader="dot" w:pos="8392"/>
            </w:tabs>
            <w:rPr>
              <w:rFonts w:hint="default" w:ascii="Times New Roman" w:hAnsi="Times New Roman" w:eastAsia="仿宋" w:cs="Times New Roman"/>
            </w:rPr>
          </w:pPr>
          <w:r>
            <w:rPr>
              <w:rFonts w:hint="default" w:ascii="Times New Roman" w:hAnsi="Times New Roman" w:eastAsia="仿宋" w:cs="Times New Roman"/>
              <w:szCs w:val="31"/>
            </w:rPr>
            <w:fldChar w:fldCharType="begin"/>
          </w:r>
          <w:r>
            <w:rPr>
              <w:rFonts w:hint="default" w:ascii="Times New Roman" w:hAnsi="Times New Roman" w:eastAsia="仿宋" w:cs="Times New Roman"/>
              <w:szCs w:val="31"/>
            </w:rPr>
            <w:instrText xml:space="preserve"> HYPERLINK \l _Toc11587 </w:instrText>
          </w:r>
          <w:r>
            <w:rPr>
              <w:rFonts w:hint="default" w:ascii="Times New Roman" w:hAnsi="Times New Roman" w:eastAsia="仿宋" w:cs="Times New Roman"/>
              <w:szCs w:val="31"/>
            </w:rPr>
            <w:fldChar w:fldCharType="separate"/>
          </w:r>
          <w:r>
            <w:rPr>
              <w:rFonts w:hint="default" w:ascii="Times New Roman" w:hAnsi="Times New Roman" w:eastAsia="仿宋" w:cs="Times New Roman"/>
              <w:bCs/>
              <w:szCs w:val="32"/>
              <w:lang w:val="en-US" w:eastAsia="zh-CN"/>
            </w:rPr>
            <w:t>（一）部门整体</w:t>
          </w:r>
          <w:r>
            <w:rPr>
              <w:rFonts w:hint="default" w:ascii="Times New Roman" w:hAnsi="Times New Roman" w:eastAsia="仿宋" w:cs="Times New Roman"/>
              <w:lang w:val="en-US" w:eastAsia="zh-CN"/>
            </w:rPr>
            <w:t>实际</w:t>
          </w:r>
          <w:r>
            <w:rPr>
              <w:rFonts w:hint="default" w:ascii="Times New Roman" w:hAnsi="Times New Roman" w:eastAsia="仿宋" w:cs="Times New Roman"/>
              <w:bCs/>
              <w:szCs w:val="32"/>
              <w:lang w:val="en-US" w:eastAsia="zh-CN"/>
            </w:rPr>
            <w:t>产出情况</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_Toc11587 \h </w:instrText>
          </w:r>
          <w:r>
            <w:rPr>
              <w:rFonts w:hint="default" w:ascii="Times New Roman" w:hAnsi="Times New Roman" w:eastAsia="仿宋" w:cs="Times New Roman"/>
            </w:rPr>
            <w:fldChar w:fldCharType="separate"/>
          </w:r>
          <w:r>
            <w:rPr>
              <w:rFonts w:hint="default" w:ascii="Times New Roman" w:hAnsi="Times New Roman" w:eastAsia="仿宋" w:cs="Times New Roman"/>
            </w:rPr>
            <w:t>8</w:t>
          </w:r>
          <w:r>
            <w:rPr>
              <w:rFonts w:hint="default" w:ascii="Times New Roman" w:hAnsi="Times New Roman" w:eastAsia="仿宋" w:cs="Times New Roman"/>
            </w:rPr>
            <w:fldChar w:fldCharType="end"/>
          </w:r>
          <w:r>
            <w:rPr>
              <w:rFonts w:hint="default" w:ascii="Times New Roman" w:hAnsi="Times New Roman" w:eastAsia="仿宋" w:cs="Times New Roman"/>
              <w:szCs w:val="31"/>
            </w:rPr>
            <w:fldChar w:fldCharType="end"/>
          </w:r>
        </w:p>
        <w:p>
          <w:pPr>
            <w:pStyle w:val="16"/>
            <w:tabs>
              <w:tab w:val="right" w:leader="dot" w:pos="8392"/>
            </w:tabs>
            <w:rPr>
              <w:rFonts w:hint="default" w:ascii="Times New Roman" w:hAnsi="Times New Roman" w:eastAsia="仿宋" w:cs="Times New Roman"/>
            </w:rPr>
          </w:pPr>
          <w:r>
            <w:rPr>
              <w:rFonts w:hint="default" w:ascii="Times New Roman" w:hAnsi="Times New Roman" w:eastAsia="仿宋" w:cs="Times New Roman"/>
              <w:szCs w:val="31"/>
            </w:rPr>
            <w:fldChar w:fldCharType="begin"/>
          </w:r>
          <w:r>
            <w:rPr>
              <w:rFonts w:hint="default" w:ascii="Times New Roman" w:hAnsi="Times New Roman" w:eastAsia="仿宋" w:cs="Times New Roman"/>
              <w:szCs w:val="31"/>
            </w:rPr>
            <w:instrText xml:space="preserve"> HYPERLINK \l _Toc17132 </w:instrText>
          </w:r>
          <w:r>
            <w:rPr>
              <w:rFonts w:hint="default" w:ascii="Times New Roman" w:hAnsi="Times New Roman" w:eastAsia="仿宋" w:cs="Times New Roman"/>
              <w:szCs w:val="31"/>
            </w:rPr>
            <w:fldChar w:fldCharType="separate"/>
          </w:r>
          <w:r>
            <w:rPr>
              <w:rFonts w:hint="default" w:ascii="Times New Roman" w:hAnsi="Times New Roman" w:eastAsia="仿宋" w:cs="Times New Roman"/>
              <w:bCs/>
              <w:szCs w:val="32"/>
              <w:lang w:val="en-US" w:eastAsia="zh-CN"/>
            </w:rPr>
            <w:t>（二）部门整体效益情况</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_Toc17132 \h </w:instrText>
          </w:r>
          <w:r>
            <w:rPr>
              <w:rFonts w:hint="default" w:ascii="Times New Roman" w:hAnsi="Times New Roman" w:eastAsia="仿宋" w:cs="Times New Roman"/>
            </w:rPr>
            <w:fldChar w:fldCharType="separate"/>
          </w:r>
          <w:r>
            <w:rPr>
              <w:rFonts w:hint="default" w:ascii="Times New Roman" w:hAnsi="Times New Roman" w:eastAsia="仿宋" w:cs="Times New Roman"/>
            </w:rPr>
            <w:t>9</w:t>
          </w:r>
          <w:r>
            <w:rPr>
              <w:rFonts w:hint="default" w:ascii="Times New Roman" w:hAnsi="Times New Roman" w:eastAsia="仿宋" w:cs="Times New Roman"/>
            </w:rPr>
            <w:fldChar w:fldCharType="end"/>
          </w:r>
          <w:r>
            <w:rPr>
              <w:rFonts w:hint="default" w:ascii="Times New Roman" w:hAnsi="Times New Roman" w:eastAsia="仿宋" w:cs="Times New Roman"/>
              <w:szCs w:val="31"/>
            </w:rPr>
            <w:fldChar w:fldCharType="end"/>
          </w:r>
        </w:p>
        <w:p>
          <w:pPr>
            <w:pStyle w:val="16"/>
            <w:tabs>
              <w:tab w:val="right" w:leader="dot" w:pos="8392"/>
            </w:tabs>
            <w:rPr>
              <w:rFonts w:hint="default" w:ascii="Times New Roman" w:hAnsi="Times New Roman" w:eastAsia="仿宋" w:cs="Times New Roman"/>
            </w:rPr>
          </w:pPr>
          <w:r>
            <w:rPr>
              <w:rFonts w:hint="default" w:ascii="Times New Roman" w:hAnsi="Times New Roman" w:eastAsia="仿宋" w:cs="Times New Roman"/>
              <w:szCs w:val="31"/>
            </w:rPr>
            <w:fldChar w:fldCharType="begin"/>
          </w:r>
          <w:r>
            <w:rPr>
              <w:rFonts w:hint="default" w:ascii="Times New Roman" w:hAnsi="Times New Roman" w:eastAsia="仿宋" w:cs="Times New Roman"/>
              <w:szCs w:val="31"/>
            </w:rPr>
            <w:instrText xml:space="preserve"> HYPERLINK \l _Toc3533 </w:instrText>
          </w:r>
          <w:r>
            <w:rPr>
              <w:rFonts w:hint="default" w:ascii="Times New Roman" w:hAnsi="Times New Roman" w:eastAsia="仿宋" w:cs="Times New Roman"/>
              <w:szCs w:val="31"/>
            </w:rPr>
            <w:fldChar w:fldCharType="separate"/>
          </w:r>
          <w:r>
            <w:rPr>
              <w:rFonts w:hint="default" w:ascii="Times New Roman" w:hAnsi="Times New Roman" w:eastAsia="仿宋" w:cs="Times New Roman"/>
              <w:bCs/>
              <w:szCs w:val="32"/>
              <w:lang w:val="en-US" w:eastAsia="zh-CN"/>
            </w:rPr>
            <w:t>（三）部门整体满意度</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_Toc3533 \h </w:instrText>
          </w:r>
          <w:r>
            <w:rPr>
              <w:rFonts w:hint="default" w:ascii="Times New Roman" w:hAnsi="Times New Roman" w:eastAsia="仿宋" w:cs="Times New Roman"/>
            </w:rPr>
            <w:fldChar w:fldCharType="separate"/>
          </w:r>
          <w:r>
            <w:rPr>
              <w:rFonts w:hint="default" w:ascii="Times New Roman" w:hAnsi="Times New Roman" w:eastAsia="仿宋" w:cs="Times New Roman"/>
            </w:rPr>
            <w:t>10</w:t>
          </w:r>
          <w:r>
            <w:rPr>
              <w:rFonts w:hint="default" w:ascii="Times New Roman" w:hAnsi="Times New Roman" w:eastAsia="仿宋" w:cs="Times New Roman"/>
            </w:rPr>
            <w:fldChar w:fldCharType="end"/>
          </w:r>
          <w:r>
            <w:rPr>
              <w:rFonts w:hint="default" w:ascii="Times New Roman" w:hAnsi="Times New Roman" w:eastAsia="仿宋" w:cs="Times New Roman"/>
              <w:szCs w:val="31"/>
            </w:rPr>
            <w:fldChar w:fldCharType="end"/>
          </w:r>
        </w:p>
        <w:p>
          <w:pPr>
            <w:pStyle w:val="14"/>
            <w:tabs>
              <w:tab w:val="right" w:leader="dot" w:pos="8392"/>
            </w:tabs>
            <w:rPr>
              <w:rFonts w:hint="default" w:ascii="Times New Roman" w:hAnsi="Times New Roman" w:eastAsia="仿宋" w:cs="Times New Roman"/>
            </w:rPr>
          </w:pPr>
          <w:r>
            <w:rPr>
              <w:rFonts w:hint="default" w:ascii="Times New Roman" w:hAnsi="Times New Roman" w:eastAsia="仿宋" w:cs="Times New Roman"/>
              <w:szCs w:val="31"/>
            </w:rPr>
            <w:fldChar w:fldCharType="begin"/>
          </w:r>
          <w:r>
            <w:rPr>
              <w:rFonts w:hint="default" w:ascii="Times New Roman" w:hAnsi="Times New Roman" w:eastAsia="仿宋" w:cs="Times New Roman"/>
              <w:szCs w:val="31"/>
            </w:rPr>
            <w:instrText xml:space="preserve"> HYPERLINK \l _Toc9950 </w:instrText>
          </w:r>
          <w:r>
            <w:rPr>
              <w:rFonts w:hint="default" w:ascii="Times New Roman" w:hAnsi="Times New Roman" w:eastAsia="仿宋" w:cs="Times New Roman"/>
              <w:szCs w:val="31"/>
            </w:rPr>
            <w:fldChar w:fldCharType="separate"/>
          </w:r>
          <w:r>
            <w:rPr>
              <w:rFonts w:hint="default" w:ascii="Times New Roman" w:hAnsi="Times New Roman" w:eastAsia="仿宋" w:cs="Times New Roman"/>
              <w:lang w:val="en-US" w:eastAsia="zh-CN"/>
            </w:rPr>
            <w:t>六、综合评价情况及评价结论</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_Toc9950 \h </w:instrText>
          </w:r>
          <w:r>
            <w:rPr>
              <w:rFonts w:hint="default" w:ascii="Times New Roman" w:hAnsi="Times New Roman" w:eastAsia="仿宋" w:cs="Times New Roman"/>
            </w:rPr>
            <w:fldChar w:fldCharType="separate"/>
          </w:r>
          <w:r>
            <w:rPr>
              <w:rFonts w:hint="default" w:ascii="Times New Roman" w:hAnsi="Times New Roman" w:eastAsia="仿宋" w:cs="Times New Roman"/>
            </w:rPr>
            <w:t>10</w:t>
          </w:r>
          <w:r>
            <w:rPr>
              <w:rFonts w:hint="default" w:ascii="Times New Roman" w:hAnsi="Times New Roman" w:eastAsia="仿宋" w:cs="Times New Roman"/>
            </w:rPr>
            <w:fldChar w:fldCharType="end"/>
          </w:r>
          <w:r>
            <w:rPr>
              <w:rFonts w:hint="default" w:ascii="Times New Roman" w:hAnsi="Times New Roman" w:eastAsia="仿宋" w:cs="Times New Roman"/>
              <w:szCs w:val="31"/>
            </w:rPr>
            <w:fldChar w:fldCharType="end"/>
          </w:r>
        </w:p>
        <w:p>
          <w:pPr>
            <w:pStyle w:val="14"/>
            <w:tabs>
              <w:tab w:val="right" w:leader="dot" w:pos="8392"/>
            </w:tabs>
            <w:rPr>
              <w:rFonts w:hint="default" w:ascii="Times New Roman" w:hAnsi="Times New Roman" w:eastAsia="仿宋" w:cs="Times New Roman"/>
            </w:rPr>
          </w:pPr>
          <w:r>
            <w:rPr>
              <w:rFonts w:hint="default" w:ascii="Times New Roman" w:hAnsi="Times New Roman" w:eastAsia="仿宋" w:cs="Times New Roman"/>
              <w:szCs w:val="31"/>
            </w:rPr>
            <w:fldChar w:fldCharType="begin"/>
          </w:r>
          <w:r>
            <w:rPr>
              <w:rFonts w:hint="default" w:ascii="Times New Roman" w:hAnsi="Times New Roman" w:eastAsia="仿宋" w:cs="Times New Roman"/>
              <w:szCs w:val="31"/>
            </w:rPr>
            <w:instrText xml:space="preserve"> HYPERLINK \l _Toc8078 </w:instrText>
          </w:r>
          <w:r>
            <w:rPr>
              <w:rFonts w:hint="default" w:ascii="Times New Roman" w:hAnsi="Times New Roman" w:eastAsia="仿宋" w:cs="Times New Roman"/>
              <w:szCs w:val="31"/>
            </w:rPr>
            <w:fldChar w:fldCharType="separate"/>
          </w:r>
          <w:r>
            <w:rPr>
              <w:rFonts w:hint="default" w:ascii="Times New Roman" w:hAnsi="Times New Roman" w:eastAsia="仿宋" w:cs="Times New Roman"/>
              <w:lang w:val="en-US" w:eastAsia="zh-CN"/>
            </w:rPr>
            <w:t>七、存在的主要问题</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_Toc8078 \h </w:instrText>
          </w:r>
          <w:r>
            <w:rPr>
              <w:rFonts w:hint="default" w:ascii="Times New Roman" w:hAnsi="Times New Roman" w:eastAsia="仿宋" w:cs="Times New Roman"/>
            </w:rPr>
            <w:fldChar w:fldCharType="separate"/>
          </w:r>
          <w:r>
            <w:rPr>
              <w:rFonts w:hint="default" w:ascii="Times New Roman" w:hAnsi="Times New Roman" w:eastAsia="仿宋" w:cs="Times New Roman"/>
            </w:rPr>
            <w:t>11</w:t>
          </w:r>
          <w:r>
            <w:rPr>
              <w:rFonts w:hint="default" w:ascii="Times New Roman" w:hAnsi="Times New Roman" w:eastAsia="仿宋" w:cs="Times New Roman"/>
            </w:rPr>
            <w:fldChar w:fldCharType="end"/>
          </w:r>
          <w:r>
            <w:rPr>
              <w:rFonts w:hint="default" w:ascii="Times New Roman" w:hAnsi="Times New Roman" w:eastAsia="仿宋" w:cs="Times New Roman"/>
              <w:szCs w:val="31"/>
            </w:rPr>
            <w:fldChar w:fldCharType="end"/>
          </w:r>
        </w:p>
        <w:p>
          <w:pPr>
            <w:pStyle w:val="16"/>
            <w:tabs>
              <w:tab w:val="right" w:leader="dot" w:pos="8392"/>
            </w:tabs>
            <w:rPr>
              <w:rFonts w:hint="default" w:ascii="Times New Roman" w:hAnsi="Times New Roman" w:eastAsia="仿宋" w:cs="Times New Roman"/>
            </w:rPr>
          </w:pPr>
          <w:r>
            <w:rPr>
              <w:rFonts w:hint="default" w:ascii="Times New Roman" w:hAnsi="Times New Roman" w:eastAsia="仿宋" w:cs="Times New Roman"/>
              <w:szCs w:val="31"/>
            </w:rPr>
            <w:fldChar w:fldCharType="begin"/>
          </w:r>
          <w:r>
            <w:rPr>
              <w:rFonts w:hint="default" w:ascii="Times New Roman" w:hAnsi="Times New Roman" w:eastAsia="仿宋" w:cs="Times New Roman"/>
              <w:szCs w:val="31"/>
            </w:rPr>
            <w:instrText xml:space="preserve"> HYPERLINK \l _Toc31815 </w:instrText>
          </w:r>
          <w:r>
            <w:rPr>
              <w:rFonts w:hint="default" w:ascii="Times New Roman" w:hAnsi="Times New Roman" w:eastAsia="仿宋" w:cs="Times New Roman"/>
              <w:szCs w:val="31"/>
            </w:rPr>
            <w:fldChar w:fldCharType="separate"/>
          </w:r>
          <w:r>
            <w:rPr>
              <w:rFonts w:hint="default" w:ascii="Times New Roman" w:hAnsi="Times New Roman" w:eastAsia="仿宋" w:cs="Times New Roman"/>
              <w:bCs/>
              <w:szCs w:val="32"/>
              <w:lang w:val="en-US" w:eastAsia="zh-CN"/>
            </w:rPr>
            <w:t>（一）预决算管理方面</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_Toc31815 \h </w:instrText>
          </w:r>
          <w:r>
            <w:rPr>
              <w:rFonts w:hint="default" w:ascii="Times New Roman" w:hAnsi="Times New Roman" w:eastAsia="仿宋" w:cs="Times New Roman"/>
            </w:rPr>
            <w:fldChar w:fldCharType="separate"/>
          </w:r>
          <w:r>
            <w:rPr>
              <w:rFonts w:hint="default" w:ascii="Times New Roman" w:hAnsi="Times New Roman" w:eastAsia="仿宋" w:cs="Times New Roman"/>
            </w:rPr>
            <w:t>11</w:t>
          </w:r>
          <w:r>
            <w:rPr>
              <w:rFonts w:hint="default" w:ascii="Times New Roman" w:hAnsi="Times New Roman" w:eastAsia="仿宋" w:cs="Times New Roman"/>
            </w:rPr>
            <w:fldChar w:fldCharType="end"/>
          </w:r>
          <w:r>
            <w:rPr>
              <w:rFonts w:hint="default" w:ascii="Times New Roman" w:hAnsi="Times New Roman" w:eastAsia="仿宋" w:cs="Times New Roman"/>
              <w:szCs w:val="31"/>
            </w:rPr>
            <w:fldChar w:fldCharType="end"/>
          </w:r>
        </w:p>
        <w:p>
          <w:pPr>
            <w:pStyle w:val="16"/>
            <w:tabs>
              <w:tab w:val="right" w:leader="dot" w:pos="8392"/>
            </w:tabs>
            <w:rPr>
              <w:rFonts w:hint="default" w:ascii="Times New Roman" w:hAnsi="Times New Roman" w:eastAsia="仿宋" w:cs="Times New Roman"/>
            </w:rPr>
          </w:pPr>
          <w:r>
            <w:rPr>
              <w:rFonts w:hint="default" w:ascii="Times New Roman" w:hAnsi="Times New Roman" w:eastAsia="仿宋" w:cs="Times New Roman"/>
              <w:szCs w:val="31"/>
            </w:rPr>
            <w:fldChar w:fldCharType="begin"/>
          </w:r>
          <w:r>
            <w:rPr>
              <w:rFonts w:hint="default" w:ascii="Times New Roman" w:hAnsi="Times New Roman" w:eastAsia="仿宋" w:cs="Times New Roman"/>
              <w:szCs w:val="31"/>
            </w:rPr>
            <w:instrText xml:space="preserve"> HYPERLINK \l _Toc6765 </w:instrText>
          </w:r>
          <w:r>
            <w:rPr>
              <w:rFonts w:hint="default" w:ascii="Times New Roman" w:hAnsi="Times New Roman" w:eastAsia="仿宋" w:cs="Times New Roman"/>
              <w:szCs w:val="31"/>
            </w:rPr>
            <w:fldChar w:fldCharType="separate"/>
          </w:r>
          <w:r>
            <w:rPr>
              <w:rFonts w:hint="default" w:ascii="Times New Roman" w:hAnsi="Times New Roman" w:eastAsia="仿宋" w:cs="Times New Roman"/>
              <w:bCs/>
              <w:szCs w:val="32"/>
              <w:lang w:val="en-US" w:eastAsia="zh-CN"/>
            </w:rPr>
            <w:t>（二）固定资产管理方面</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_Toc6765 \h </w:instrText>
          </w:r>
          <w:r>
            <w:rPr>
              <w:rFonts w:hint="default" w:ascii="Times New Roman" w:hAnsi="Times New Roman" w:eastAsia="仿宋" w:cs="Times New Roman"/>
            </w:rPr>
            <w:fldChar w:fldCharType="separate"/>
          </w:r>
          <w:r>
            <w:rPr>
              <w:rFonts w:hint="default" w:ascii="Times New Roman" w:hAnsi="Times New Roman" w:eastAsia="仿宋" w:cs="Times New Roman"/>
            </w:rPr>
            <w:t>11</w:t>
          </w:r>
          <w:r>
            <w:rPr>
              <w:rFonts w:hint="default" w:ascii="Times New Roman" w:hAnsi="Times New Roman" w:eastAsia="仿宋" w:cs="Times New Roman"/>
            </w:rPr>
            <w:fldChar w:fldCharType="end"/>
          </w:r>
          <w:r>
            <w:rPr>
              <w:rFonts w:hint="default" w:ascii="Times New Roman" w:hAnsi="Times New Roman" w:eastAsia="仿宋" w:cs="Times New Roman"/>
              <w:szCs w:val="31"/>
            </w:rPr>
            <w:fldChar w:fldCharType="end"/>
          </w:r>
        </w:p>
        <w:p>
          <w:pPr>
            <w:pStyle w:val="16"/>
            <w:tabs>
              <w:tab w:val="right" w:leader="dot" w:pos="8392"/>
            </w:tabs>
            <w:rPr>
              <w:rFonts w:hint="default" w:ascii="Times New Roman" w:hAnsi="Times New Roman" w:eastAsia="仿宋" w:cs="Times New Roman"/>
            </w:rPr>
          </w:pPr>
          <w:r>
            <w:rPr>
              <w:rFonts w:hint="default" w:ascii="Times New Roman" w:hAnsi="Times New Roman" w:eastAsia="仿宋" w:cs="Times New Roman"/>
              <w:szCs w:val="31"/>
            </w:rPr>
            <w:fldChar w:fldCharType="begin"/>
          </w:r>
          <w:r>
            <w:rPr>
              <w:rFonts w:hint="default" w:ascii="Times New Roman" w:hAnsi="Times New Roman" w:eastAsia="仿宋" w:cs="Times New Roman"/>
              <w:szCs w:val="31"/>
            </w:rPr>
            <w:instrText xml:space="preserve"> HYPERLINK \l _Toc18682 </w:instrText>
          </w:r>
          <w:r>
            <w:rPr>
              <w:rFonts w:hint="default" w:ascii="Times New Roman" w:hAnsi="Times New Roman" w:eastAsia="仿宋" w:cs="Times New Roman"/>
              <w:szCs w:val="31"/>
            </w:rPr>
            <w:fldChar w:fldCharType="separate"/>
          </w:r>
          <w:r>
            <w:rPr>
              <w:rFonts w:hint="default" w:ascii="Times New Roman" w:hAnsi="Times New Roman" w:eastAsia="仿宋" w:cs="Times New Roman"/>
              <w:bCs/>
              <w:szCs w:val="32"/>
              <w:lang w:val="en-US" w:eastAsia="zh-CN"/>
            </w:rPr>
            <w:t>（三）财务管理方面</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_Toc18682 \h </w:instrText>
          </w:r>
          <w:r>
            <w:rPr>
              <w:rFonts w:hint="default" w:ascii="Times New Roman" w:hAnsi="Times New Roman" w:eastAsia="仿宋" w:cs="Times New Roman"/>
            </w:rPr>
            <w:fldChar w:fldCharType="separate"/>
          </w:r>
          <w:r>
            <w:rPr>
              <w:rFonts w:hint="default" w:ascii="Times New Roman" w:hAnsi="Times New Roman" w:eastAsia="仿宋" w:cs="Times New Roman"/>
            </w:rPr>
            <w:t>12</w:t>
          </w:r>
          <w:r>
            <w:rPr>
              <w:rFonts w:hint="default" w:ascii="Times New Roman" w:hAnsi="Times New Roman" w:eastAsia="仿宋" w:cs="Times New Roman"/>
            </w:rPr>
            <w:fldChar w:fldCharType="end"/>
          </w:r>
          <w:r>
            <w:rPr>
              <w:rFonts w:hint="default" w:ascii="Times New Roman" w:hAnsi="Times New Roman" w:eastAsia="仿宋" w:cs="Times New Roman"/>
              <w:szCs w:val="31"/>
            </w:rPr>
            <w:fldChar w:fldCharType="end"/>
          </w:r>
        </w:p>
        <w:p>
          <w:pPr>
            <w:pStyle w:val="14"/>
            <w:tabs>
              <w:tab w:val="right" w:leader="dot" w:pos="8392"/>
            </w:tabs>
            <w:rPr>
              <w:rFonts w:hint="default" w:ascii="Times New Roman" w:hAnsi="Times New Roman" w:eastAsia="仿宋" w:cs="Times New Roman"/>
            </w:rPr>
          </w:pPr>
          <w:r>
            <w:rPr>
              <w:rFonts w:hint="default" w:ascii="Times New Roman" w:hAnsi="Times New Roman" w:eastAsia="仿宋" w:cs="Times New Roman"/>
              <w:szCs w:val="31"/>
            </w:rPr>
            <w:fldChar w:fldCharType="begin"/>
          </w:r>
          <w:r>
            <w:rPr>
              <w:rFonts w:hint="default" w:ascii="Times New Roman" w:hAnsi="Times New Roman" w:eastAsia="仿宋" w:cs="Times New Roman"/>
              <w:szCs w:val="31"/>
            </w:rPr>
            <w:instrText xml:space="preserve"> HYPERLINK \l _Toc28810 </w:instrText>
          </w:r>
          <w:r>
            <w:rPr>
              <w:rFonts w:hint="default" w:ascii="Times New Roman" w:hAnsi="Times New Roman" w:eastAsia="仿宋" w:cs="Times New Roman"/>
              <w:szCs w:val="31"/>
            </w:rPr>
            <w:fldChar w:fldCharType="separate"/>
          </w:r>
          <w:r>
            <w:rPr>
              <w:rFonts w:hint="default" w:ascii="Times New Roman" w:hAnsi="Times New Roman" w:eastAsia="仿宋" w:cs="Times New Roman"/>
              <w:lang w:val="en-US" w:eastAsia="zh-CN"/>
            </w:rPr>
            <w:t>八、相关建议</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_Toc28810 \h </w:instrText>
          </w:r>
          <w:r>
            <w:rPr>
              <w:rFonts w:hint="default" w:ascii="Times New Roman" w:hAnsi="Times New Roman" w:eastAsia="仿宋" w:cs="Times New Roman"/>
            </w:rPr>
            <w:fldChar w:fldCharType="separate"/>
          </w:r>
          <w:r>
            <w:rPr>
              <w:rFonts w:hint="default" w:ascii="Times New Roman" w:hAnsi="Times New Roman" w:eastAsia="仿宋" w:cs="Times New Roman"/>
            </w:rPr>
            <w:t>13</w:t>
          </w:r>
          <w:r>
            <w:rPr>
              <w:rFonts w:hint="default" w:ascii="Times New Roman" w:hAnsi="Times New Roman" w:eastAsia="仿宋" w:cs="Times New Roman"/>
            </w:rPr>
            <w:fldChar w:fldCharType="end"/>
          </w:r>
          <w:r>
            <w:rPr>
              <w:rFonts w:hint="default" w:ascii="Times New Roman" w:hAnsi="Times New Roman" w:eastAsia="仿宋" w:cs="Times New Roman"/>
              <w:szCs w:val="31"/>
            </w:rPr>
            <w:fldChar w:fldCharType="end"/>
          </w:r>
        </w:p>
        <w:p>
          <w:pPr>
            <w:pStyle w:val="16"/>
            <w:tabs>
              <w:tab w:val="right" w:leader="dot" w:pos="8392"/>
            </w:tabs>
            <w:rPr>
              <w:rFonts w:hint="default" w:ascii="Times New Roman" w:hAnsi="Times New Roman" w:eastAsia="仿宋" w:cs="Times New Roman"/>
            </w:rPr>
          </w:pPr>
          <w:r>
            <w:rPr>
              <w:rFonts w:hint="default" w:ascii="Times New Roman" w:hAnsi="Times New Roman" w:eastAsia="仿宋" w:cs="Times New Roman"/>
              <w:szCs w:val="31"/>
            </w:rPr>
            <w:fldChar w:fldCharType="begin"/>
          </w:r>
          <w:r>
            <w:rPr>
              <w:rFonts w:hint="default" w:ascii="Times New Roman" w:hAnsi="Times New Roman" w:eastAsia="仿宋" w:cs="Times New Roman"/>
              <w:szCs w:val="31"/>
            </w:rPr>
            <w:instrText xml:space="preserve"> HYPERLINK \l _Toc13733 </w:instrText>
          </w:r>
          <w:r>
            <w:rPr>
              <w:rFonts w:hint="default" w:ascii="Times New Roman" w:hAnsi="Times New Roman" w:eastAsia="仿宋" w:cs="Times New Roman"/>
              <w:szCs w:val="31"/>
            </w:rPr>
            <w:fldChar w:fldCharType="separate"/>
          </w:r>
          <w:r>
            <w:rPr>
              <w:rFonts w:hint="default" w:ascii="Times New Roman" w:hAnsi="Times New Roman" w:eastAsia="仿宋" w:cs="Times New Roman"/>
            </w:rPr>
            <w:t>（</w:t>
          </w:r>
          <w:r>
            <w:rPr>
              <w:rFonts w:hint="default" w:ascii="Times New Roman" w:hAnsi="Times New Roman" w:eastAsia="仿宋" w:cs="Times New Roman"/>
              <w:lang w:eastAsia="zh-CN"/>
            </w:rPr>
            <w:t>一</w:t>
          </w:r>
          <w:r>
            <w:rPr>
              <w:rFonts w:hint="default" w:ascii="Times New Roman" w:hAnsi="Times New Roman" w:eastAsia="仿宋" w:cs="Times New Roman"/>
            </w:rPr>
            <w:t>）</w:t>
          </w:r>
          <w:r>
            <w:rPr>
              <w:rFonts w:hint="default" w:ascii="Times New Roman" w:hAnsi="Times New Roman" w:eastAsia="仿宋" w:cs="Times New Roman"/>
              <w:lang w:eastAsia="zh-CN"/>
            </w:rPr>
            <w:t>完善预算编制，强化预算执行</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_Toc13733 \h </w:instrText>
          </w:r>
          <w:r>
            <w:rPr>
              <w:rFonts w:hint="default" w:ascii="Times New Roman" w:hAnsi="Times New Roman" w:eastAsia="仿宋" w:cs="Times New Roman"/>
            </w:rPr>
            <w:fldChar w:fldCharType="separate"/>
          </w:r>
          <w:r>
            <w:rPr>
              <w:rFonts w:hint="default" w:ascii="Times New Roman" w:hAnsi="Times New Roman" w:eastAsia="仿宋" w:cs="Times New Roman"/>
            </w:rPr>
            <w:t>13</w:t>
          </w:r>
          <w:r>
            <w:rPr>
              <w:rFonts w:hint="default" w:ascii="Times New Roman" w:hAnsi="Times New Roman" w:eastAsia="仿宋" w:cs="Times New Roman"/>
            </w:rPr>
            <w:fldChar w:fldCharType="end"/>
          </w:r>
          <w:r>
            <w:rPr>
              <w:rFonts w:hint="default" w:ascii="Times New Roman" w:hAnsi="Times New Roman" w:eastAsia="仿宋" w:cs="Times New Roman"/>
              <w:szCs w:val="31"/>
            </w:rPr>
            <w:fldChar w:fldCharType="end"/>
          </w:r>
        </w:p>
        <w:p>
          <w:pPr>
            <w:pStyle w:val="16"/>
            <w:tabs>
              <w:tab w:val="right" w:leader="dot" w:pos="8392"/>
            </w:tabs>
            <w:rPr>
              <w:rFonts w:hint="default" w:ascii="Times New Roman" w:hAnsi="Times New Roman" w:eastAsia="仿宋" w:cs="Times New Roman"/>
            </w:rPr>
          </w:pPr>
          <w:r>
            <w:rPr>
              <w:rFonts w:hint="default" w:ascii="Times New Roman" w:hAnsi="Times New Roman" w:eastAsia="仿宋" w:cs="Times New Roman"/>
              <w:szCs w:val="31"/>
            </w:rPr>
            <w:fldChar w:fldCharType="begin"/>
          </w:r>
          <w:r>
            <w:rPr>
              <w:rFonts w:hint="default" w:ascii="Times New Roman" w:hAnsi="Times New Roman" w:eastAsia="仿宋" w:cs="Times New Roman"/>
              <w:szCs w:val="31"/>
            </w:rPr>
            <w:instrText xml:space="preserve"> HYPERLINK \l _Toc29343 </w:instrText>
          </w:r>
          <w:r>
            <w:rPr>
              <w:rFonts w:hint="default" w:ascii="Times New Roman" w:hAnsi="Times New Roman" w:eastAsia="仿宋" w:cs="Times New Roman"/>
              <w:szCs w:val="31"/>
            </w:rPr>
            <w:fldChar w:fldCharType="separate"/>
          </w:r>
          <w:r>
            <w:rPr>
              <w:rFonts w:hint="default" w:ascii="Times New Roman" w:hAnsi="Times New Roman" w:eastAsia="仿宋" w:cs="Times New Roman"/>
              <w:lang w:val="en-US" w:eastAsia="zh-CN"/>
            </w:rPr>
            <w:t>（二）规范资产管理</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_Toc29343 \h </w:instrText>
          </w:r>
          <w:r>
            <w:rPr>
              <w:rFonts w:hint="default" w:ascii="Times New Roman" w:hAnsi="Times New Roman" w:eastAsia="仿宋" w:cs="Times New Roman"/>
            </w:rPr>
            <w:fldChar w:fldCharType="separate"/>
          </w:r>
          <w:r>
            <w:rPr>
              <w:rFonts w:hint="default" w:ascii="Times New Roman" w:hAnsi="Times New Roman" w:eastAsia="仿宋" w:cs="Times New Roman"/>
            </w:rPr>
            <w:t>13</w:t>
          </w:r>
          <w:r>
            <w:rPr>
              <w:rFonts w:hint="default" w:ascii="Times New Roman" w:hAnsi="Times New Roman" w:eastAsia="仿宋" w:cs="Times New Roman"/>
            </w:rPr>
            <w:fldChar w:fldCharType="end"/>
          </w:r>
          <w:r>
            <w:rPr>
              <w:rFonts w:hint="default" w:ascii="Times New Roman" w:hAnsi="Times New Roman" w:eastAsia="仿宋" w:cs="Times New Roman"/>
              <w:szCs w:val="31"/>
            </w:rPr>
            <w:fldChar w:fldCharType="end"/>
          </w:r>
        </w:p>
        <w:p>
          <w:pPr>
            <w:pStyle w:val="16"/>
            <w:tabs>
              <w:tab w:val="right" w:leader="dot" w:pos="8392"/>
            </w:tabs>
            <w:rPr>
              <w:rFonts w:hint="default" w:ascii="Times New Roman" w:hAnsi="Times New Roman" w:eastAsia="仿宋" w:cs="Times New Roman"/>
            </w:rPr>
          </w:pPr>
          <w:r>
            <w:rPr>
              <w:rFonts w:hint="default" w:ascii="Times New Roman" w:hAnsi="Times New Roman" w:eastAsia="仿宋" w:cs="Times New Roman"/>
              <w:szCs w:val="31"/>
            </w:rPr>
            <w:fldChar w:fldCharType="begin"/>
          </w:r>
          <w:r>
            <w:rPr>
              <w:rFonts w:hint="default" w:ascii="Times New Roman" w:hAnsi="Times New Roman" w:eastAsia="仿宋" w:cs="Times New Roman"/>
              <w:szCs w:val="31"/>
            </w:rPr>
            <w:instrText xml:space="preserve"> HYPERLINK \l _Toc6079 </w:instrText>
          </w:r>
          <w:r>
            <w:rPr>
              <w:rFonts w:hint="default" w:ascii="Times New Roman" w:hAnsi="Times New Roman" w:eastAsia="仿宋" w:cs="Times New Roman"/>
              <w:szCs w:val="31"/>
            </w:rPr>
            <w:fldChar w:fldCharType="separate"/>
          </w:r>
          <w:r>
            <w:rPr>
              <w:rFonts w:hint="default" w:ascii="Times New Roman" w:hAnsi="Times New Roman" w:eastAsia="仿宋" w:cs="Times New Roman"/>
              <w:lang w:val="en-US" w:eastAsia="zh-CN"/>
            </w:rPr>
            <w:t>（三）提高财务管理规范性</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_Toc6079 \h </w:instrText>
          </w:r>
          <w:r>
            <w:rPr>
              <w:rFonts w:hint="default" w:ascii="Times New Roman" w:hAnsi="Times New Roman" w:eastAsia="仿宋" w:cs="Times New Roman"/>
            </w:rPr>
            <w:fldChar w:fldCharType="separate"/>
          </w:r>
          <w:r>
            <w:rPr>
              <w:rFonts w:hint="default" w:ascii="Times New Roman" w:hAnsi="Times New Roman" w:eastAsia="仿宋" w:cs="Times New Roman"/>
            </w:rPr>
            <w:t>14</w:t>
          </w:r>
          <w:r>
            <w:rPr>
              <w:rFonts w:hint="default" w:ascii="Times New Roman" w:hAnsi="Times New Roman" w:eastAsia="仿宋" w:cs="Times New Roman"/>
            </w:rPr>
            <w:fldChar w:fldCharType="end"/>
          </w:r>
          <w:r>
            <w:rPr>
              <w:rFonts w:hint="default" w:ascii="Times New Roman" w:hAnsi="Times New Roman" w:eastAsia="仿宋" w:cs="Times New Roman"/>
              <w:szCs w:val="31"/>
            </w:rPr>
            <w:fldChar w:fldCharType="end"/>
          </w:r>
        </w:p>
        <w:p>
          <w:pPr>
            <w:pStyle w:val="14"/>
            <w:tabs>
              <w:tab w:val="right" w:leader="dot" w:pos="8392"/>
            </w:tabs>
            <w:rPr>
              <w:rFonts w:hint="default" w:ascii="Times New Roman" w:hAnsi="Times New Roman" w:eastAsia="仿宋" w:cs="Times New Roman"/>
            </w:rPr>
          </w:pPr>
          <w:r>
            <w:rPr>
              <w:rFonts w:hint="default" w:ascii="Times New Roman" w:hAnsi="Times New Roman" w:eastAsia="仿宋" w:cs="Times New Roman"/>
              <w:szCs w:val="31"/>
            </w:rPr>
            <w:fldChar w:fldCharType="begin"/>
          </w:r>
          <w:r>
            <w:rPr>
              <w:rFonts w:hint="default" w:ascii="Times New Roman" w:hAnsi="Times New Roman" w:eastAsia="仿宋" w:cs="Times New Roman"/>
              <w:szCs w:val="31"/>
            </w:rPr>
            <w:instrText xml:space="preserve"> HYPERLINK \l _Toc20837 </w:instrText>
          </w:r>
          <w:r>
            <w:rPr>
              <w:rFonts w:hint="default" w:ascii="Times New Roman" w:hAnsi="Times New Roman" w:eastAsia="仿宋" w:cs="Times New Roman"/>
              <w:szCs w:val="31"/>
            </w:rPr>
            <w:fldChar w:fldCharType="separate"/>
          </w:r>
          <w:r>
            <w:rPr>
              <w:rFonts w:hint="default" w:ascii="Times New Roman" w:hAnsi="Times New Roman" w:eastAsia="仿宋" w:cs="Times New Roman"/>
              <w:lang w:val="en-US" w:eastAsia="zh-CN"/>
            </w:rPr>
            <w:t>九、报告使用情况说明</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_Toc20837 \h </w:instrText>
          </w:r>
          <w:r>
            <w:rPr>
              <w:rFonts w:hint="default" w:ascii="Times New Roman" w:hAnsi="Times New Roman" w:eastAsia="仿宋" w:cs="Times New Roman"/>
            </w:rPr>
            <w:fldChar w:fldCharType="separate"/>
          </w:r>
          <w:r>
            <w:rPr>
              <w:rFonts w:hint="default" w:ascii="Times New Roman" w:hAnsi="Times New Roman" w:eastAsia="仿宋" w:cs="Times New Roman"/>
            </w:rPr>
            <w:t>14</w:t>
          </w:r>
          <w:r>
            <w:rPr>
              <w:rFonts w:hint="default" w:ascii="Times New Roman" w:hAnsi="Times New Roman" w:eastAsia="仿宋" w:cs="Times New Roman"/>
            </w:rPr>
            <w:fldChar w:fldCharType="end"/>
          </w:r>
          <w:r>
            <w:rPr>
              <w:rFonts w:hint="default" w:ascii="Times New Roman" w:hAnsi="Times New Roman" w:eastAsia="仿宋" w:cs="Times New Roman"/>
              <w:szCs w:val="31"/>
            </w:rPr>
            <w:fldChar w:fldCharType="end"/>
          </w:r>
        </w:p>
        <w:p>
          <w:pPr>
            <w:spacing w:before="0" w:beforeLines="0" w:after="0" w:afterLines="0" w:line="240" w:lineRule="auto"/>
            <w:ind w:left="0" w:leftChars="0" w:right="0" w:rightChars="0" w:firstLine="0" w:firstLineChars="0"/>
            <w:jc w:val="center"/>
            <w:rPr>
              <w:rFonts w:hint="default" w:ascii="Times New Roman" w:hAnsi="Times New Roman" w:eastAsia="仿宋" w:cs="Times New Roman"/>
              <w:sz w:val="31"/>
              <w:szCs w:val="31"/>
            </w:rPr>
          </w:pPr>
          <w:r>
            <w:rPr>
              <w:rFonts w:hint="default" w:ascii="Times New Roman" w:hAnsi="Times New Roman" w:eastAsia="仿宋" w:cs="Times New Roman"/>
              <w:szCs w:val="31"/>
            </w:rPr>
            <w:fldChar w:fldCharType="end"/>
          </w:r>
        </w:p>
      </w:sdtContent>
    </w:sdt>
    <w:p>
      <w:pPr>
        <w:jc w:val="center"/>
        <w:rPr>
          <w:rFonts w:hint="default" w:ascii="Times New Roman" w:hAnsi="Times New Roman" w:eastAsia="黑体" w:cs="Times New Roman"/>
          <w:b/>
          <w:bCs/>
          <w:spacing w:val="33"/>
          <w:sz w:val="33"/>
          <w:szCs w:val="33"/>
        </w:rPr>
      </w:pPr>
    </w:p>
    <w:p>
      <w:pPr>
        <w:jc w:val="center"/>
        <w:rPr>
          <w:rFonts w:hint="default" w:ascii="Times New Roman" w:hAnsi="Times New Roman" w:eastAsia="黑体" w:cs="Times New Roman"/>
          <w:b/>
          <w:bCs/>
          <w:spacing w:val="33"/>
          <w:sz w:val="33"/>
          <w:szCs w:val="33"/>
        </w:rPr>
      </w:pPr>
    </w:p>
    <w:p>
      <w:pPr>
        <w:jc w:val="center"/>
        <w:rPr>
          <w:rFonts w:hint="default" w:ascii="Times New Roman" w:hAnsi="Times New Roman" w:eastAsia="黑体" w:cs="Times New Roman"/>
          <w:b/>
          <w:bCs/>
          <w:spacing w:val="33"/>
          <w:sz w:val="33"/>
          <w:szCs w:val="33"/>
        </w:rPr>
        <w:sectPr>
          <w:pgSz w:w="11906" w:h="16838"/>
          <w:pgMar w:top="1440" w:right="1757" w:bottom="1440" w:left="175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widowControl/>
        <w:spacing w:line="540" w:lineRule="exact"/>
        <w:jc w:val="both"/>
        <w:rPr>
          <w:rFonts w:hint="default" w:ascii="Times New Roman" w:hAnsi="Times New Roman" w:eastAsia="黑体" w:cs="Times New Roman"/>
          <w:kern w:val="0"/>
          <w:sz w:val="44"/>
          <w:szCs w:val="44"/>
        </w:rPr>
      </w:pPr>
      <w:r>
        <w:rPr>
          <w:rFonts w:hint="default" w:ascii="Times New Roman" w:hAnsi="Times New Roman" w:cs="Times New Roman"/>
          <w:sz w:val="72"/>
        </w:rPr>
        <mc:AlternateContent>
          <mc:Choice Requires="wpg">
            <w:drawing>
              <wp:anchor distT="0" distB="0" distL="114300" distR="114300" simplePos="0" relativeHeight="251661312" behindDoc="0" locked="0" layoutInCell="1" allowOverlap="1">
                <wp:simplePos x="0" y="0"/>
                <wp:positionH relativeFrom="column">
                  <wp:posOffset>-542290</wp:posOffset>
                </wp:positionH>
                <wp:positionV relativeFrom="paragraph">
                  <wp:posOffset>-31115</wp:posOffset>
                </wp:positionV>
                <wp:extent cx="6372860" cy="1358265"/>
                <wp:effectExtent l="0" t="0" r="0" b="12700"/>
                <wp:wrapNone/>
                <wp:docPr id="4" name="组合 4"/>
                <wp:cNvGraphicFramePr/>
                <a:graphic xmlns:a="http://schemas.openxmlformats.org/drawingml/2006/main">
                  <a:graphicData uri="http://schemas.microsoft.com/office/word/2010/wordprocessingGroup">
                    <wpg:wgp>
                      <wpg:cNvGrpSpPr/>
                      <wpg:grpSpPr>
                        <a:xfrm>
                          <a:off x="0" y="0"/>
                          <a:ext cx="6372860" cy="1358265"/>
                          <a:chOff x="1452" y="1627"/>
                          <a:chExt cx="10036" cy="2139"/>
                        </a:xfrm>
                      </wpg:grpSpPr>
                      <wps:wsp>
                        <wps:cNvPr id="5" name="文本框 5"/>
                        <wps:cNvSpPr txBox="1"/>
                        <wps:spPr>
                          <a:xfrm>
                            <a:off x="1452" y="1627"/>
                            <a:ext cx="10036" cy="1716"/>
                          </a:xfrm>
                          <a:prstGeom prst="rect">
                            <a:avLst/>
                          </a:prstGeom>
                          <a:noFill/>
                          <a:ln w="6350">
                            <a:noFill/>
                          </a:ln>
                        </wps:spPr>
                        <wps:txb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方正粗黑宋简体" w:hAnsi="方正粗黑宋简体" w:eastAsia="方正粗黑宋简体" w:cs="方正粗黑宋简体"/>
                                  <w:b/>
                                  <w:bCs/>
                                  <w:color w:val="00B0F0"/>
                                  <w:spacing w:val="-113"/>
                                </w:rPr>
                              </w:pPr>
                              <w:r>
                                <w:rPr>
                                  <w:rFonts w:hint="eastAsia" w:ascii="方正大标宋_GBK" w:hAnsi="方正大标宋_GBK" w:eastAsia="方正大标宋_GBK" w:cs="方正大标宋_GBK"/>
                                  <w:b/>
                                  <w:bCs/>
                                  <w:color w:val="FF0000"/>
                                  <w:spacing w:val="0"/>
                                  <w:w w:val="60"/>
                                  <w:kern w:val="0"/>
                                  <w:sz w:val="110"/>
                                  <w:szCs w:val="110"/>
                                  <w:fitText w:val="9733" w:id="120283233"/>
                                  <w:lang w:val="en-US" w:eastAsia="zh-CN"/>
                                </w:rPr>
                                <w:t>湖南财正会计师事务所(普通合伙</w:t>
                              </w:r>
                              <w:r>
                                <w:rPr>
                                  <w:rFonts w:hint="eastAsia" w:ascii="方正大标宋_GBK" w:hAnsi="方正大标宋_GBK" w:eastAsia="方正大标宋_GBK" w:cs="方正大标宋_GBK"/>
                                  <w:b/>
                                  <w:bCs/>
                                  <w:color w:val="FF0000"/>
                                  <w:spacing w:val="-30"/>
                                  <w:w w:val="60"/>
                                  <w:kern w:val="0"/>
                                  <w:sz w:val="110"/>
                                  <w:szCs w:val="110"/>
                                  <w:fitText w:val="9733" w:id="120283233"/>
                                  <w:lang w:val="en-US" w:eastAsia="zh-CN"/>
                                </w:rPr>
                                <w:t>)</w:t>
                              </w:r>
                            </w:p>
                          </w:txbxContent>
                        </wps:txbx>
                        <wps:bodyPr upright="1"/>
                      </wps:wsp>
                      <wps:wsp>
                        <wps:cNvPr id="6" name="文本框 6"/>
                        <wps:cNvSpPr txBox="1"/>
                        <wps:spPr>
                          <a:xfrm>
                            <a:off x="1704" y="3046"/>
                            <a:ext cx="9253" cy="662"/>
                          </a:xfrm>
                          <a:prstGeom prst="rect">
                            <a:avLst/>
                          </a:prstGeom>
                          <a:noFill/>
                          <a:ln w="6350">
                            <a:noFill/>
                          </a:ln>
                        </wps:spPr>
                        <wps:txbx>
                          <w:txbxContent>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Arial" w:hAnsi="Arial" w:cs="Arial"/>
                                  <w:b w:val="0"/>
                                  <w:bCs w:val="0"/>
                                  <w:color w:val="FF0000"/>
                                  <w:w w:val="150"/>
                                  <w:sz w:val="36"/>
                                  <w:szCs w:val="36"/>
                                </w:rPr>
                              </w:pPr>
                              <w:r>
                                <w:rPr>
                                  <w:rFonts w:hint="default" w:ascii="Arial" w:hAnsi="Arial" w:cs="Arial"/>
                                  <w:b w:val="0"/>
                                  <w:bCs w:val="0"/>
                                  <w:color w:val="FF0000"/>
                                  <w:spacing w:val="1"/>
                                  <w:w w:val="98"/>
                                  <w:kern w:val="0"/>
                                  <w:sz w:val="36"/>
                                  <w:szCs w:val="36"/>
                                  <w:fitText w:val="8800" w:id="1900509674"/>
                                </w:rPr>
                                <w:t>Hunan Caizheng Accounting Firm (General Partnership</w:t>
                              </w:r>
                              <w:r>
                                <w:rPr>
                                  <w:rFonts w:hint="default" w:ascii="Arial" w:hAnsi="Arial" w:cs="Arial"/>
                                  <w:b w:val="0"/>
                                  <w:bCs w:val="0"/>
                                  <w:color w:val="FF0000"/>
                                  <w:spacing w:val="-15"/>
                                  <w:w w:val="98"/>
                                  <w:kern w:val="0"/>
                                  <w:sz w:val="36"/>
                                  <w:szCs w:val="36"/>
                                  <w:fitText w:val="8800" w:id="1900509674"/>
                                </w:rPr>
                                <w:t>)</w:t>
                              </w:r>
                            </w:p>
                            <w:p>
                              <w:pPr>
                                <w:jc w:val="center"/>
                                <w:rPr>
                                  <w:rFonts w:hint="default"/>
                                  <w:color w:val="366091"/>
                                  <w:w w:val="150"/>
                                  <w:sz w:val="40"/>
                                  <w:szCs w:val="40"/>
                                  <w:lang w:val="en-US"/>
                                </w:rPr>
                              </w:pPr>
                            </w:p>
                          </w:txbxContent>
                        </wps:txbx>
                        <wps:bodyPr upright="1"/>
                      </wps:wsp>
                      <wps:wsp>
                        <wps:cNvPr id="7" name="矩形 7"/>
                        <wps:cNvSpPr/>
                        <wps:spPr>
                          <a:xfrm>
                            <a:off x="1632" y="3709"/>
                            <a:ext cx="9360" cy="57"/>
                          </a:xfrm>
                          <a:prstGeom prst="rect">
                            <a:avLst/>
                          </a:prstGeom>
                          <a:solidFill>
                            <a:srgbClr val="FF0000"/>
                          </a:solidFill>
                          <a:ln w="25400" cap="flat" cmpd="sng">
                            <a:solidFill>
                              <a:srgbClr val="FF0000"/>
                            </a:solidFill>
                            <a:prstDash val="solid"/>
                            <a:round/>
                            <a:headEnd type="none" w="med" len="med"/>
                            <a:tailEnd type="none" w="med" len="med"/>
                          </a:ln>
                        </wps:spPr>
                        <wps:bodyPr anchor="ctr" anchorCtr="0" upright="1"/>
                      </wps:wsp>
                    </wpg:wgp>
                  </a:graphicData>
                </a:graphic>
              </wp:anchor>
            </w:drawing>
          </mc:Choice>
          <mc:Fallback>
            <w:pict>
              <v:group id="_x0000_s1026" o:spid="_x0000_s1026" o:spt="203" style="position:absolute;left:0pt;margin-left:-42.7pt;margin-top:-2.45pt;height:106.95pt;width:501.8pt;z-index:251661312;mso-width-relative:page;mso-height-relative:page;" coordorigin="1452,1627" coordsize="10036,2139" o:gfxdata="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">
                <o:lock v:ext="edit" aspectratio="f"/>
                <v:shape id="_x0000_s1026" o:spid="_x0000_s1026" o:spt="202" type="#_x0000_t202" style="position:absolute;left:1452;top:1627;height:1716;width:10036;" filled="f" stroked="f" coordsize="21600,21600" o:gfxdata="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EkpHL4A&#10;AADa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方正粗黑宋简体" w:hAnsi="方正粗黑宋简体" w:eastAsia="方正粗黑宋简体" w:cs="方正粗黑宋简体"/>
                            <w:b/>
                            <w:bCs/>
                            <w:color w:val="00B0F0"/>
                            <w:spacing w:val="-113"/>
                          </w:rPr>
                        </w:pPr>
                        <w:r>
                          <w:rPr>
                            <w:rFonts w:hint="eastAsia" w:ascii="方正大标宋_GBK" w:hAnsi="方正大标宋_GBK" w:eastAsia="方正大标宋_GBK" w:cs="方正大标宋_GBK"/>
                            <w:b/>
                            <w:bCs/>
                            <w:color w:val="FF0000"/>
                            <w:spacing w:val="0"/>
                            <w:w w:val="60"/>
                            <w:kern w:val="0"/>
                            <w:sz w:val="110"/>
                            <w:szCs w:val="110"/>
                            <w:fitText w:val="9733" w:id="120283233"/>
                            <w:lang w:val="en-US" w:eastAsia="zh-CN"/>
                          </w:rPr>
                          <w:t>湖南财正会计师事务所(普通合伙</w:t>
                        </w:r>
                        <w:r>
                          <w:rPr>
                            <w:rFonts w:hint="eastAsia" w:ascii="方正大标宋_GBK" w:hAnsi="方正大标宋_GBK" w:eastAsia="方正大标宋_GBK" w:cs="方正大标宋_GBK"/>
                            <w:b/>
                            <w:bCs/>
                            <w:color w:val="FF0000"/>
                            <w:spacing w:val="-30"/>
                            <w:w w:val="60"/>
                            <w:kern w:val="0"/>
                            <w:sz w:val="110"/>
                            <w:szCs w:val="110"/>
                            <w:fitText w:val="9733" w:id="120283233"/>
                            <w:lang w:val="en-US" w:eastAsia="zh-CN"/>
                          </w:rPr>
                          <w:t>)</w:t>
                        </w:r>
                      </w:p>
                    </w:txbxContent>
                  </v:textbox>
                </v:shape>
                <v:shape id="_x0000_s1026" o:spid="_x0000_s1026" o:spt="202" type="#_x0000_t202" style="position:absolute;left:1704;top:3046;height:662;width:9253;" filled="f" stroked="f" coordsize="21600,21600" o:gfxdata="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m7drvQAA&#10;ANo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Arial" w:hAnsi="Arial" w:cs="Arial"/>
                            <w:b w:val="0"/>
                            <w:bCs w:val="0"/>
                            <w:color w:val="FF0000"/>
                            <w:w w:val="150"/>
                            <w:sz w:val="36"/>
                            <w:szCs w:val="36"/>
                          </w:rPr>
                        </w:pPr>
                        <w:r>
                          <w:rPr>
                            <w:rFonts w:hint="default" w:ascii="Arial" w:hAnsi="Arial" w:cs="Arial"/>
                            <w:b w:val="0"/>
                            <w:bCs w:val="0"/>
                            <w:color w:val="FF0000"/>
                            <w:spacing w:val="1"/>
                            <w:w w:val="98"/>
                            <w:kern w:val="0"/>
                            <w:sz w:val="36"/>
                            <w:szCs w:val="36"/>
                            <w:fitText w:val="8800" w:id="1900509674"/>
                          </w:rPr>
                          <w:t>Hunan Caizheng Accounting Firm (General Partnership</w:t>
                        </w:r>
                        <w:r>
                          <w:rPr>
                            <w:rFonts w:hint="default" w:ascii="Arial" w:hAnsi="Arial" w:cs="Arial"/>
                            <w:b w:val="0"/>
                            <w:bCs w:val="0"/>
                            <w:color w:val="FF0000"/>
                            <w:spacing w:val="-15"/>
                            <w:w w:val="98"/>
                            <w:kern w:val="0"/>
                            <w:sz w:val="36"/>
                            <w:szCs w:val="36"/>
                            <w:fitText w:val="8800" w:id="1900509674"/>
                          </w:rPr>
                          <w:t>)</w:t>
                        </w:r>
                      </w:p>
                      <w:p>
                        <w:pPr>
                          <w:jc w:val="center"/>
                          <w:rPr>
                            <w:rFonts w:hint="default"/>
                            <w:color w:val="366091"/>
                            <w:w w:val="150"/>
                            <w:sz w:val="40"/>
                            <w:szCs w:val="40"/>
                            <w:lang w:val="en-US"/>
                          </w:rPr>
                        </w:pPr>
                      </w:p>
                    </w:txbxContent>
                  </v:textbox>
                </v:shape>
                <v:rect id="_x0000_s1026" o:spid="_x0000_s1026" o:spt="1" style="position:absolute;left:1632;top:3709;height:57;width:9360;v-text-anchor:middle;" fillcolor="#FF0000" filled="t" stroked="t" coordsize="21600,21600" o:gfxdata="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ZXNVq5AAAA2gAA&#10;AA8AAAAAAAAAAQAgAAAAIgAAAGRycy9kb3ducmV2LnhtbFBLAQIUABQAAAAIAIdO4kAzLwWeOwAA&#10;ADkAAAAQAAAAAAAAAAEAIAAAAAgBAABkcnMvc2hhcGV4bWwueG1sUEsFBgAAAAAGAAYAWwEAALID&#10;AAAAAA==&#10;">
                  <v:fill on="t" focussize="0,0"/>
                  <v:stroke weight="2pt" color="#FF0000" joinstyle="round"/>
                  <v:imagedata o:title=""/>
                  <o:lock v:ext="edit" aspectratio="f"/>
                </v:rect>
              </v:group>
            </w:pict>
          </mc:Fallback>
        </mc:AlternateContent>
      </w:r>
    </w:p>
    <w:p>
      <w:pPr>
        <w:spacing w:line="600" w:lineRule="exact"/>
        <w:jc w:val="center"/>
        <w:outlineLvl w:val="9"/>
        <w:rPr>
          <w:rFonts w:hint="default" w:ascii="Times New Roman" w:hAnsi="Times New Roman" w:eastAsia="方正小标宋_GBK" w:cs="Times New Roman"/>
          <w:bCs/>
          <w:sz w:val="44"/>
          <w:szCs w:val="44"/>
        </w:rPr>
      </w:pPr>
    </w:p>
    <w:p>
      <w:pPr>
        <w:jc w:val="center"/>
        <w:rPr>
          <w:rFonts w:hint="default" w:ascii="Times New Roman" w:hAnsi="Times New Roman" w:eastAsia="黑体" w:cs="Times New Roman"/>
          <w:b/>
          <w:bCs/>
          <w:spacing w:val="33"/>
          <w:sz w:val="33"/>
          <w:szCs w:val="33"/>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b/>
          <w:bCs/>
          <w:sz w:val="30"/>
          <w:szCs w:val="30"/>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b/>
          <w:bCs/>
          <w:sz w:val="30"/>
          <w:szCs w:val="30"/>
          <w:lang w:val="en-US" w:eastAsia="zh-CN"/>
        </w:rPr>
      </w:pPr>
      <w:r>
        <w:rPr>
          <w:rFonts w:hint="default" w:ascii="Times New Roman" w:hAnsi="Times New Roman" w:eastAsia="仿宋" w:cs="Times New Roman"/>
          <w:b/>
          <w:bCs/>
          <w:sz w:val="30"/>
          <w:szCs w:val="30"/>
        </w:rPr>
        <mc:AlternateContent>
          <mc:Choice Requires="wps">
            <w:drawing>
              <wp:anchor distT="0" distB="0" distL="114935" distR="114935" simplePos="0" relativeHeight="251660288" behindDoc="0" locked="0" layoutInCell="1" allowOverlap="1">
                <wp:simplePos x="0" y="0"/>
                <wp:positionH relativeFrom="column">
                  <wp:posOffset>-305435</wp:posOffset>
                </wp:positionH>
                <wp:positionV relativeFrom="page">
                  <wp:posOffset>2144395</wp:posOffset>
                </wp:positionV>
                <wp:extent cx="5923915" cy="635"/>
                <wp:effectExtent l="0" t="0" r="0" b="0"/>
                <wp:wrapSquare wrapText="bothSides"/>
                <wp:docPr id="3" name="直接连接符 3"/>
                <wp:cNvGraphicFramePr/>
                <a:graphic xmlns:a="http://schemas.openxmlformats.org/drawingml/2006/main">
                  <a:graphicData uri="http://schemas.microsoft.com/office/word/2010/wordprocessingShape">
                    <wps:wsp>
                      <wps:cNvCnPr/>
                      <wps:spPr>
                        <a:xfrm>
                          <a:off x="779145" y="2103120"/>
                          <a:ext cx="5923915" cy="635"/>
                        </a:xfrm>
                        <a:prstGeom prst="line">
                          <a:avLst/>
                        </a:prstGeom>
                        <a:ln w="28575" cmpd="sng">
                          <a:no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4.05pt;margin-top:168.85pt;height:0.05pt;width:466.45pt;mso-position-vertical-relative:page;mso-wrap-distance-bottom:0pt;mso-wrap-distance-left:9.05pt;mso-wrap-distance-right:9.05pt;mso-wrap-distance-top:0pt;z-index:251660288;mso-width-relative:page;mso-height-relative:page;" filled="f" stroked="f" coordsize="21600,21600" o:gfxdata="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NcWPx2QAA&#10;AAsBAAAPAAAAAAAAAAEAIAAAACIAAABkcnMvZG93bnJldi54bWxQSwECFAAUAAAACACHTuJAd39K&#10;MeQBAACWAwAADgAAAAAAAAABACAAAAAoAQAAZHJzL2Uyb0RvYy54bWxQSwUGAAAAAAYABgBZAQAA&#10;fgUAAAAA&#10;">
                <v:fill on="f" focussize="0,0"/>
                <v:stroke on="f" weight="2.25pt" miterlimit="8" joinstyle="miter"/>
                <v:imagedata o:title=""/>
                <o:lock v:ext="edit" aspectratio="f"/>
                <w10:wrap type="square"/>
              </v:line>
            </w:pict>
          </mc:Fallback>
        </mc:AlternateContent>
      </w:r>
      <w:r>
        <w:rPr>
          <w:rFonts w:hint="default" w:ascii="Times New Roman" w:hAnsi="Times New Roman" w:eastAsia="仿宋" w:cs="Times New Roman"/>
          <w:b/>
          <w:bCs/>
          <w:sz w:val="30"/>
          <w:szCs w:val="30"/>
          <w:lang w:val="en-US" w:eastAsia="zh-CN"/>
        </w:rPr>
        <w:t>湘财正咨字</w:t>
      </w:r>
      <w:r>
        <w:rPr>
          <w:rFonts w:hint="default" w:ascii="Times New Roman" w:hAnsi="Times New Roman" w:eastAsia="仿宋" w:cs="Times New Roman"/>
          <w:b w:val="0"/>
          <w:bCs w:val="0"/>
          <w:sz w:val="30"/>
          <w:szCs w:val="30"/>
          <w:lang w:val="en-US" w:eastAsia="zh-CN"/>
        </w:rPr>
        <w:t>[</w:t>
      </w:r>
      <w:r>
        <w:rPr>
          <w:rFonts w:hint="default" w:ascii="Times New Roman" w:hAnsi="Times New Roman" w:eastAsia="仿宋" w:cs="Times New Roman"/>
          <w:b w:val="0"/>
          <w:bCs w:val="0"/>
          <w:sz w:val="30"/>
          <w:szCs w:val="30"/>
          <w:highlight w:val="none"/>
          <w:lang w:val="en-US" w:eastAsia="zh-CN"/>
        </w:rPr>
        <w:t>2023]</w:t>
      </w:r>
      <w:r>
        <w:rPr>
          <w:rFonts w:hint="default" w:ascii="Times New Roman" w:hAnsi="Times New Roman" w:eastAsia="仿宋" w:cs="Times New Roman"/>
          <w:b/>
          <w:bCs/>
          <w:sz w:val="30"/>
          <w:szCs w:val="30"/>
          <w:highlight w:val="none"/>
          <w:lang w:val="en-US" w:eastAsia="zh-CN"/>
        </w:rPr>
        <w:t>第</w:t>
      </w:r>
      <w:r>
        <w:rPr>
          <w:rFonts w:hint="default" w:ascii="Times New Roman" w:hAnsi="Times New Roman" w:eastAsia="仿宋" w:cs="Times New Roman"/>
          <w:b w:val="0"/>
          <w:bCs w:val="0"/>
          <w:color w:val="auto"/>
          <w:sz w:val="30"/>
          <w:szCs w:val="30"/>
          <w:highlight w:val="none"/>
          <w:lang w:val="en-US" w:eastAsia="zh-CN"/>
        </w:rPr>
        <w:t>0</w:t>
      </w:r>
      <w:r>
        <w:rPr>
          <w:rFonts w:hint="eastAsia" w:cs="Times New Roman"/>
          <w:b w:val="0"/>
          <w:bCs w:val="0"/>
          <w:color w:val="auto"/>
          <w:sz w:val="30"/>
          <w:szCs w:val="30"/>
          <w:highlight w:val="none"/>
          <w:lang w:val="en-US" w:eastAsia="zh-CN"/>
        </w:rPr>
        <w:t>86</w:t>
      </w:r>
      <w:r>
        <w:rPr>
          <w:rFonts w:hint="default" w:ascii="Times New Roman" w:hAnsi="Times New Roman" w:eastAsia="仿宋" w:cs="Times New Roman"/>
          <w:b/>
          <w:bCs/>
          <w:sz w:val="30"/>
          <w:szCs w:val="30"/>
          <w:highlight w:val="none"/>
          <w:lang w:val="en-US" w:eastAsia="zh-CN"/>
        </w:rPr>
        <w:t>号</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sz w:val="33"/>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邵阳市北塔区畜牧水产事务中心</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2022年度部门整体支出绩效评价报告</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bCs/>
          <w:sz w:val="40"/>
          <w:szCs w:val="40"/>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b w:val="0"/>
          <w:bCs w:val="0"/>
          <w:sz w:val="32"/>
          <w:szCs w:val="32"/>
          <w:lang w:val="en-US" w:eastAsia="zh-CN"/>
        </w:rPr>
      </w:pPr>
      <w:r>
        <w:rPr>
          <w:rFonts w:hint="default" w:ascii="Times New Roman" w:hAnsi="Times New Roman" w:eastAsia="仿宋" w:cs="Times New Roman"/>
          <w:b w:val="0"/>
          <w:bCs w:val="0"/>
          <w:sz w:val="32"/>
          <w:szCs w:val="32"/>
          <w:lang w:val="en-US" w:eastAsia="zh-CN"/>
        </w:rPr>
        <w:t>为加强预算绩效管理，强化预算支出的责任意识和效率意识，提高财政资金使用效益，根据《中共中央国务院关于全面实施预算绩效管理的意见》（中发〔2018〕34号）、《中共湖南省委办公厅湖南省人民政府办公厅关于全面实施预算绩效管理的实施意见》（湘办发〔2019〕10号）、</w:t>
      </w:r>
      <w:r>
        <w:rPr>
          <w:rFonts w:hint="default" w:ascii="Times New Roman" w:hAnsi="Times New Roman" w:eastAsia="仿宋" w:cs="Times New Roman"/>
          <w:sz w:val="32"/>
          <w:szCs w:val="32"/>
          <w:lang w:val="en-US" w:eastAsia="zh-CN"/>
        </w:rPr>
        <w:t>《湖南省财政厅关于印发&lt;湖南省预算支出绩效评价管理办法&gt;的通知》（湘财绩〔2020〕7号）</w:t>
      </w:r>
      <w:r>
        <w:rPr>
          <w:rFonts w:hint="default" w:ascii="Times New Roman" w:hAnsi="Times New Roman" w:eastAsia="仿宋" w:cs="Times New Roman"/>
          <w:b w:val="0"/>
          <w:bCs w:val="0"/>
          <w:sz w:val="32"/>
          <w:szCs w:val="32"/>
          <w:lang w:val="en-US" w:eastAsia="zh-CN"/>
        </w:rPr>
        <w:t>等精神及相关工作要求，受邵阳市北塔区财政局委托，湖南财正会计师事务所（以下简称“我所”）对邵阳市北塔区畜牧水产事务中心2022年度部门整体支出开展了绩效评价。现将有关情况报告如下：</w:t>
      </w:r>
    </w:p>
    <w:p>
      <w:pPr>
        <w:pStyle w:val="3"/>
        <w:bidi w:val="0"/>
        <w:rPr>
          <w:rFonts w:hint="default" w:ascii="Times New Roman" w:hAnsi="Times New Roman" w:eastAsia="仿宋" w:cs="Times New Roman"/>
          <w:b w:val="0"/>
          <w:bCs w:val="0"/>
          <w:sz w:val="32"/>
          <w:szCs w:val="32"/>
          <w:lang w:val="en-US" w:eastAsia="zh-CN"/>
        </w:rPr>
        <w:sectPr>
          <w:headerReference r:id="rId5" w:type="default"/>
          <w:footerReference r:id="rId6" w:type="default"/>
          <w:pgSz w:w="11906" w:h="16838"/>
          <w:pgMar w:top="1440" w:right="1803" w:bottom="1440" w:left="1803" w:header="624"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default" w:ascii="Times New Roman" w:hAnsi="Times New Roman" w:eastAsia="仿宋" w:cs="Times New Roman"/>
          <w:b w:val="0"/>
          <w:bCs w:val="0"/>
          <w:sz w:val="32"/>
          <w:szCs w:val="32"/>
          <w:lang w:val="en-US" w:eastAsia="zh-CN"/>
        </w:rPr>
        <w:br w:type="page"/>
      </w:r>
      <w:bookmarkStart w:id="0" w:name="_Toc17556"/>
    </w:p>
    <w:p>
      <w:pPr>
        <w:pStyle w:val="3"/>
        <w:bidi w:val="0"/>
        <w:rPr>
          <w:rFonts w:hint="default" w:ascii="Times New Roman" w:hAnsi="Times New Roman" w:cs="Times New Roman"/>
          <w:lang w:val="en-US" w:eastAsia="zh-CN"/>
        </w:rPr>
      </w:pPr>
      <w:r>
        <w:rPr>
          <w:rFonts w:hint="default" w:ascii="Times New Roman" w:hAnsi="Times New Roman" w:cs="Times New Roman"/>
          <w:lang w:val="en-US" w:eastAsia="zh-CN"/>
        </w:rPr>
        <w:t>一、单位基本情况</w:t>
      </w:r>
      <w:bookmarkEnd w:id="0"/>
    </w:p>
    <w:p>
      <w:pPr>
        <w:pStyle w:val="6"/>
        <w:bidi w:val="0"/>
        <w:rPr>
          <w:rFonts w:hint="default" w:ascii="Times New Roman" w:hAnsi="Times New Roman" w:cs="Times New Roman"/>
          <w:lang w:val="en-US" w:eastAsia="zh-CN"/>
        </w:rPr>
      </w:pPr>
      <w:bookmarkStart w:id="1" w:name="_Toc4706"/>
      <w:r>
        <w:rPr>
          <w:rFonts w:hint="default" w:ascii="Times New Roman" w:hAnsi="Times New Roman" w:cs="Times New Roman"/>
          <w:lang w:val="en-US" w:eastAsia="zh-CN"/>
        </w:rPr>
        <w:t>（</w:t>
      </w:r>
      <w:r>
        <w:rPr>
          <w:rFonts w:hint="default" w:ascii="Times New Roman" w:hAnsi="Times New Roman" w:cs="Times New Roman"/>
          <w:b/>
          <w:lang w:val="en-US" w:eastAsia="zh-CN"/>
        </w:rPr>
        <w:t>一）部门概况</w:t>
      </w:r>
      <w:bookmarkEnd w:id="1"/>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邵阳市北塔区畜牧水产事务中心（以下简称“畜牧水产中心”）成立于2019年12月9日，</w:t>
      </w:r>
      <w:r>
        <w:rPr>
          <w:rFonts w:hint="default" w:cs="Times New Roman"/>
          <w:lang w:val="en-US" w:eastAsia="zh-CN"/>
        </w:rPr>
        <w:t>单位</w:t>
      </w:r>
      <w:r>
        <w:rPr>
          <w:rFonts w:hint="default" w:ascii="Times New Roman" w:hAnsi="Times New Roman" w:cs="Times New Roman"/>
          <w:lang w:val="en-US" w:eastAsia="zh-CN"/>
        </w:rPr>
        <w:t>地址为：</w:t>
      </w:r>
      <w:r>
        <w:rPr>
          <w:rFonts w:hint="eastAsia" w:cs="Times New Roman"/>
          <w:lang w:val="en-US" w:eastAsia="zh-CN"/>
        </w:rPr>
        <w:t>湖南省邵阳市</w:t>
      </w:r>
      <w:r>
        <w:rPr>
          <w:rFonts w:hint="default" w:ascii="Times New Roman" w:hAnsi="Times New Roman" w:cs="Times New Roman"/>
          <w:lang w:val="en-US" w:eastAsia="zh-CN"/>
        </w:rPr>
        <w:t>北塔区魏源路与九江路交叉口东260米；经国家企业信用信息公示系统查询得知，邵阳市北塔区畜牧水产事务中心的信用代码/税号为12430511MB15866563，法人是谭辉</w:t>
      </w:r>
      <w:r>
        <w:rPr>
          <w:rFonts w:hint="default" w:cs="Times New Roman"/>
          <w:lang w:val="en-US" w:eastAsia="zh-CN"/>
        </w:rPr>
        <w:t>。</w:t>
      </w:r>
    </w:p>
    <w:p>
      <w:pPr>
        <w:pStyle w:val="6"/>
        <w:bidi w:val="0"/>
        <w:ind w:firstLine="420"/>
        <w:rPr>
          <w:rFonts w:hint="default" w:ascii="Times New Roman" w:hAnsi="Times New Roman" w:cs="Times New Roman"/>
          <w:b/>
          <w:lang w:val="en-US" w:eastAsia="zh-CN"/>
        </w:rPr>
      </w:pPr>
      <w:bookmarkStart w:id="2" w:name="_Toc7477"/>
      <w:r>
        <w:rPr>
          <w:rFonts w:hint="default" w:ascii="Times New Roman" w:hAnsi="Times New Roman" w:cs="Times New Roman"/>
          <w:b/>
          <w:lang w:val="en-US" w:eastAsia="zh-CN"/>
        </w:rPr>
        <w:t>（二）主要职责</w:t>
      </w:r>
      <w:bookmarkEnd w:id="2"/>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1、贯彻执行国家、省有关畜牧水产业的法律法规和方针政策，拟定全区畜牧水产业发展中长期规划、年度计划和政策措施并组织实施。</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2、拟订全区有关畜牧、水产、兽医、兽药、饲料等规范性文件；负责畜禽养殖、种畜禽、兽医、兽药、饲料和畜禽水产品质量安全等监督管理。</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3、指导全区畜牧水产业生产，引导畜牧水产业结构调整、区域布局和优质畜产品生产基地建设；指导畜牧水产业规模化养殖、标准化生产和产业化经营；负责区级种畜禽场的资格审查、审批和种畜禽质量监督管理工作；加强地方畜禽遗传资源的保护开发，推广畜禽水产新品种，培育、保护和发展畜产品品牌。</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4</w:t>
      </w:r>
      <w:r>
        <w:rPr>
          <w:rFonts w:hint="eastAsia" w:cs="Times New Roman"/>
          <w:lang w:val="en-US" w:eastAsia="zh-CN"/>
        </w:rPr>
        <w:t>、</w:t>
      </w:r>
      <w:r>
        <w:rPr>
          <w:rFonts w:hint="default" w:ascii="Times New Roman" w:hAnsi="Times New Roman" w:cs="Times New Roman"/>
          <w:lang w:val="en-US" w:eastAsia="zh-CN"/>
        </w:rPr>
        <w:t>负责全区动物防疫检疫工作。组织制定并实施全区动物疫病防治规划和动物防疫检疫基础设施建设规划，负责种畜禽场动物防疫条件审核、管理和发证工作；负责突发重大动物疫情应急管理工作。</w:t>
      </w:r>
    </w:p>
    <w:p>
      <w:pPr>
        <w:bidi w:val="0"/>
        <w:rPr>
          <w:rFonts w:hint="default" w:ascii="Times New Roman" w:hAnsi="Times New Roman" w:cs="Times New Roman"/>
          <w:lang w:val="en-US" w:eastAsia="zh-CN"/>
        </w:rPr>
      </w:pPr>
      <w:r>
        <w:rPr>
          <w:rFonts w:hint="default" w:ascii="Times New Roman" w:hAnsi="Times New Roman" w:cs="Times New Roman"/>
          <w:b w:val="0"/>
          <w:bCs w:val="0"/>
          <w:szCs w:val="32"/>
          <w:lang w:val="en-US" w:eastAsia="zh-CN"/>
        </w:rPr>
        <w:t>5、</w:t>
      </w:r>
      <w:r>
        <w:rPr>
          <w:rFonts w:hint="default" w:ascii="Times New Roman" w:hAnsi="Times New Roman" w:cs="Times New Roman"/>
          <w:lang w:val="en-US" w:eastAsia="zh-CN"/>
        </w:rPr>
        <w:t>负责兽医医政、兽药药政药检、兽医卫生的监督管理。</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6、承担生鲜乳生产环节、收购环节的食品安全责任。指导生鲜乳收购站布局规划和建设，负责奶畜饲养以及生鲜乳生产环节、收购环节的监督管理。</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7、承担畜牧业的监测分析、预警和有关统计工作，发布畜牧业经济信息。</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8、组织制定全区畜牧水产业科技、教育、培训、技术推广规划，组织实施畜牧业技术研究、畜牧业科研成果转化和技术推广，负责全区畜牧兽医科技推广队伍建设；负责畜牧业服务体系的建设管理；指导畜牧业环境保护工作。</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9、负责全区屠宰行业信息统计，承担区政府委托的区农林水局的畜禽屠宰环节的产品质量安全监管及技术鉴定工作。</w:t>
      </w:r>
    </w:p>
    <w:p>
      <w:pPr>
        <w:bidi w:val="0"/>
        <w:rPr>
          <w:rFonts w:hint="default" w:ascii="Times New Roman" w:hAnsi="Times New Roman" w:eastAsia="仿宋" w:cs="Times New Roman"/>
          <w:b w:val="0"/>
          <w:bCs w:val="0"/>
          <w:szCs w:val="32"/>
          <w:lang w:val="en-US" w:eastAsia="zh-CN"/>
        </w:rPr>
      </w:pPr>
      <w:r>
        <w:rPr>
          <w:rFonts w:hint="default" w:ascii="Times New Roman" w:hAnsi="Times New Roman" w:cs="Times New Roman"/>
          <w:lang w:val="en-US" w:eastAsia="zh-CN"/>
        </w:rPr>
        <w:t>10、承办区人民政府</w:t>
      </w:r>
      <w:r>
        <w:rPr>
          <w:rFonts w:hint="default" w:ascii="Times New Roman" w:hAnsi="Times New Roman" w:eastAsia="仿宋" w:cs="Times New Roman"/>
          <w:b w:val="0"/>
          <w:bCs w:val="0"/>
          <w:szCs w:val="32"/>
          <w:lang w:val="en-US" w:eastAsia="zh-CN"/>
        </w:rPr>
        <w:t>交办的其他事项。</w:t>
      </w:r>
    </w:p>
    <w:p>
      <w:pPr>
        <w:pStyle w:val="6"/>
        <w:bidi w:val="0"/>
        <w:ind w:firstLine="420"/>
        <w:rPr>
          <w:rFonts w:hint="default" w:ascii="Times New Roman" w:hAnsi="Times New Roman" w:cs="Times New Roman"/>
          <w:b/>
          <w:lang w:val="en-US" w:eastAsia="zh-CN"/>
        </w:rPr>
      </w:pPr>
      <w:bookmarkStart w:id="3" w:name="_Toc29554"/>
      <w:r>
        <w:rPr>
          <w:rFonts w:hint="default" w:ascii="Times New Roman" w:hAnsi="Times New Roman" w:cs="Times New Roman"/>
          <w:b/>
          <w:lang w:val="en-US" w:eastAsia="zh-CN"/>
        </w:rPr>
        <w:t>（三）人员情况</w:t>
      </w:r>
      <w:bookmarkEnd w:id="3"/>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邵阳市北塔区畜牧水产事务中心共有编制人数13人，实有人数11人。内设股室3个，分别为：办公室，财务室，业务股室。</w:t>
      </w:r>
    </w:p>
    <w:p>
      <w:pPr>
        <w:pStyle w:val="3"/>
        <w:bidi w:val="0"/>
        <w:ind w:firstLine="643"/>
        <w:rPr>
          <w:rFonts w:hint="default" w:ascii="Times New Roman" w:hAnsi="Times New Roman" w:cs="Times New Roman"/>
          <w:b/>
          <w:lang w:val="en-US" w:eastAsia="zh-CN"/>
        </w:rPr>
      </w:pPr>
      <w:bookmarkStart w:id="4" w:name="_Toc21067"/>
      <w:r>
        <w:rPr>
          <w:rFonts w:hint="default" w:ascii="Times New Roman" w:hAnsi="Times New Roman" w:cs="Times New Roman"/>
          <w:b/>
          <w:lang w:val="en-US" w:eastAsia="zh-CN"/>
        </w:rPr>
        <w:t>二、部门整体收支情况</w:t>
      </w:r>
      <w:bookmarkEnd w:id="4"/>
    </w:p>
    <w:p>
      <w:pPr>
        <w:pStyle w:val="6"/>
        <w:bidi w:val="0"/>
        <w:ind w:firstLine="420"/>
        <w:rPr>
          <w:rFonts w:hint="default" w:ascii="Times New Roman" w:hAnsi="Times New Roman" w:cs="Times New Roman"/>
          <w:b/>
          <w:lang w:val="en-US" w:eastAsia="zh-CN"/>
        </w:rPr>
      </w:pPr>
      <w:bookmarkStart w:id="5" w:name="_Toc4"/>
      <w:r>
        <w:rPr>
          <w:rFonts w:hint="default" w:ascii="Times New Roman" w:hAnsi="Times New Roman" w:cs="Times New Roman"/>
          <w:b/>
          <w:lang w:val="en-US" w:eastAsia="zh-CN"/>
        </w:rPr>
        <w:t>（一）资金收入情况</w:t>
      </w:r>
      <w:bookmarkEnd w:id="5"/>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根据畜牧水产中心2022年度部门决算报表，2022年度部门收入决算数为349.08万元，其中：一般公共预算财政拨款收入344.07万元、其他收入5.01万元。</w:t>
      </w:r>
    </w:p>
    <w:p>
      <w:pPr>
        <w:pStyle w:val="6"/>
        <w:bidi w:val="0"/>
        <w:rPr>
          <w:rFonts w:hint="default" w:ascii="Times New Roman" w:hAnsi="Times New Roman" w:cs="Times New Roman"/>
          <w:lang w:val="en-US" w:eastAsia="zh-CN"/>
        </w:rPr>
      </w:pPr>
      <w:bookmarkStart w:id="6" w:name="_Toc2880"/>
      <w:r>
        <w:rPr>
          <w:rFonts w:hint="default" w:ascii="Times New Roman" w:hAnsi="Times New Roman" w:cs="Times New Roman"/>
          <w:lang w:val="en-US" w:eastAsia="zh-CN"/>
        </w:rPr>
        <w:t>（二）资金支出情况</w:t>
      </w:r>
      <w:bookmarkEnd w:id="6"/>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根据畜牧水产中心2022年度部门决算报表，2022年度共计支出349.08万元，其中：基本支出256.39万元，项目支出92.69万元</w:t>
      </w:r>
      <w:r>
        <w:rPr>
          <w:rFonts w:hint="default" w:cs="Times New Roman"/>
          <w:lang w:val="en-US" w:eastAsia="zh-CN"/>
        </w:rPr>
        <w:t>，</w:t>
      </w:r>
      <w:r>
        <w:rPr>
          <w:rFonts w:hint="default" w:ascii="Times New Roman" w:hAnsi="Times New Roman" w:cs="Times New Roman"/>
          <w:lang w:val="en-US" w:eastAsia="zh-CN"/>
        </w:rPr>
        <w:t>年末结转和结余0.00万元。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lang w:val="en-US" w:eastAsia="zh-CN"/>
        </w:rPr>
        <w:t>1、基本经费支出情况</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根据畜牧水产中心2022年度部门决算报表，2022年度畜牧水产中心一般公共预算财政拨款支出共计344.07万元，其中基本支出252.54万元（人员经费177.5</w:t>
      </w:r>
      <w:r>
        <w:rPr>
          <w:rFonts w:hint="eastAsia" w:cs="Times New Roman"/>
          <w:lang w:val="en-US" w:eastAsia="zh-CN"/>
        </w:rPr>
        <w:t>7</w:t>
      </w:r>
      <w:r>
        <w:rPr>
          <w:rFonts w:hint="default" w:ascii="Times New Roman" w:hAnsi="Times New Roman" w:cs="Times New Roman"/>
          <w:lang w:val="en-US" w:eastAsia="zh-CN"/>
        </w:rPr>
        <w:t>万元，公用经费74.97万元），其他支出91.53万元。一般公共预算财政拨款支出基本支出中人员经费和公用经费具体明细如下：</w:t>
      </w:r>
    </w:p>
    <w:tbl>
      <w:tblPr>
        <w:tblStyle w:val="24"/>
        <w:tblW w:w="4989" w:type="pct"/>
        <w:tblInd w:w="0" w:type="dxa"/>
        <w:tblBorders>
          <w:top w:val="single" w:color="000000" w:sz="4" w:space="0"/>
          <w:left w:val="none" w:color="auto" w:sz="0" w:space="0"/>
          <w:bottom w:val="single" w:color="000000" w:sz="4" w:space="0"/>
          <w:right w:val="none" w:color="auto" w:sz="0" w:space="0"/>
          <w:insideH w:val="dotted" w:color="000000" w:sz="4" w:space="0"/>
          <w:insideV w:val="dotted" w:color="000000" w:sz="4" w:space="0"/>
        </w:tblBorders>
        <w:tblLayout w:type="autofit"/>
        <w:tblCellMar>
          <w:top w:w="0" w:type="dxa"/>
          <w:left w:w="0" w:type="dxa"/>
          <w:bottom w:w="0" w:type="dxa"/>
          <w:right w:w="0" w:type="dxa"/>
        </w:tblCellMar>
      </w:tblPr>
      <w:tblGrid>
        <w:gridCol w:w="1643"/>
        <w:gridCol w:w="4404"/>
        <w:gridCol w:w="2235"/>
      </w:tblGrid>
      <w:tr>
        <w:tblPrEx>
          <w:tblBorders>
            <w:top w:val="single" w:color="000000" w:sz="4" w:space="0"/>
            <w:left w:val="none" w:color="auto" w:sz="0" w:space="0"/>
            <w:bottom w:val="single" w:color="000000" w:sz="4"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128" w:hRule="atLeast"/>
          <w:tblHeader/>
        </w:trPr>
        <w:tc>
          <w:tcPr>
            <w:tcW w:w="992" w:type="pct"/>
            <w:tcBorders>
              <w:bottom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b/>
                <w:bCs/>
                <w:spacing w:val="-5"/>
                <w:sz w:val="21"/>
                <w:szCs w:val="21"/>
              </w:rPr>
              <w:t>序号</w:t>
            </w:r>
          </w:p>
        </w:tc>
        <w:tc>
          <w:tcPr>
            <w:tcW w:w="2657" w:type="pct"/>
            <w:tcBorders>
              <w:bottom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b/>
                <w:bCs/>
                <w:spacing w:val="6"/>
                <w:sz w:val="21"/>
                <w:szCs w:val="21"/>
              </w:rPr>
              <w:t>支出项目</w:t>
            </w:r>
          </w:p>
        </w:tc>
        <w:tc>
          <w:tcPr>
            <w:tcW w:w="1349" w:type="pct"/>
            <w:tcBorders>
              <w:bottom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b/>
                <w:bCs/>
                <w:spacing w:val="4"/>
                <w:sz w:val="21"/>
                <w:szCs w:val="21"/>
              </w:rPr>
              <w:t>金额</w:t>
            </w:r>
            <w:r>
              <w:rPr>
                <w:rFonts w:hint="default" w:ascii="Times New Roman" w:hAnsi="Times New Roman" w:cs="Times New Roman" w:eastAsiaTheme="minorEastAsia"/>
                <w:b/>
                <w:bCs/>
                <w:spacing w:val="4"/>
                <w:sz w:val="21"/>
                <w:szCs w:val="21"/>
                <w:lang w:eastAsia="zh-CN"/>
              </w:rPr>
              <w:t>（</w:t>
            </w:r>
            <w:r>
              <w:rPr>
                <w:rFonts w:hint="default" w:ascii="Times New Roman" w:hAnsi="Times New Roman" w:cs="Times New Roman" w:eastAsiaTheme="minorEastAsia"/>
                <w:b/>
                <w:bCs/>
                <w:spacing w:val="4"/>
                <w:sz w:val="21"/>
                <w:szCs w:val="21"/>
              </w:rPr>
              <w:t>万元</w:t>
            </w:r>
            <w:r>
              <w:rPr>
                <w:rFonts w:hint="default" w:ascii="Times New Roman" w:hAnsi="Times New Roman" w:cs="Times New Roman" w:eastAsiaTheme="minorEastAsia"/>
                <w:b/>
                <w:bCs/>
                <w:spacing w:val="4"/>
                <w:sz w:val="21"/>
                <w:szCs w:val="21"/>
                <w:lang w:eastAsia="zh-CN"/>
              </w:rPr>
              <w:t>）</w:t>
            </w:r>
          </w:p>
        </w:tc>
      </w:tr>
      <w:tr>
        <w:tblPrEx>
          <w:tblBorders>
            <w:top w:val="single" w:color="000000" w:sz="4" w:space="0"/>
            <w:left w:val="none" w:color="auto" w:sz="0" w:space="0"/>
            <w:bottom w:val="single" w:color="000000" w:sz="4"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128" w:hRule="atLeast"/>
        </w:trPr>
        <w:tc>
          <w:tcPr>
            <w:tcW w:w="992" w:type="pct"/>
            <w:tcBorders>
              <w:top w:val="single" w:color="000000"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b/>
                <w:bCs/>
                <w:sz w:val="21"/>
                <w:szCs w:val="21"/>
                <w:lang w:val="en-US" w:eastAsia="zh-CN"/>
              </w:rPr>
              <w:t>一</w:t>
            </w:r>
          </w:p>
        </w:tc>
        <w:tc>
          <w:tcPr>
            <w:tcW w:w="2657" w:type="pct"/>
            <w:tcBorders>
              <w:top w:val="single" w:color="000000"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b/>
                <w:bCs/>
                <w:spacing w:val="-5"/>
                <w:sz w:val="21"/>
                <w:szCs w:val="21"/>
              </w:rPr>
              <w:t>人员经费</w:t>
            </w:r>
          </w:p>
        </w:tc>
        <w:tc>
          <w:tcPr>
            <w:tcW w:w="1349" w:type="pct"/>
            <w:tcBorders>
              <w:top w:val="single" w:color="000000"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b/>
                <w:bCs/>
                <w:spacing w:val="-4"/>
                <w:sz w:val="21"/>
                <w:szCs w:val="21"/>
                <w:lang w:val="en-US" w:eastAsia="zh-CN"/>
              </w:rPr>
              <w:t>177.5</w:t>
            </w:r>
            <w:r>
              <w:rPr>
                <w:rFonts w:hint="eastAsia" w:cs="Times New Roman" w:eastAsiaTheme="minorEastAsia"/>
                <w:b/>
                <w:bCs/>
                <w:spacing w:val="-4"/>
                <w:sz w:val="21"/>
                <w:szCs w:val="21"/>
                <w:lang w:val="en-US" w:eastAsia="zh-CN"/>
              </w:rPr>
              <w:t>7</w:t>
            </w:r>
          </w:p>
        </w:tc>
      </w:tr>
      <w:tr>
        <w:tblPrEx>
          <w:tblBorders>
            <w:top w:val="single" w:color="000000" w:sz="4" w:space="0"/>
            <w:left w:val="none" w:color="auto" w:sz="0" w:space="0"/>
            <w:bottom w:val="single" w:color="000000" w:sz="4"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128" w:hRule="atLeast"/>
        </w:trPr>
        <w:tc>
          <w:tcPr>
            <w:tcW w:w="99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eastAsiaTheme="minorEastAsia"/>
                <w:sz w:val="21"/>
                <w:szCs w:val="21"/>
                <w:lang w:val="en-US" w:eastAsia="zh-CN"/>
              </w:rPr>
            </w:pPr>
            <w:bookmarkStart w:id="7" w:name="OLE_LINK1" w:colFirst="2" w:colLast="2"/>
            <w:r>
              <w:rPr>
                <w:rFonts w:hint="default" w:ascii="Times New Roman" w:hAnsi="Times New Roman" w:cs="Times New Roman" w:eastAsiaTheme="minorEastAsia"/>
                <w:sz w:val="21"/>
                <w:szCs w:val="21"/>
                <w:lang w:val="en-US" w:eastAsia="zh-CN"/>
              </w:rPr>
              <w:t>1</w:t>
            </w:r>
          </w:p>
        </w:tc>
        <w:tc>
          <w:tcPr>
            <w:tcW w:w="2657"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基本工资</w:t>
            </w:r>
          </w:p>
        </w:tc>
        <w:tc>
          <w:tcPr>
            <w:tcW w:w="1349"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48.9</w:t>
            </w:r>
            <w:r>
              <w:rPr>
                <w:rFonts w:hint="eastAsia" w:cs="Times New Roman" w:eastAsiaTheme="minorEastAsia"/>
                <w:i w:val="0"/>
                <w:iCs w:val="0"/>
                <w:color w:val="000000"/>
                <w:kern w:val="0"/>
                <w:sz w:val="21"/>
                <w:szCs w:val="21"/>
                <w:u w:val="none"/>
                <w:lang w:val="en-US" w:eastAsia="zh-CN" w:bidi="ar"/>
              </w:rPr>
              <w:t>7</w:t>
            </w:r>
          </w:p>
        </w:tc>
      </w:tr>
      <w:tr>
        <w:tblPrEx>
          <w:tblBorders>
            <w:top w:val="single" w:color="000000" w:sz="4" w:space="0"/>
            <w:left w:val="none" w:color="auto" w:sz="0" w:space="0"/>
            <w:bottom w:val="single" w:color="000000" w:sz="4"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128" w:hRule="atLeast"/>
        </w:trPr>
        <w:tc>
          <w:tcPr>
            <w:tcW w:w="99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w:t>
            </w:r>
          </w:p>
        </w:tc>
        <w:tc>
          <w:tcPr>
            <w:tcW w:w="2657"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津贴补贴</w:t>
            </w:r>
          </w:p>
        </w:tc>
        <w:tc>
          <w:tcPr>
            <w:tcW w:w="1349"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6.4</w:t>
            </w:r>
            <w:r>
              <w:rPr>
                <w:rFonts w:hint="eastAsia" w:cs="Times New Roman" w:eastAsiaTheme="minorEastAsia"/>
                <w:i w:val="0"/>
                <w:iCs w:val="0"/>
                <w:color w:val="000000"/>
                <w:kern w:val="0"/>
                <w:sz w:val="21"/>
                <w:szCs w:val="21"/>
                <w:u w:val="none"/>
                <w:lang w:val="en-US" w:eastAsia="zh-CN" w:bidi="ar"/>
              </w:rPr>
              <w:t>7</w:t>
            </w:r>
          </w:p>
        </w:tc>
      </w:tr>
      <w:tr>
        <w:tblPrEx>
          <w:tblBorders>
            <w:top w:val="single" w:color="000000" w:sz="4" w:space="0"/>
            <w:left w:val="none" w:color="auto" w:sz="0" w:space="0"/>
            <w:bottom w:val="single" w:color="000000" w:sz="4"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128" w:hRule="atLeast"/>
        </w:trPr>
        <w:tc>
          <w:tcPr>
            <w:tcW w:w="99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3</w:t>
            </w:r>
          </w:p>
        </w:tc>
        <w:tc>
          <w:tcPr>
            <w:tcW w:w="2657"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奖金</w:t>
            </w:r>
          </w:p>
        </w:tc>
        <w:tc>
          <w:tcPr>
            <w:tcW w:w="1349"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58.4</w:t>
            </w:r>
            <w:r>
              <w:rPr>
                <w:rFonts w:hint="eastAsia" w:cs="Times New Roman" w:eastAsiaTheme="minorEastAsia"/>
                <w:i w:val="0"/>
                <w:iCs w:val="0"/>
                <w:color w:val="000000"/>
                <w:kern w:val="0"/>
                <w:sz w:val="21"/>
                <w:szCs w:val="21"/>
                <w:u w:val="none"/>
                <w:lang w:val="en-US" w:eastAsia="zh-CN" w:bidi="ar"/>
              </w:rPr>
              <w:t>4</w:t>
            </w:r>
          </w:p>
        </w:tc>
      </w:tr>
      <w:tr>
        <w:tblPrEx>
          <w:tblBorders>
            <w:top w:val="single" w:color="000000" w:sz="4" w:space="0"/>
            <w:left w:val="none" w:color="auto" w:sz="0" w:space="0"/>
            <w:bottom w:val="single" w:color="000000" w:sz="4"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128" w:hRule="atLeast"/>
        </w:trPr>
        <w:tc>
          <w:tcPr>
            <w:tcW w:w="99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4</w:t>
            </w:r>
          </w:p>
        </w:tc>
        <w:tc>
          <w:tcPr>
            <w:tcW w:w="2657"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绩效工资</w:t>
            </w:r>
          </w:p>
        </w:tc>
        <w:tc>
          <w:tcPr>
            <w:tcW w:w="1349"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0.39</w:t>
            </w:r>
          </w:p>
        </w:tc>
      </w:tr>
      <w:tr>
        <w:tblPrEx>
          <w:tblBorders>
            <w:top w:val="single" w:color="000000" w:sz="4" w:space="0"/>
            <w:left w:val="none" w:color="auto" w:sz="0" w:space="0"/>
            <w:bottom w:val="single" w:color="000000" w:sz="4"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128" w:hRule="atLeast"/>
        </w:trPr>
        <w:tc>
          <w:tcPr>
            <w:tcW w:w="99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5</w:t>
            </w:r>
          </w:p>
        </w:tc>
        <w:tc>
          <w:tcPr>
            <w:tcW w:w="2657"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机关事业单位基本养老保险缴费</w:t>
            </w:r>
          </w:p>
        </w:tc>
        <w:tc>
          <w:tcPr>
            <w:tcW w:w="1349"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18.92</w:t>
            </w:r>
          </w:p>
        </w:tc>
      </w:tr>
      <w:tr>
        <w:tblPrEx>
          <w:tblBorders>
            <w:top w:val="single" w:color="000000" w:sz="4" w:space="0"/>
            <w:left w:val="none" w:color="auto" w:sz="0" w:space="0"/>
            <w:bottom w:val="single" w:color="000000" w:sz="4"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128" w:hRule="atLeast"/>
        </w:trPr>
        <w:tc>
          <w:tcPr>
            <w:tcW w:w="99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6</w:t>
            </w:r>
          </w:p>
        </w:tc>
        <w:tc>
          <w:tcPr>
            <w:tcW w:w="2657"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职业年金缴费</w:t>
            </w:r>
          </w:p>
        </w:tc>
        <w:tc>
          <w:tcPr>
            <w:tcW w:w="1349"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3.04</w:t>
            </w:r>
          </w:p>
        </w:tc>
      </w:tr>
      <w:tr>
        <w:tblPrEx>
          <w:tblBorders>
            <w:top w:val="single" w:color="000000" w:sz="4" w:space="0"/>
            <w:left w:val="none" w:color="auto" w:sz="0" w:space="0"/>
            <w:bottom w:val="single" w:color="000000" w:sz="4"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128" w:hRule="atLeast"/>
        </w:trPr>
        <w:tc>
          <w:tcPr>
            <w:tcW w:w="99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7</w:t>
            </w:r>
          </w:p>
        </w:tc>
        <w:tc>
          <w:tcPr>
            <w:tcW w:w="2657"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职工基本医疗保险缴费</w:t>
            </w:r>
          </w:p>
        </w:tc>
        <w:tc>
          <w:tcPr>
            <w:tcW w:w="1349"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15.35</w:t>
            </w:r>
          </w:p>
        </w:tc>
      </w:tr>
      <w:tr>
        <w:tblPrEx>
          <w:tblBorders>
            <w:top w:val="single" w:color="000000" w:sz="4" w:space="0"/>
            <w:left w:val="none" w:color="auto" w:sz="0" w:space="0"/>
            <w:bottom w:val="single" w:color="000000" w:sz="4"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128" w:hRule="atLeast"/>
        </w:trPr>
        <w:tc>
          <w:tcPr>
            <w:tcW w:w="99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8</w:t>
            </w:r>
          </w:p>
        </w:tc>
        <w:tc>
          <w:tcPr>
            <w:tcW w:w="2657"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其他社会保障缴费</w:t>
            </w:r>
          </w:p>
        </w:tc>
        <w:tc>
          <w:tcPr>
            <w:tcW w:w="1349"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0.91</w:t>
            </w:r>
          </w:p>
        </w:tc>
      </w:tr>
      <w:tr>
        <w:tblPrEx>
          <w:tblBorders>
            <w:top w:val="single" w:color="000000" w:sz="4" w:space="0"/>
            <w:left w:val="none" w:color="auto" w:sz="0" w:space="0"/>
            <w:bottom w:val="single" w:color="000000" w:sz="4"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128" w:hRule="atLeast"/>
        </w:trPr>
        <w:tc>
          <w:tcPr>
            <w:tcW w:w="99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9</w:t>
            </w:r>
          </w:p>
        </w:tc>
        <w:tc>
          <w:tcPr>
            <w:tcW w:w="2657"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住房公积金</w:t>
            </w:r>
          </w:p>
        </w:tc>
        <w:tc>
          <w:tcPr>
            <w:tcW w:w="1349"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25.08</w:t>
            </w:r>
          </w:p>
        </w:tc>
      </w:tr>
      <w:tr>
        <w:tblPrEx>
          <w:tblBorders>
            <w:top w:val="single" w:color="000000" w:sz="4" w:space="0"/>
            <w:left w:val="none" w:color="auto" w:sz="0" w:space="0"/>
            <w:bottom w:val="single" w:color="000000" w:sz="4"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128" w:hRule="atLeast"/>
        </w:trPr>
        <w:tc>
          <w:tcPr>
            <w:tcW w:w="99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eastAsiaTheme="minorEastAsia"/>
                <w:snapToGrid w:val="0"/>
                <w:color w:val="000000"/>
                <w:kern w:val="0"/>
                <w:sz w:val="21"/>
                <w:szCs w:val="21"/>
                <w:lang w:val="en-US" w:eastAsia="zh-CN"/>
              </w:rPr>
            </w:pPr>
            <w:r>
              <w:rPr>
                <w:rFonts w:hint="default" w:ascii="Times New Roman" w:hAnsi="Times New Roman" w:cs="Times New Roman" w:eastAsiaTheme="minorEastAsia"/>
                <w:b/>
                <w:bCs/>
                <w:position w:val="-4"/>
                <w:sz w:val="21"/>
                <w:szCs w:val="21"/>
              </w:rPr>
              <w:t>二</w:t>
            </w:r>
          </w:p>
        </w:tc>
        <w:tc>
          <w:tcPr>
            <w:tcW w:w="265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b/>
                <w:bCs/>
                <w:spacing w:val="-1"/>
                <w:sz w:val="21"/>
                <w:szCs w:val="21"/>
              </w:rPr>
              <w:t>公用经费</w:t>
            </w:r>
          </w:p>
        </w:tc>
        <w:tc>
          <w:tcPr>
            <w:tcW w:w="134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eastAsiaTheme="minorEastAsia"/>
                <w:snapToGrid w:val="0"/>
                <w:color w:val="000000"/>
                <w:kern w:val="0"/>
                <w:sz w:val="21"/>
                <w:szCs w:val="21"/>
                <w:lang w:val="en-US" w:eastAsia="zh-CN"/>
              </w:rPr>
            </w:pPr>
            <w:r>
              <w:rPr>
                <w:rFonts w:hint="default" w:ascii="Times New Roman" w:hAnsi="Times New Roman" w:cs="Times New Roman" w:eastAsiaTheme="minorEastAsia"/>
                <w:b/>
                <w:bCs/>
                <w:spacing w:val="-4"/>
                <w:sz w:val="21"/>
                <w:szCs w:val="21"/>
                <w:lang w:val="en-US" w:eastAsia="zh-CN"/>
              </w:rPr>
              <w:t>74.97</w:t>
            </w:r>
          </w:p>
        </w:tc>
      </w:tr>
      <w:tr>
        <w:tblPrEx>
          <w:tblBorders>
            <w:top w:val="single" w:color="000000" w:sz="4" w:space="0"/>
            <w:left w:val="none" w:color="auto" w:sz="0" w:space="0"/>
            <w:bottom w:val="single" w:color="000000" w:sz="4"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128" w:hRule="atLeast"/>
        </w:trPr>
        <w:tc>
          <w:tcPr>
            <w:tcW w:w="99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eastAsiaTheme="minorEastAsia"/>
                <w:snapToGrid w:val="0"/>
                <w:color w:val="000000"/>
                <w:kern w:val="0"/>
                <w:sz w:val="21"/>
                <w:szCs w:val="21"/>
                <w:lang w:val="en-US" w:eastAsia="zh-CN"/>
              </w:rPr>
            </w:pPr>
            <w:r>
              <w:rPr>
                <w:rFonts w:hint="default" w:ascii="Times New Roman" w:hAnsi="Times New Roman" w:cs="Times New Roman" w:eastAsiaTheme="minorEastAsia"/>
                <w:sz w:val="21"/>
                <w:szCs w:val="21"/>
              </w:rPr>
              <w:t>1</w:t>
            </w:r>
          </w:p>
        </w:tc>
        <w:tc>
          <w:tcPr>
            <w:tcW w:w="2657"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办公费</w:t>
            </w:r>
          </w:p>
        </w:tc>
        <w:tc>
          <w:tcPr>
            <w:tcW w:w="1349" w:type="pct"/>
            <w:tcBorders>
              <w:tl2br w:val="nil"/>
              <w:tr2bl w:val="nil"/>
            </w:tcBorders>
            <w:vAlign w:val="bottom"/>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0.81</w:t>
            </w:r>
          </w:p>
        </w:tc>
      </w:tr>
      <w:tr>
        <w:tblPrEx>
          <w:tblBorders>
            <w:top w:val="single" w:color="000000" w:sz="4" w:space="0"/>
            <w:left w:val="none" w:color="auto" w:sz="0" w:space="0"/>
            <w:bottom w:val="single" w:color="000000" w:sz="4"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128" w:hRule="atLeast"/>
        </w:trPr>
        <w:tc>
          <w:tcPr>
            <w:tcW w:w="99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eastAsiaTheme="minorEastAsia"/>
                <w:snapToGrid w:val="0"/>
                <w:color w:val="000000"/>
                <w:kern w:val="0"/>
                <w:sz w:val="21"/>
                <w:szCs w:val="21"/>
                <w:lang w:val="en-US" w:eastAsia="zh-CN"/>
              </w:rPr>
            </w:pPr>
            <w:r>
              <w:rPr>
                <w:rFonts w:hint="default" w:ascii="Times New Roman" w:hAnsi="Times New Roman" w:cs="Times New Roman" w:eastAsiaTheme="minorEastAsia"/>
                <w:sz w:val="21"/>
                <w:szCs w:val="21"/>
              </w:rPr>
              <w:t>2</w:t>
            </w:r>
          </w:p>
        </w:tc>
        <w:tc>
          <w:tcPr>
            <w:tcW w:w="2657"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印刷费</w:t>
            </w:r>
          </w:p>
        </w:tc>
        <w:tc>
          <w:tcPr>
            <w:tcW w:w="1349" w:type="pct"/>
            <w:tcBorders>
              <w:tl2br w:val="nil"/>
              <w:tr2bl w:val="nil"/>
            </w:tcBorders>
            <w:vAlign w:val="bottom"/>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0.68</w:t>
            </w:r>
          </w:p>
        </w:tc>
      </w:tr>
      <w:tr>
        <w:tblPrEx>
          <w:tblBorders>
            <w:top w:val="single" w:color="000000" w:sz="4" w:space="0"/>
            <w:left w:val="none" w:color="auto" w:sz="0" w:space="0"/>
            <w:bottom w:val="single" w:color="000000" w:sz="4"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128" w:hRule="atLeast"/>
        </w:trPr>
        <w:tc>
          <w:tcPr>
            <w:tcW w:w="99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eastAsiaTheme="minorEastAsia"/>
                <w:snapToGrid w:val="0"/>
                <w:color w:val="000000"/>
                <w:kern w:val="0"/>
                <w:sz w:val="21"/>
                <w:szCs w:val="21"/>
                <w:lang w:val="en-US" w:eastAsia="zh-CN"/>
              </w:rPr>
            </w:pPr>
            <w:r>
              <w:rPr>
                <w:rFonts w:hint="default" w:ascii="Times New Roman" w:hAnsi="Times New Roman" w:cs="Times New Roman" w:eastAsiaTheme="minorEastAsia"/>
                <w:sz w:val="21"/>
                <w:szCs w:val="21"/>
              </w:rPr>
              <w:t>3</w:t>
            </w:r>
          </w:p>
        </w:tc>
        <w:tc>
          <w:tcPr>
            <w:tcW w:w="2657"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咨询费</w:t>
            </w:r>
          </w:p>
        </w:tc>
        <w:tc>
          <w:tcPr>
            <w:tcW w:w="1349" w:type="pct"/>
            <w:tcBorders>
              <w:tl2br w:val="nil"/>
              <w:tr2bl w:val="nil"/>
            </w:tcBorders>
            <w:vAlign w:val="bottom"/>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0.20</w:t>
            </w:r>
          </w:p>
        </w:tc>
      </w:tr>
      <w:tr>
        <w:tblPrEx>
          <w:tblBorders>
            <w:top w:val="single" w:color="000000" w:sz="4" w:space="0"/>
            <w:left w:val="none" w:color="auto" w:sz="0" w:space="0"/>
            <w:bottom w:val="single" w:color="000000" w:sz="4"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128" w:hRule="atLeast"/>
        </w:trPr>
        <w:tc>
          <w:tcPr>
            <w:tcW w:w="99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eastAsiaTheme="minorEastAsia"/>
                <w:snapToGrid w:val="0"/>
                <w:color w:val="000000"/>
                <w:kern w:val="0"/>
                <w:sz w:val="21"/>
                <w:szCs w:val="21"/>
                <w:lang w:val="en-US" w:eastAsia="zh-CN"/>
              </w:rPr>
            </w:pPr>
            <w:r>
              <w:rPr>
                <w:rFonts w:hint="default" w:ascii="Times New Roman" w:hAnsi="Times New Roman" w:cs="Times New Roman" w:eastAsiaTheme="minorEastAsia"/>
                <w:sz w:val="21"/>
                <w:szCs w:val="21"/>
              </w:rPr>
              <w:t>4</w:t>
            </w:r>
          </w:p>
        </w:tc>
        <w:tc>
          <w:tcPr>
            <w:tcW w:w="2657"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电费</w:t>
            </w:r>
          </w:p>
        </w:tc>
        <w:tc>
          <w:tcPr>
            <w:tcW w:w="1349" w:type="pct"/>
            <w:tcBorders>
              <w:tl2br w:val="nil"/>
              <w:tr2bl w:val="nil"/>
            </w:tcBorders>
            <w:vAlign w:val="bottom"/>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0.94</w:t>
            </w:r>
          </w:p>
        </w:tc>
      </w:tr>
      <w:tr>
        <w:tblPrEx>
          <w:tblBorders>
            <w:top w:val="single" w:color="000000" w:sz="4" w:space="0"/>
            <w:left w:val="none" w:color="auto" w:sz="0" w:space="0"/>
            <w:bottom w:val="single" w:color="000000" w:sz="4"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128" w:hRule="atLeast"/>
        </w:trPr>
        <w:tc>
          <w:tcPr>
            <w:tcW w:w="99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eastAsiaTheme="minorEastAsia"/>
                <w:snapToGrid w:val="0"/>
                <w:color w:val="000000"/>
                <w:kern w:val="0"/>
                <w:sz w:val="21"/>
                <w:szCs w:val="21"/>
                <w:lang w:val="en-US" w:eastAsia="zh-CN"/>
              </w:rPr>
            </w:pPr>
            <w:r>
              <w:rPr>
                <w:rFonts w:hint="default" w:ascii="Times New Roman" w:hAnsi="Times New Roman" w:cs="Times New Roman" w:eastAsiaTheme="minorEastAsia"/>
                <w:sz w:val="21"/>
                <w:szCs w:val="21"/>
              </w:rPr>
              <w:t>5</w:t>
            </w:r>
          </w:p>
        </w:tc>
        <w:tc>
          <w:tcPr>
            <w:tcW w:w="2657"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培训费</w:t>
            </w:r>
          </w:p>
        </w:tc>
        <w:tc>
          <w:tcPr>
            <w:tcW w:w="1349" w:type="pct"/>
            <w:tcBorders>
              <w:tl2br w:val="nil"/>
              <w:tr2bl w:val="nil"/>
            </w:tcBorders>
            <w:vAlign w:val="bottom"/>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0.20</w:t>
            </w:r>
          </w:p>
        </w:tc>
      </w:tr>
      <w:tr>
        <w:tblPrEx>
          <w:tblBorders>
            <w:top w:val="single" w:color="000000" w:sz="4" w:space="0"/>
            <w:left w:val="none" w:color="auto" w:sz="0" w:space="0"/>
            <w:bottom w:val="single" w:color="000000" w:sz="4"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128" w:hRule="atLeast"/>
        </w:trPr>
        <w:tc>
          <w:tcPr>
            <w:tcW w:w="99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eastAsiaTheme="minorEastAsia"/>
                <w:snapToGrid w:val="0"/>
                <w:color w:val="000000"/>
                <w:kern w:val="0"/>
                <w:sz w:val="21"/>
                <w:szCs w:val="21"/>
                <w:lang w:val="en-US" w:eastAsia="zh-CN"/>
              </w:rPr>
            </w:pPr>
            <w:r>
              <w:rPr>
                <w:rFonts w:hint="default" w:ascii="Times New Roman" w:hAnsi="Times New Roman" w:cs="Times New Roman" w:eastAsiaTheme="minorEastAsia"/>
                <w:sz w:val="21"/>
                <w:szCs w:val="21"/>
              </w:rPr>
              <w:t>6</w:t>
            </w:r>
          </w:p>
        </w:tc>
        <w:tc>
          <w:tcPr>
            <w:tcW w:w="2657"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专用材料费</w:t>
            </w:r>
          </w:p>
        </w:tc>
        <w:tc>
          <w:tcPr>
            <w:tcW w:w="1349" w:type="pct"/>
            <w:tcBorders>
              <w:tl2br w:val="nil"/>
              <w:tr2bl w:val="nil"/>
            </w:tcBorders>
            <w:vAlign w:val="bottom"/>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8.66</w:t>
            </w:r>
          </w:p>
        </w:tc>
      </w:tr>
      <w:tr>
        <w:tblPrEx>
          <w:tblBorders>
            <w:top w:val="single" w:color="000000" w:sz="4" w:space="0"/>
            <w:left w:val="none" w:color="auto" w:sz="0" w:space="0"/>
            <w:bottom w:val="single" w:color="000000" w:sz="4"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128" w:hRule="atLeast"/>
        </w:trPr>
        <w:tc>
          <w:tcPr>
            <w:tcW w:w="99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eastAsiaTheme="minorEastAsia"/>
                <w:snapToGrid w:val="0"/>
                <w:color w:val="000000"/>
                <w:kern w:val="0"/>
                <w:sz w:val="21"/>
                <w:szCs w:val="21"/>
                <w:lang w:val="en-US" w:eastAsia="zh-CN"/>
              </w:rPr>
            </w:pPr>
            <w:r>
              <w:rPr>
                <w:rFonts w:hint="default" w:ascii="Times New Roman" w:hAnsi="Times New Roman" w:cs="Times New Roman" w:eastAsiaTheme="minorEastAsia"/>
                <w:sz w:val="21"/>
                <w:szCs w:val="21"/>
              </w:rPr>
              <w:t>7</w:t>
            </w:r>
          </w:p>
        </w:tc>
        <w:tc>
          <w:tcPr>
            <w:tcW w:w="2657"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劳务费</w:t>
            </w:r>
          </w:p>
        </w:tc>
        <w:tc>
          <w:tcPr>
            <w:tcW w:w="1349" w:type="pct"/>
            <w:tcBorders>
              <w:tl2br w:val="nil"/>
              <w:tr2bl w:val="nil"/>
            </w:tcBorders>
            <w:vAlign w:val="bottom"/>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30.53</w:t>
            </w:r>
          </w:p>
        </w:tc>
      </w:tr>
      <w:tr>
        <w:tblPrEx>
          <w:tblBorders>
            <w:top w:val="single" w:color="000000" w:sz="4" w:space="0"/>
            <w:left w:val="none" w:color="auto" w:sz="0" w:space="0"/>
            <w:bottom w:val="single" w:color="000000" w:sz="4"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128" w:hRule="atLeast"/>
        </w:trPr>
        <w:tc>
          <w:tcPr>
            <w:tcW w:w="99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eastAsiaTheme="minorEastAsia"/>
                <w:snapToGrid w:val="0"/>
                <w:color w:val="000000"/>
                <w:kern w:val="0"/>
                <w:sz w:val="21"/>
                <w:szCs w:val="21"/>
                <w:lang w:val="en-US" w:eastAsia="zh-CN"/>
              </w:rPr>
            </w:pPr>
            <w:r>
              <w:rPr>
                <w:rFonts w:hint="default" w:ascii="Times New Roman" w:hAnsi="Times New Roman" w:cs="Times New Roman" w:eastAsiaTheme="minorEastAsia"/>
                <w:sz w:val="21"/>
                <w:szCs w:val="21"/>
              </w:rPr>
              <w:t>8</w:t>
            </w:r>
          </w:p>
        </w:tc>
        <w:tc>
          <w:tcPr>
            <w:tcW w:w="2657"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其他交通费用</w:t>
            </w:r>
          </w:p>
        </w:tc>
        <w:tc>
          <w:tcPr>
            <w:tcW w:w="1349" w:type="pct"/>
            <w:tcBorders>
              <w:tl2br w:val="nil"/>
              <w:tr2bl w:val="nil"/>
            </w:tcBorders>
            <w:vAlign w:val="bottom"/>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9.48</w:t>
            </w:r>
          </w:p>
        </w:tc>
      </w:tr>
      <w:tr>
        <w:tblPrEx>
          <w:tblBorders>
            <w:top w:val="single" w:color="000000" w:sz="4" w:space="0"/>
            <w:left w:val="none" w:color="auto" w:sz="0" w:space="0"/>
            <w:bottom w:val="single" w:color="000000" w:sz="4"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128" w:hRule="atLeast"/>
        </w:trPr>
        <w:tc>
          <w:tcPr>
            <w:tcW w:w="99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eastAsiaTheme="minorEastAsia"/>
                <w:snapToGrid w:val="0"/>
                <w:color w:val="000000"/>
                <w:kern w:val="0"/>
                <w:sz w:val="21"/>
                <w:szCs w:val="21"/>
                <w:lang w:val="en-US" w:eastAsia="zh-CN"/>
              </w:rPr>
            </w:pPr>
            <w:r>
              <w:rPr>
                <w:rFonts w:hint="default" w:ascii="Times New Roman" w:hAnsi="Times New Roman" w:cs="Times New Roman" w:eastAsiaTheme="minorEastAsia"/>
                <w:sz w:val="21"/>
                <w:szCs w:val="21"/>
              </w:rPr>
              <w:t>9</w:t>
            </w:r>
          </w:p>
        </w:tc>
        <w:tc>
          <w:tcPr>
            <w:tcW w:w="2657"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其他商品和服务支出</w:t>
            </w:r>
          </w:p>
        </w:tc>
        <w:tc>
          <w:tcPr>
            <w:tcW w:w="1349" w:type="pct"/>
            <w:tcBorders>
              <w:tl2br w:val="nil"/>
              <w:tr2bl w:val="nil"/>
            </w:tcBorders>
            <w:vAlign w:val="bottom"/>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22.67</w:t>
            </w:r>
          </w:p>
        </w:tc>
      </w:tr>
      <w:tr>
        <w:tblPrEx>
          <w:tblBorders>
            <w:top w:val="single" w:color="000000" w:sz="4" w:space="0"/>
            <w:left w:val="none" w:color="auto" w:sz="0" w:space="0"/>
            <w:bottom w:val="single" w:color="000000" w:sz="4"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128" w:hRule="atLeast"/>
        </w:trPr>
        <w:tc>
          <w:tcPr>
            <w:tcW w:w="99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eastAsiaTheme="minorEastAsia"/>
                <w:snapToGrid w:val="0"/>
                <w:color w:val="000000"/>
                <w:kern w:val="0"/>
                <w:sz w:val="21"/>
                <w:szCs w:val="21"/>
                <w:lang w:val="en-US" w:eastAsia="zh-CN"/>
              </w:rPr>
            </w:pPr>
            <w:r>
              <w:rPr>
                <w:rFonts w:hint="default" w:ascii="Times New Roman" w:hAnsi="Times New Roman" w:cs="Times New Roman" w:eastAsiaTheme="minorEastAsia"/>
                <w:spacing w:val="-6"/>
                <w:sz w:val="21"/>
                <w:szCs w:val="21"/>
                <w:lang w:val="en-US" w:eastAsia="zh-CN"/>
              </w:rPr>
              <w:t>10</w:t>
            </w:r>
          </w:p>
        </w:tc>
        <w:tc>
          <w:tcPr>
            <w:tcW w:w="2657"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办公设备购置</w:t>
            </w:r>
          </w:p>
        </w:tc>
        <w:tc>
          <w:tcPr>
            <w:tcW w:w="1349" w:type="pct"/>
            <w:tcBorders>
              <w:tl2br w:val="nil"/>
              <w:tr2bl w:val="nil"/>
            </w:tcBorders>
            <w:vAlign w:val="bottom"/>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0.80</w:t>
            </w:r>
          </w:p>
        </w:tc>
      </w:tr>
      <w:tr>
        <w:tblPrEx>
          <w:tblBorders>
            <w:top w:val="single" w:color="000000" w:sz="4" w:space="0"/>
            <w:left w:val="none" w:color="auto" w:sz="0" w:space="0"/>
            <w:bottom w:val="single" w:color="000000" w:sz="4"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132" w:hRule="atLeast"/>
        </w:trPr>
        <w:tc>
          <w:tcPr>
            <w:tcW w:w="3650"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eastAsiaTheme="minorEastAsia"/>
                <w:snapToGrid w:val="0"/>
                <w:color w:val="000000"/>
                <w:kern w:val="0"/>
                <w:sz w:val="21"/>
                <w:szCs w:val="21"/>
              </w:rPr>
            </w:pPr>
            <w:r>
              <w:rPr>
                <w:rFonts w:hint="default" w:ascii="Times New Roman" w:hAnsi="Times New Roman" w:cs="Times New Roman" w:eastAsiaTheme="minorEastAsia"/>
                <w:b/>
                <w:bCs/>
                <w:spacing w:val="-3"/>
                <w:sz w:val="21"/>
                <w:szCs w:val="21"/>
              </w:rPr>
              <w:t>合计</w:t>
            </w:r>
          </w:p>
        </w:tc>
        <w:tc>
          <w:tcPr>
            <w:tcW w:w="134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eastAsiaTheme="minorEastAsia"/>
                <w:snapToGrid w:val="0"/>
                <w:color w:val="000000"/>
                <w:kern w:val="0"/>
                <w:sz w:val="21"/>
                <w:szCs w:val="21"/>
                <w:lang w:val="en-US" w:eastAsia="zh-CN"/>
              </w:rPr>
            </w:pPr>
            <w:r>
              <w:rPr>
                <w:rFonts w:hint="default" w:ascii="Times New Roman" w:hAnsi="Times New Roman" w:cs="Times New Roman" w:eastAsiaTheme="minorEastAsia"/>
                <w:b/>
                <w:bCs/>
                <w:spacing w:val="-4"/>
                <w:sz w:val="21"/>
                <w:szCs w:val="21"/>
                <w:lang w:val="en-US" w:eastAsia="zh-CN"/>
              </w:rPr>
              <w:t>252.54</w:t>
            </w:r>
          </w:p>
        </w:tc>
      </w:tr>
      <w:bookmarkEnd w:id="7"/>
    </w:tbl>
    <w:p>
      <w:pPr>
        <w:pStyle w:val="7"/>
        <w:bidi w:val="0"/>
        <w:rPr>
          <w:rFonts w:hint="default" w:ascii="Times New Roman" w:hAnsi="Times New Roman" w:eastAsia="仿宋" w:cs="Times New Roman"/>
          <w:b w:val="0"/>
          <w:bCs w:val="0"/>
          <w:sz w:val="32"/>
          <w:szCs w:val="32"/>
          <w:lang w:val="en-US" w:eastAsia="zh-CN"/>
        </w:rPr>
      </w:pPr>
      <w:r>
        <w:rPr>
          <w:rFonts w:hint="default" w:ascii="Times New Roman" w:hAnsi="Times New Roman" w:eastAsia="仿宋" w:cs="Times New Roman"/>
          <w:b/>
          <w:bCs/>
          <w:sz w:val="32"/>
          <w:szCs w:val="32"/>
          <w:lang w:val="en-US" w:eastAsia="zh-CN"/>
        </w:rPr>
        <w:t>2、“三公经费”支出情况</w:t>
      </w:r>
    </w:p>
    <w:p>
      <w:pPr>
        <w:bidi w:val="0"/>
        <w:rPr>
          <w:rFonts w:hint="default" w:ascii="Times New Roman" w:hAnsi="Times New Roman" w:eastAsia="仿宋" w:cs="Times New Roman"/>
          <w:b w:val="0"/>
          <w:bCs w:val="0"/>
          <w:color w:val="FF0000"/>
          <w:sz w:val="32"/>
          <w:szCs w:val="32"/>
          <w:lang w:val="en-US" w:eastAsia="zh-CN"/>
        </w:rPr>
      </w:pPr>
      <w:r>
        <w:rPr>
          <w:rFonts w:hint="default" w:ascii="Times New Roman" w:hAnsi="Times New Roman" w:eastAsia="仿宋" w:cs="Times New Roman"/>
          <w:b w:val="0"/>
          <w:bCs w:val="0"/>
          <w:sz w:val="32"/>
          <w:szCs w:val="32"/>
          <w:lang w:val="en-US" w:eastAsia="zh-CN"/>
        </w:rPr>
        <w:t>根据畜牧水产中心2022年度部门决算报表，2022年“三公经费”年初预算数为0.50万元</w:t>
      </w:r>
      <w:r>
        <w:rPr>
          <w:rFonts w:hint="default" w:ascii="Times New Roman" w:hAnsi="Times New Roman" w:eastAsia="仿宋" w:cs="Times New Roman"/>
          <w:b w:val="0"/>
          <w:bCs w:val="0"/>
          <w:color w:val="auto"/>
          <w:sz w:val="32"/>
          <w:szCs w:val="32"/>
          <w:lang w:val="en-US" w:eastAsia="zh-CN"/>
        </w:rPr>
        <w:t>，2022年共计支出0.00万元，其中公务用车购置及运行维护费0.00万元，公务接待费0.50万元，因公出国（境）费用0.00元。具体见下表：</w:t>
      </w:r>
    </w:p>
    <w:tbl>
      <w:tblPr>
        <w:tblStyle w:val="20"/>
        <w:tblW w:w="0" w:type="auto"/>
        <w:tblInd w:w="0" w:type="dxa"/>
        <w:tblBorders>
          <w:top w:val="single" w:color="auto" w:sz="4" w:space="0"/>
          <w:left w:val="none" w:color="auto" w:sz="0" w:space="0"/>
          <w:bottom w:val="single" w:color="auto" w:sz="4"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3437"/>
        <w:gridCol w:w="1741"/>
        <w:gridCol w:w="1700"/>
        <w:gridCol w:w="1730"/>
      </w:tblGrid>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454" w:hRule="atLeast"/>
        </w:trPr>
        <w:tc>
          <w:tcPr>
            <w:tcW w:w="3437" w:type="dxa"/>
            <w:tcBorders>
              <w:bottom w:val="single" w:color="000000" w:sz="4" w:space="0"/>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bCs/>
                <w:sz w:val="21"/>
                <w:szCs w:val="21"/>
                <w:vertAlign w:val="baseline"/>
                <w:lang w:val="en-US" w:eastAsia="zh-CN"/>
              </w:rPr>
            </w:pPr>
            <w:r>
              <w:rPr>
                <w:rFonts w:hint="default" w:ascii="Times New Roman" w:hAnsi="Times New Roman" w:cs="Times New Roman" w:eastAsiaTheme="minorEastAsia"/>
                <w:b/>
                <w:bCs/>
                <w:sz w:val="21"/>
                <w:szCs w:val="21"/>
                <w:vertAlign w:val="baseline"/>
                <w:lang w:val="en-US" w:eastAsia="zh-CN"/>
              </w:rPr>
              <w:t>“三公经费”类别</w:t>
            </w:r>
          </w:p>
        </w:tc>
        <w:tc>
          <w:tcPr>
            <w:tcW w:w="1741" w:type="dxa"/>
            <w:tcBorders>
              <w:bottom w:val="single" w:color="000000" w:sz="4" w:space="0"/>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bCs/>
                <w:sz w:val="21"/>
                <w:szCs w:val="21"/>
                <w:vertAlign w:val="baseline"/>
                <w:lang w:val="en-US" w:eastAsia="zh-CN"/>
              </w:rPr>
            </w:pPr>
            <w:r>
              <w:rPr>
                <w:rFonts w:hint="default" w:ascii="Times New Roman" w:hAnsi="Times New Roman" w:cs="Times New Roman" w:eastAsiaTheme="minorEastAsia"/>
                <w:b/>
                <w:bCs/>
                <w:sz w:val="21"/>
                <w:szCs w:val="21"/>
                <w:vertAlign w:val="baseline"/>
                <w:lang w:val="en-US" w:eastAsia="zh-CN"/>
              </w:rPr>
              <w:t>预算数</w:t>
            </w:r>
          </w:p>
        </w:tc>
        <w:tc>
          <w:tcPr>
            <w:tcW w:w="1700" w:type="dxa"/>
            <w:tcBorders>
              <w:bottom w:val="single" w:color="000000" w:sz="4" w:space="0"/>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bCs/>
                <w:sz w:val="21"/>
                <w:szCs w:val="21"/>
                <w:vertAlign w:val="baseline"/>
                <w:lang w:val="en-US" w:eastAsia="zh-CN"/>
              </w:rPr>
            </w:pPr>
            <w:r>
              <w:rPr>
                <w:rFonts w:hint="default" w:ascii="Times New Roman" w:hAnsi="Times New Roman" w:cs="Times New Roman" w:eastAsiaTheme="minorEastAsia"/>
                <w:b/>
                <w:bCs/>
                <w:sz w:val="21"/>
                <w:szCs w:val="21"/>
                <w:vertAlign w:val="baseline"/>
                <w:lang w:val="en-US" w:eastAsia="zh-CN"/>
              </w:rPr>
              <w:t>决算数</w:t>
            </w:r>
          </w:p>
        </w:tc>
        <w:tc>
          <w:tcPr>
            <w:tcW w:w="1730" w:type="dxa"/>
            <w:tcBorders>
              <w:bottom w:val="single" w:color="000000" w:sz="4" w:space="0"/>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bCs/>
                <w:sz w:val="21"/>
                <w:szCs w:val="21"/>
                <w:vertAlign w:val="baseline"/>
                <w:lang w:val="en-US" w:eastAsia="zh-CN"/>
              </w:rPr>
            </w:pPr>
            <w:r>
              <w:rPr>
                <w:rFonts w:hint="default" w:ascii="Times New Roman" w:hAnsi="Times New Roman" w:cs="Times New Roman" w:eastAsiaTheme="minorEastAsia"/>
                <w:b/>
                <w:bCs/>
                <w:sz w:val="21"/>
                <w:szCs w:val="21"/>
                <w:vertAlign w:val="baseline"/>
                <w:lang w:val="en-US" w:eastAsia="zh-CN"/>
              </w:rPr>
              <w:t>偏离预算数</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3437" w:type="dxa"/>
            <w:tcBorders>
              <w:top w:val="single" w:color="000000" w:sz="4" w:space="0"/>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eastAsiaTheme="minorEastAsia"/>
                <w:b w:val="0"/>
                <w:bCs w:val="0"/>
                <w:sz w:val="21"/>
                <w:szCs w:val="21"/>
                <w:vertAlign w:val="baseline"/>
                <w:lang w:val="en-US" w:eastAsia="zh-CN"/>
              </w:rPr>
            </w:pPr>
            <w:r>
              <w:rPr>
                <w:rFonts w:hint="default" w:ascii="Times New Roman" w:hAnsi="Times New Roman" w:cs="Times New Roman" w:eastAsiaTheme="minorEastAsia"/>
                <w:b w:val="0"/>
                <w:bCs w:val="0"/>
                <w:sz w:val="21"/>
                <w:szCs w:val="21"/>
                <w:vertAlign w:val="baseline"/>
                <w:lang w:val="en-US" w:eastAsia="zh-CN"/>
              </w:rPr>
              <w:t>因公出国（境）费</w:t>
            </w:r>
          </w:p>
        </w:tc>
        <w:tc>
          <w:tcPr>
            <w:tcW w:w="1741" w:type="dxa"/>
            <w:tcBorders>
              <w:top w:val="single" w:color="000000" w:sz="4" w:space="0"/>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val="0"/>
                <w:bCs w:val="0"/>
                <w:sz w:val="21"/>
                <w:szCs w:val="21"/>
                <w:vertAlign w:val="baseline"/>
                <w:lang w:val="en-US" w:eastAsia="zh-CN"/>
              </w:rPr>
            </w:pPr>
            <w:r>
              <w:rPr>
                <w:rFonts w:hint="default" w:ascii="Times New Roman" w:hAnsi="Times New Roman" w:cs="Times New Roman" w:eastAsiaTheme="minorEastAsia"/>
                <w:b w:val="0"/>
                <w:bCs w:val="0"/>
                <w:sz w:val="21"/>
                <w:szCs w:val="21"/>
                <w:vertAlign w:val="baseline"/>
                <w:lang w:val="en-US" w:eastAsia="zh-CN"/>
              </w:rPr>
              <w:t>0.00</w:t>
            </w:r>
          </w:p>
        </w:tc>
        <w:tc>
          <w:tcPr>
            <w:tcW w:w="1700" w:type="dxa"/>
            <w:tcBorders>
              <w:top w:val="single" w:color="000000" w:sz="4" w:space="0"/>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val="0"/>
                <w:bCs w:val="0"/>
                <w:sz w:val="21"/>
                <w:szCs w:val="21"/>
                <w:vertAlign w:val="baseline"/>
                <w:lang w:val="en-US" w:eastAsia="zh-CN"/>
              </w:rPr>
            </w:pPr>
            <w:r>
              <w:rPr>
                <w:rFonts w:hint="default" w:ascii="Times New Roman" w:hAnsi="Times New Roman" w:cs="Times New Roman" w:eastAsiaTheme="minorEastAsia"/>
                <w:b w:val="0"/>
                <w:bCs w:val="0"/>
                <w:sz w:val="21"/>
                <w:szCs w:val="21"/>
                <w:vertAlign w:val="baseline"/>
                <w:lang w:val="en-US" w:eastAsia="zh-CN"/>
              </w:rPr>
              <w:t>0.00</w:t>
            </w:r>
          </w:p>
        </w:tc>
        <w:tc>
          <w:tcPr>
            <w:tcW w:w="1730" w:type="dxa"/>
            <w:tcBorders>
              <w:top w:val="single" w:color="000000" w:sz="4" w:space="0"/>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val="0"/>
                <w:bCs w:val="0"/>
                <w:sz w:val="21"/>
                <w:szCs w:val="21"/>
                <w:vertAlign w:val="baseline"/>
                <w:lang w:val="en-US" w:eastAsia="zh-CN"/>
              </w:rPr>
            </w:pPr>
            <w:r>
              <w:rPr>
                <w:rFonts w:hint="default" w:ascii="Times New Roman" w:hAnsi="Times New Roman" w:cs="Times New Roman" w:eastAsiaTheme="minorEastAsia"/>
                <w:b w:val="0"/>
                <w:bCs w:val="0"/>
                <w:sz w:val="21"/>
                <w:szCs w:val="21"/>
                <w:vertAlign w:val="baseline"/>
                <w:lang w:val="en-US" w:eastAsia="zh-CN"/>
              </w:rPr>
              <w:t>0.00</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3437"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eastAsiaTheme="minorEastAsia"/>
                <w:b w:val="0"/>
                <w:bCs w:val="0"/>
                <w:sz w:val="21"/>
                <w:szCs w:val="21"/>
                <w:vertAlign w:val="baseline"/>
                <w:lang w:val="en-US" w:eastAsia="zh-CN"/>
              </w:rPr>
            </w:pPr>
            <w:r>
              <w:rPr>
                <w:rFonts w:hint="default" w:ascii="Times New Roman" w:hAnsi="Times New Roman" w:cs="Times New Roman" w:eastAsiaTheme="minorEastAsia"/>
                <w:b w:val="0"/>
                <w:bCs w:val="0"/>
                <w:sz w:val="21"/>
                <w:szCs w:val="21"/>
                <w:vertAlign w:val="baseline"/>
                <w:lang w:val="en-US" w:eastAsia="zh-CN"/>
              </w:rPr>
              <w:t>公务用车购置及运行维护费</w:t>
            </w:r>
          </w:p>
        </w:tc>
        <w:tc>
          <w:tcPr>
            <w:tcW w:w="1741"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val="0"/>
                <w:bCs w:val="0"/>
                <w:sz w:val="21"/>
                <w:szCs w:val="21"/>
                <w:vertAlign w:val="baseline"/>
                <w:lang w:val="en-US" w:eastAsia="zh-CN"/>
              </w:rPr>
            </w:pPr>
            <w:r>
              <w:rPr>
                <w:rFonts w:hint="default" w:ascii="Times New Roman" w:hAnsi="Times New Roman" w:cs="Times New Roman" w:eastAsiaTheme="minorEastAsia"/>
                <w:b w:val="0"/>
                <w:bCs w:val="0"/>
                <w:sz w:val="21"/>
                <w:szCs w:val="21"/>
                <w:vertAlign w:val="baseline"/>
                <w:lang w:val="en-US" w:eastAsia="zh-CN"/>
              </w:rPr>
              <w:t>0.00</w:t>
            </w:r>
          </w:p>
        </w:tc>
        <w:tc>
          <w:tcPr>
            <w:tcW w:w="1700"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eastAsiaTheme="minorEastAsia"/>
                <w:b w:val="0"/>
                <w:bCs w:val="0"/>
                <w:sz w:val="21"/>
                <w:szCs w:val="21"/>
                <w:vertAlign w:val="baseline"/>
                <w:lang w:val="en-US" w:eastAsia="zh-CN"/>
              </w:rPr>
            </w:pPr>
            <w:r>
              <w:rPr>
                <w:rFonts w:hint="default" w:ascii="Times New Roman" w:hAnsi="Times New Roman" w:cs="Times New Roman" w:eastAsiaTheme="minorEastAsia"/>
                <w:b w:val="0"/>
                <w:bCs w:val="0"/>
                <w:sz w:val="21"/>
                <w:szCs w:val="21"/>
                <w:vertAlign w:val="baseline"/>
                <w:lang w:val="en-US" w:eastAsia="zh-CN"/>
              </w:rPr>
              <w:t>0.00</w:t>
            </w:r>
          </w:p>
        </w:tc>
        <w:tc>
          <w:tcPr>
            <w:tcW w:w="1730"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val="0"/>
                <w:bCs w:val="0"/>
                <w:sz w:val="21"/>
                <w:szCs w:val="21"/>
                <w:vertAlign w:val="baseline"/>
                <w:lang w:val="en-US" w:eastAsia="zh-CN"/>
              </w:rPr>
            </w:pPr>
            <w:r>
              <w:rPr>
                <w:rFonts w:hint="default" w:ascii="Times New Roman" w:hAnsi="Times New Roman" w:cs="Times New Roman" w:eastAsiaTheme="minorEastAsia"/>
                <w:b w:val="0"/>
                <w:bCs w:val="0"/>
                <w:sz w:val="21"/>
                <w:szCs w:val="21"/>
                <w:vertAlign w:val="baseline"/>
                <w:lang w:val="en-US" w:eastAsia="zh-CN"/>
              </w:rPr>
              <w:t>0.00</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3437"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val="0"/>
                <w:bCs w:val="0"/>
                <w:sz w:val="21"/>
                <w:szCs w:val="21"/>
                <w:vertAlign w:val="baseline"/>
                <w:lang w:val="en-US" w:eastAsia="zh-CN"/>
              </w:rPr>
            </w:pPr>
            <w:r>
              <w:rPr>
                <w:rFonts w:hint="default" w:ascii="Times New Roman" w:hAnsi="Times New Roman" w:cs="Times New Roman" w:eastAsiaTheme="minorEastAsia"/>
                <w:b w:val="0"/>
                <w:bCs w:val="0"/>
                <w:sz w:val="21"/>
                <w:szCs w:val="21"/>
                <w:vertAlign w:val="baseline"/>
                <w:lang w:val="en-US" w:eastAsia="zh-CN"/>
              </w:rPr>
              <w:t>其中：公务用车购置费</w:t>
            </w:r>
          </w:p>
        </w:tc>
        <w:tc>
          <w:tcPr>
            <w:tcW w:w="1741"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val="0"/>
                <w:bCs w:val="0"/>
                <w:sz w:val="21"/>
                <w:szCs w:val="21"/>
                <w:vertAlign w:val="baseline"/>
                <w:lang w:val="en-US" w:eastAsia="zh-CN"/>
              </w:rPr>
            </w:pPr>
            <w:r>
              <w:rPr>
                <w:rFonts w:hint="default" w:ascii="Times New Roman" w:hAnsi="Times New Roman" w:cs="Times New Roman" w:eastAsiaTheme="minorEastAsia"/>
                <w:b w:val="0"/>
                <w:bCs w:val="0"/>
                <w:sz w:val="21"/>
                <w:szCs w:val="21"/>
                <w:vertAlign w:val="baseline"/>
                <w:lang w:val="en-US" w:eastAsia="zh-CN"/>
              </w:rPr>
              <w:t>0.00</w:t>
            </w:r>
          </w:p>
        </w:tc>
        <w:tc>
          <w:tcPr>
            <w:tcW w:w="1700"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eastAsiaTheme="minorEastAsia"/>
                <w:b w:val="0"/>
                <w:bCs w:val="0"/>
                <w:sz w:val="21"/>
                <w:szCs w:val="21"/>
                <w:vertAlign w:val="baseline"/>
                <w:lang w:val="en-US" w:eastAsia="zh-CN"/>
              </w:rPr>
            </w:pPr>
            <w:r>
              <w:rPr>
                <w:rFonts w:hint="default" w:ascii="Times New Roman" w:hAnsi="Times New Roman" w:cs="Times New Roman" w:eastAsiaTheme="minorEastAsia"/>
                <w:b w:val="0"/>
                <w:bCs w:val="0"/>
                <w:sz w:val="21"/>
                <w:szCs w:val="21"/>
                <w:vertAlign w:val="baseline"/>
                <w:lang w:val="en-US" w:eastAsia="zh-CN"/>
              </w:rPr>
              <w:t>0.00</w:t>
            </w:r>
          </w:p>
        </w:tc>
        <w:tc>
          <w:tcPr>
            <w:tcW w:w="1730"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val="0"/>
                <w:bCs w:val="0"/>
                <w:sz w:val="21"/>
                <w:szCs w:val="21"/>
                <w:vertAlign w:val="baseline"/>
                <w:lang w:val="en-US" w:eastAsia="zh-CN"/>
              </w:rPr>
            </w:pPr>
            <w:r>
              <w:rPr>
                <w:rFonts w:hint="default" w:ascii="Times New Roman" w:hAnsi="Times New Roman" w:cs="Times New Roman" w:eastAsiaTheme="minorEastAsia"/>
                <w:b w:val="0"/>
                <w:bCs w:val="0"/>
                <w:sz w:val="21"/>
                <w:szCs w:val="21"/>
                <w:vertAlign w:val="baseline"/>
                <w:lang w:val="en-US" w:eastAsia="zh-CN"/>
              </w:rPr>
              <w:t>0.00</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3437"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val="0"/>
                <w:bCs w:val="0"/>
                <w:sz w:val="21"/>
                <w:szCs w:val="21"/>
                <w:vertAlign w:val="baseline"/>
                <w:lang w:val="en-US" w:eastAsia="zh-CN"/>
              </w:rPr>
            </w:pPr>
            <w:r>
              <w:rPr>
                <w:rFonts w:hint="default" w:ascii="Times New Roman" w:hAnsi="Times New Roman" w:cs="Times New Roman" w:eastAsiaTheme="minorEastAsia"/>
                <w:b w:val="0"/>
                <w:bCs w:val="0"/>
                <w:sz w:val="21"/>
                <w:szCs w:val="21"/>
                <w:vertAlign w:val="baseline"/>
                <w:lang w:val="en-US" w:eastAsia="zh-CN"/>
              </w:rPr>
              <w:t xml:space="preserve">          公务用车运行维护费</w:t>
            </w:r>
          </w:p>
        </w:tc>
        <w:tc>
          <w:tcPr>
            <w:tcW w:w="1741"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val="0"/>
                <w:bCs w:val="0"/>
                <w:sz w:val="21"/>
                <w:szCs w:val="21"/>
                <w:vertAlign w:val="baseline"/>
                <w:lang w:val="en-US" w:eastAsia="zh-CN"/>
              </w:rPr>
            </w:pPr>
            <w:r>
              <w:rPr>
                <w:rFonts w:hint="default" w:ascii="Times New Roman" w:hAnsi="Times New Roman" w:cs="Times New Roman" w:eastAsiaTheme="minorEastAsia"/>
                <w:b w:val="0"/>
                <w:bCs w:val="0"/>
                <w:sz w:val="21"/>
                <w:szCs w:val="21"/>
                <w:vertAlign w:val="baseline"/>
                <w:lang w:val="en-US" w:eastAsia="zh-CN"/>
              </w:rPr>
              <w:t>0.00</w:t>
            </w:r>
          </w:p>
        </w:tc>
        <w:tc>
          <w:tcPr>
            <w:tcW w:w="1700"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eastAsiaTheme="minorEastAsia"/>
                <w:b w:val="0"/>
                <w:bCs w:val="0"/>
                <w:sz w:val="21"/>
                <w:szCs w:val="21"/>
                <w:vertAlign w:val="baseline"/>
                <w:lang w:val="en-US" w:eastAsia="zh-CN"/>
              </w:rPr>
            </w:pPr>
            <w:r>
              <w:rPr>
                <w:rFonts w:hint="default" w:ascii="Times New Roman" w:hAnsi="Times New Roman" w:cs="Times New Roman" w:eastAsiaTheme="minorEastAsia"/>
                <w:b w:val="0"/>
                <w:bCs w:val="0"/>
                <w:sz w:val="21"/>
                <w:szCs w:val="21"/>
                <w:vertAlign w:val="baseline"/>
                <w:lang w:val="en-US" w:eastAsia="zh-CN"/>
              </w:rPr>
              <w:t>0.00</w:t>
            </w:r>
          </w:p>
        </w:tc>
        <w:tc>
          <w:tcPr>
            <w:tcW w:w="1730"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val="0"/>
                <w:bCs w:val="0"/>
                <w:sz w:val="21"/>
                <w:szCs w:val="21"/>
                <w:vertAlign w:val="baseline"/>
                <w:lang w:val="en-US" w:eastAsia="zh-CN"/>
              </w:rPr>
            </w:pPr>
            <w:r>
              <w:rPr>
                <w:rFonts w:hint="default" w:ascii="Times New Roman" w:hAnsi="Times New Roman" w:cs="Times New Roman" w:eastAsiaTheme="minorEastAsia"/>
                <w:b w:val="0"/>
                <w:bCs w:val="0"/>
                <w:sz w:val="21"/>
                <w:szCs w:val="21"/>
                <w:vertAlign w:val="baseline"/>
                <w:lang w:val="en-US" w:eastAsia="zh-CN"/>
              </w:rPr>
              <w:t>0.00</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3437"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eastAsiaTheme="minorEastAsia"/>
                <w:b w:val="0"/>
                <w:bCs w:val="0"/>
                <w:sz w:val="21"/>
                <w:szCs w:val="21"/>
                <w:vertAlign w:val="baseline"/>
                <w:lang w:val="en-US" w:eastAsia="zh-CN"/>
              </w:rPr>
            </w:pPr>
            <w:r>
              <w:rPr>
                <w:rFonts w:hint="default" w:ascii="Times New Roman" w:hAnsi="Times New Roman" w:cs="Times New Roman" w:eastAsiaTheme="minorEastAsia"/>
                <w:b w:val="0"/>
                <w:bCs w:val="0"/>
                <w:sz w:val="21"/>
                <w:szCs w:val="21"/>
                <w:vertAlign w:val="baseline"/>
                <w:lang w:val="en-US" w:eastAsia="zh-CN"/>
              </w:rPr>
              <w:t>公务接待费</w:t>
            </w:r>
          </w:p>
        </w:tc>
        <w:tc>
          <w:tcPr>
            <w:tcW w:w="1741"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val="0"/>
                <w:bCs w:val="0"/>
                <w:sz w:val="21"/>
                <w:szCs w:val="21"/>
                <w:vertAlign w:val="baseline"/>
                <w:lang w:val="en-US" w:eastAsia="zh-CN"/>
              </w:rPr>
            </w:pPr>
            <w:r>
              <w:rPr>
                <w:rFonts w:hint="default" w:ascii="Times New Roman" w:hAnsi="Times New Roman" w:cs="Times New Roman" w:eastAsiaTheme="minorEastAsia"/>
                <w:b w:val="0"/>
                <w:bCs w:val="0"/>
                <w:sz w:val="21"/>
                <w:szCs w:val="21"/>
                <w:vertAlign w:val="baseline"/>
                <w:lang w:val="en-US" w:eastAsia="zh-CN"/>
              </w:rPr>
              <w:t>0.50</w:t>
            </w:r>
          </w:p>
        </w:tc>
        <w:tc>
          <w:tcPr>
            <w:tcW w:w="1700"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val="0"/>
                <w:bCs w:val="0"/>
                <w:sz w:val="21"/>
                <w:szCs w:val="21"/>
                <w:vertAlign w:val="baseline"/>
                <w:lang w:val="en-US" w:eastAsia="zh-CN"/>
              </w:rPr>
            </w:pPr>
            <w:r>
              <w:rPr>
                <w:rFonts w:hint="default" w:ascii="Times New Roman" w:hAnsi="Times New Roman" w:cs="Times New Roman" w:eastAsiaTheme="minorEastAsia"/>
                <w:b w:val="0"/>
                <w:bCs w:val="0"/>
                <w:sz w:val="21"/>
                <w:szCs w:val="21"/>
                <w:vertAlign w:val="baseline"/>
                <w:lang w:val="en-US" w:eastAsia="zh-CN"/>
              </w:rPr>
              <w:t>0.00</w:t>
            </w:r>
          </w:p>
        </w:tc>
        <w:tc>
          <w:tcPr>
            <w:tcW w:w="1730"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val="0"/>
                <w:bCs w:val="0"/>
                <w:sz w:val="21"/>
                <w:szCs w:val="21"/>
                <w:vertAlign w:val="baseline"/>
                <w:lang w:val="en-US" w:eastAsia="zh-CN"/>
              </w:rPr>
            </w:pPr>
            <w:r>
              <w:rPr>
                <w:rFonts w:hint="default" w:ascii="Times New Roman" w:hAnsi="Times New Roman" w:cs="Times New Roman" w:eastAsiaTheme="minorEastAsia"/>
                <w:b w:val="0"/>
                <w:bCs w:val="0"/>
                <w:sz w:val="21"/>
                <w:szCs w:val="21"/>
                <w:vertAlign w:val="baseline"/>
                <w:lang w:val="en-US" w:eastAsia="zh-CN"/>
              </w:rPr>
              <w:t>0.50</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3437"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val="0"/>
                <w:bCs w:val="0"/>
                <w:sz w:val="21"/>
                <w:szCs w:val="21"/>
                <w:vertAlign w:val="baseline"/>
                <w:lang w:val="en-US" w:eastAsia="zh-CN"/>
              </w:rPr>
            </w:pPr>
            <w:r>
              <w:rPr>
                <w:rFonts w:hint="default" w:ascii="Times New Roman" w:hAnsi="Times New Roman" w:cs="Times New Roman" w:eastAsiaTheme="minorEastAsia"/>
                <w:b w:val="0"/>
                <w:bCs w:val="0"/>
                <w:sz w:val="21"/>
                <w:szCs w:val="21"/>
                <w:vertAlign w:val="baseline"/>
                <w:lang w:val="en-US" w:eastAsia="zh-CN"/>
              </w:rPr>
              <w:t>合计</w:t>
            </w:r>
          </w:p>
        </w:tc>
        <w:tc>
          <w:tcPr>
            <w:tcW w:w="1741"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val="0"/>
                <w:bCs w:val="0"/>
                <w:sz w:val="21"/>
                <w:szCs w:val="21"/>
                <w:vertAlign w:val="baseline"/>
                <w:lang w:val="en-US" w:eastAsia="zh-CN"/>
              </w:rPr>
            </w:pPr>
            <w:r>
              <w:rPr>
                <w:rFonts w:hint="default" w:ascii="Times New Roman" w:hAnsi="Times New Roman" w:cs="Times New Roman" w:eastAsiaTheme="minorEastAsia"/>
                <w:b w:val="0"/>
                <w:bCs w:val="0"/>
                <w:sz w:val="21"/>
                <w:szCs w:val="21"/>
                <w:vertAlign w:val="baseline"/>
                <w:lang w:val="en-US" w:eastAsia="zh-CN"/>
              </w:rPr>
              <w:t>0.50</w:t>
            </w:r>
          </w:p>
        </w:tc>
        <w:tc>
          <w:tcPr>
            <w:tcW w:w="1700"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val="0"/>
                <w:bCs w:val="0"/>
                <w:sz w:val="21"/>
                <w:szCs w:val="21"/>
                <w:vertAlign w:val="baseline"/>
                <w:lang w:val="en-US" w:eastAsia="zh-CN"/>
              </w:rPr>
            </w:pPr>
            <w:r>
              <w:rPr>
                <w:rFonts w:hint="default" w:ascii="Times New Roman" w:hAnsi="Times New Roman" w:cs="Times New Roman" w:eastAsiaTheme="minorEastAsia"/>
                <w:b w:val="0"/>
                <w:bCs w:val="0"/>
                <w:sz w:val="21"/>
                <w:szCs w:val="21"/>
                <w:vertAlign w:val="baseline"/>
                <w:lang w:val="en-US" w:eastAsia="zh-CN"/>
              </w:rPr>
              <w:t>0.00</w:t>
            </w:r>
          </w:p>
        </w:tc>
        <w:tc>
          <w:tcPr>
            <w:tcW w:w="1730"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val="0"/>
                <w:bCs w:val="0"/>
                <w:sz w:val="21"/>
                <w:szCs w:val="21"/>
                <w:vertAlign w:val="baseline"/>
                <w:lang w:val="en-US" w:eastAsia="zh-CN"/>
              </w:rPr>
            </w:pPr>
            <w:r>
              <w:rPr>
                <w:rFonts w:hint="default" w:ascii="Times New Roman" w:hAnsi="Times New Roman" w:cs="Times New Roman" w:eastAsiaTheme="minorEastAsia"/>
                <w:b w:val="0"/>
                <w:bCs w:val="0"/>
                <w:sz w:val="21"/>
                <w:szCs w:val="21"/>
                <w:vertAlign w:val="baseline"/>
                <w:lang w:val="en-US" w:eastAsia="zh-CN"/>
              </w:rPr>
              <w:t>0.50</w:t>
            </w:r>
          </w:p>
        </w:tc>
      </w:tr>
    </w:tbl>
    <w:p>
      <w:pPr>
        <w:pStyle w:val="7"/>
        <w:bidi w:val="0"/>
        <w:rPr>
          <w:rFonts w:hint="default" w:ascii="Times New Roman" w:hAnsi="Times New Roman" w:cs="Times New Roman"/>
          <w:lang w:val="en-US" w:eastAsia="zh-CN"/>
        </w:rPr>
      </w:pPr>
      <w:r>
        <w:rPr>
          <w:rFonts w:hint="default" w:ascii="Times New Roman" w:hAnsi="Times New Roman" w:cs="Times New Roman"/>
          <w:lang w:val="en-US" w:eastAsia="zh-CN"/>
        </w:rPr>
        <w:t>3、项目支出情况</w:t>
      </w:r>
    </w:p>
    <w:p>
      <w:pPr>
        <w:bidi w:val="0"/>
        <w:rPr>
          <w:rFonts w:hint="default" w:ascii="Times New Roman" w:hAnsi="Times New Roman" w:cs="Times New Roman" w:eastAsiaTheme="minorEastAsia"/>
          <w:color w:val="auto"/>
          <w:kern w:val="2"/>
          <w:sz w:val="32"/>
          <w:szCs w:val="32"/>
          <w:lang w:val="en-US" w:eastAsia="zh-CN" w:bidi="ar-SA"/>
        </w:rPr>
      </w:pPr>
      <w:r>
        <w:rPr>
          <w:rFonts w:hint="default" w:ascii="Times New Roman" w:hAnsi="Times New Roman" w:eastAsia="仿宋" w:cs="Times New Roman"/>
          <w:b w:val="0"/>
          <w:bCs w:val="0"/>
          <w:color w:val="auto"/>
          <w:sz w:val="32"/>
          <w:szCs w:val="32"/>
          <w:lang w:val="en-US" w:eastAsia="zh-CN"/>
        </w:rPr>
        <w:t>根据畜牧水产中心2022年度部门决算报表，2022年度畜牧水产中心项目支出共计92.69万元，详细支出情况见下表：</w:t>
      </w:r>
      <w:r>
        <w:rPr>
          <w:rFonts w:hint="default" w:ascii="Times New Roman" w:hAnsi="Times New Roman" w:cs="Times New Roman"/>
          <w:color w:val="auto"/>
          <w:kern w:val="2"/>
          <w:sz w:val="32"/>
          <w:szCs w:val="32"/>
          <w:lang w:val="en-US" w:eastAsia="zh-CN" w:bidi="ar-SA"/>
        </w:rPr>
        <w:tab/>
      </w:r>
    </w:p>
    <w:tbl>
      <w:tblPr>
        <w:tblStyle w:val="24"/>
        <w:tblW w:w="8269" w:type="dxa"/>
        <w:tblInd w:w="22" w:type="dxa"/>
        <w:tblBorders>
          <w:top w:val="single" w:color="000000" w:sz="4" w:space="0"/>
          <w:left w:val="none" w:color="auto" w:sz="0" w:space="0"/>
          <w:bottom w:val="single" w:color="000000" w:sz="4" w:space="0"/>
          <w:right w:val="none" w:color="auto" w:sz="0" w:space="0"/>
          <w:insideH w:val="dotted" w:color="000000" w:sz="4" w:space="0"/>
          <w:insideV w:val="dotted" w:color="000000" w:sz="4" w:space="0"/>
        </w:tblBorders>
        <w:tblLayout w:type="fixed"/>
        <w:tblCellMar>
          <w:top w:w="0" w:type="dxa"/>
          <w:left w:w="0" w:type="dxa"/>
          <w:bottom w:w="0" w:type="dxa"/>
          <w:right w:w="0" w:type="dxa"/>
        </w:tblCellMar>
      </w:tblPr>
      <w:tblGrid>
        <w:gridCol w:w="1333"/>
        <w:gridCol w:w="4894"/>
        <w:gridCol w:w="2042"/>
      </w:tblGrid>
      <w:tr>
        <w:tblPrEx>
          <w:tblBorders>
            <w:top w:val="single" w:color="000000" w:sz="4" w:space="0"/>
            <w:left w:val="none" w:color="auto" w:sz="0" w:space="0"/>
            <w:bottom w:val="single" w:color="000000" w:sz="4"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340" w:hRule="atLeast"/>
          <w:tblHeader/>
        </w:trPr>
        <w:tc>
          <w:tcPr>
            <w:tcW w:w="1333" w:type="dxa"/>
            <w:tcBorders>
              <w:top w:val="single" w:color="000000" w:sz="4" w:space="0"/>
              <w:bottom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b/>
                <w:bCs/>
                <w:spacing w:val="-5"/>
                <w:sz w:val="21"/>
                <w:szCs w:val="21"/>
              </w:rPr>
              <w:t>序号</w:t>
            </w:r>
          </w:p>
        </w:tc>
        <w:tc>
          <w:tcPr>
            <w:tcW w:w="4894" w:type="dxa"/>
            <w:tcBorders>
              <w:top w:val="single" w:color="000000" w:sz="4" w:space="0"/>
              <w:bottom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b/>
                <w:bCs/>
                <w:spacing w:val="6"/>
                <w:sz w:val="21"/>
                <w:szCs w:val="21"/>
              </w:rPr>
              <w:t>支出项目</w:t>
            </w:r>
          </w:p>
        </w:tc>
        <w:tc>
          <w:tcPr>
            <w:tcW w:w="2042" w:type="dxa"/>
            <w:tcBorders>
              <w:top w:val="single" w:color="000000" w:sz="4" w:space="0"/>
              <w:bottom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b/>
                <w:bCs/>
                <w:spacing w:val="4"/>
                <w:sz w:val="21"/>
                <w:szCs w:val="21"/>
              </w:rPr>
              <w:t>金额</w:t>
            </w:r>
            <w:r>
              <w:rPr>
                <w:rFonts w:hint="default" w:ascii="Times New Roman" w:hAnsi="Times New Roman" w:cs="Times New Roman" w:eastAsiaTheme="minorEastAsia"/>
                <w:b/>
                <w:bCs/>
                <w:spacing w:val="4"/>
                <w:sz w:val="21"/>
                <w:szCs w:val="21"/>
                <w:lang w:eastAsia="zh-CN"/>
              </w:rPr>
              <w:t>（</w:t>
            </w:r>
            <w:r>
              <w:rPr>
                <w:rFonts w:hint="default" w:ascii="Times New Roman" w:hAnsi="Times New Roman" w:cs="Times New Roman" w:eastAsiaTheme="minorEastAsia"/>
                <w:b/>
                <w:bCs/>
                <w:spacing w:val="4"/>
                <w:sz w:val="21"/>
                <w:szCs w:val="21"/>
              </w:rPr>
              <w:t>万元</w:t>
            </w:r>
            <w:r>
              <w:rPr>
                <w:rFonts w:hint="default" w:ascii="Times New Roman" w:hAnsi="Times New Roman" w:cs="Times New Roman" w:eastAsiaTheme="minorEastAsia"/>
                <w:b/>
                <w:bCs/>
                <w:spacing w:val="4"/>
                <w:sz w:val="21"/>
                <w:szCs w:val="21"/>
                <w:lang w:eastAsia="zh-CN"/>
              </w:rPr>
              <w:t>）</w:t>
            </w:r>
          </w:p>
        </w:tc>
      </w:tr>
      <w:tr>
        <w:tblPrEx>
          <w:tblBorders>
            <w:top w:val="single" w:color="000000" w:sz="4" w:space="0"/>
            <w:left w:val="none" w:color="auto" w:sz="0" w:space="0"/>
            <w:bottom w:val="single" w:color="000000" w:sz="4"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340" w:hRule="atLeast"/>
        </w:trPr>
        <w:tc>
          <w:tcPr>
            <w:tcW w:w="1333" w:type="dxa"/>
            <w:tcBorders>
              <w:top w:val="single" w:color="000000"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1</w:t>
            </w:r>
          </w:p>
        </w:tc>
        <w:tc>
          <w:tcPr>
            <w:tcW w:w="4894" w:type="dxa"/>
            <w:tcBorders>
              <w:top w:val="single" w:color="000000" w:sz="4" w:space="0"/>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b w:val="0"/>
                <w:bCs w:val="0"/>
                <w:sz w:val="21"/>
                <w:szCs w:val="21"/>
                <w:vertAlign w:val="baseline"/>
                <w:lang w:val="en-US" w:eastAsia="zh-CN"/>
              </w:rPr>
            </w:pPr>
            <w:r>
              <w:rPr>
                <w:rFonts w:hint="default" w:ascii="Times New Roman" w:hAnsi="Times New Roman" w:cs="Times New Roman" w:eastAsiaTheme="minorEastAsia"/>
                <w:b w:val="0"/>
                <w:bCs w:val="0"/>
                <w:sz w:val="21"/>
                <w:szCs w:val="21"/>
                <w:vertAlign w:val="baseline"/>
                <w:lang w:val="en-US" w:eastAsia="zh-CN"/>
              </w:rPr>
              <w:t>畜牧水产事业经费</w:t>
            </w:r>
          </w:p>
        </w:tc>
        <w:tc>
          <w:tcPr>
            <w:tcW w:w="2042" w:type="dxa"/>
            <w:tcBorders>
              <w:top w:val="single" w:color="000000" w:sz="4" w:space="0"/>
              <w:tl2br w:val="nil"/>
              <w:tr2bl w:val="nil"/>
            </w:tcBorders>
            <w:vAlign w:val="bottom"/>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cs="Times New Roman" w:eastAsiaTheme="minorEastAsia"/>
                <w:b w:val="0"/>
                <w:bCs w:val="0"/>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20.00</w:t>
            </w:r>
          </w:p>
        </w:tc>
      </w:tr>
      <w:tr>
        <w:tblPrEx>
          <w:tblBorders>
            <w:top w:val="single" w:color="000000" w:sz="4" w:space="0"/>
            <w:left w:val="none" w:color="auto" w:sz="0" w:space="0"/>
            <w:bottom w:val="single" w:color="000000" w:sz="4"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340" w:hRule="atLeast"/>
        </w:trPr>
        <w:tc>
          <w:tcPr>
            <w:tcW w:w="133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snapToGrid w:val="0"/>
                <w:color w:val="000000"/>
                <w:kern w:val="0"/>
                <w:sz w:val="21"/>
                <w:szCs w:val="21"/>
                <w:lang w:val="en-US" w:eastAsia="zh-CN"/>
              </w:rPr>
              <w:t>2</w:t>
            </w:r>
          </w:p>
        </w:tc>
        <w:tc>
          <w:tcPr>
            <w:tcW w:w="4894"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b w:val="0"/>
                <w:bCs w:val="0"/>
                <w:sz w:val="21"/>
                <w:szCs w:val="21"/>
                <w:vertAlign w:val="baseline"/>
                <w:lang w:val="en-US" w:eastAsia="zh-CN"/>
              </w:rPr>
            </w:pPr>
            <w:r>
              <w:rPr>
                <w:rFonts w:hint="default" w:ascii="Times New Roman" w:hAnsi="Times New Roman" w:cs="Times New Roman" w:eastAsiaTheme="minorEastAsia"/>
                <w:b w:val="0"/>
                <w:bCs w:val="0"/>
                <w:sz w:val="21"/>
                <w:szCs w:val="21"/>
                <w:vertAlign w:val="baseline"/>
                <w:lang w:val="en-US" w:eastAsia="zh-CN"/>
              </w:rPr>
              <w:t>钓鱼台拆除工作</w:t>
            </w:r>
          </w:p>
        </w:tc>
        <w:tc>
          <w:tcPr>
            <w:tcW w:w="2042" w:type="dxa"/>
            <w:tcBorders>
              <w:tl2br w:val="nil"/>
              <w:tr2bl w:val="nil"/>
            </w:tcBorders>
            <w:vAlign w:val="bottom"/>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cs="Times New Roman" w:eastAsiaTheme="minorEastAsia"/>
                <w:b w:val="0"/>
                <w:bCs w:val="0"/>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16.86</w:t>
            </w:r>
          </w:p>
        </w:tc>
      </w:tr>
      <w:tr>
        <w:tblPrEx>
          <w:tblBorders>
            <w:top w:val="single" w:color="000000" w:sz="4" w:space="0"/>
            <w:left w:val="none" w:color="auto" w:sz="0" w:space="0"/>
            <w:bottom w:val="single" w:color="000000" w:sz="4"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340" w:hRule="atLeast"/>
        </w:trPr>
        <w:tc>
          <w:tcPr>
            <w:tcW w:w="133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eastAsiaTheme="minorEastAsia"/>
                <w:b w:val="0"/>
                <w:bCs w:val="0"/>
                <w:snapToGrid w:val="0"/>
                <w:color w:val="000000"/>
                <w:kern w:val="0"/>
                <w:sz w:val="21"/>
                <w:szCs w:val="21"/>
                <w:lang w:val="en-US" w:eastAsia="zh-CN"/>
              </w:rPr>
            </w:pPr>
            <w:r>
              <w:rPr>
                <w:rFonts w:hint="default" w:ascii="Times New Roman" w:hAnsi="Times New Roman" w:cs="Times New Roman" w:eastAsiaTheme="minorEastAsia"/>
                <w:b w:val="0"/>
                <w:bCs w:val="0"/>
                <w:snapToGrid w:val="0"/>
                <w:color w:val="000000"/>
                <w:kern w:val="0"/>
                <w:sz w:val="21"/>
                <w:szCs w:val="21"/>
                <w:lang w:val="en-US" w:eastAsia="zh-CN"/>
              </w:rPr>
              <w:t>3</w:t>
            </w:r>
          </w:p>
        </w:tc>
        <w:tc>
          <w:tcPr>
            <w:tcW w:w="4894"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b w:val="0"/>
                <w:bCs w:val="0"/>
                <w:sz w:val="21"/>
                <w:szCs w:val="21"/>
                <w:vertAlign w:val="baseline"/>
                <w:lang w:val="en-US" w:eastAsia="zh-CN"/>
              </w:rPr>
            </w:pPr>
            <w:r>
              <w:rPr>
                <w:rFonts w:hint="default" w:ascii="Times New Roman" w:hAnsi="Times New Roman" w:cs="Times New Roman" w:eastAsiaTheme="minorEastAsia"/>
                <w:b w:val="0"/>
                <w:bCs w:val="0"/>
                <w:sz w:val="21"/>
                <w:szCs w:val="21"/>
                <w:vertAlign w:val="baseline"/>
                <w:lang w:val="en-US" w:eastAsia="zh-CN"/>
              </w:rPr>
              <w:t>中央长江禁捕退捕补助资金</w:t>
            </w:r>
          </w:p>
        </w:tc>
        <w:tc>
          <w:tcPr>
            <w:tcW w:w="2042" w:type="dxa"/>
            <w:tcBorders>
              <w:tl2br w:val="nil"/>
              <w:tr2bl w:val="nil"/>
            </w:tcBorders>
            <w:vAlign w:val="bottom"/>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cs="Times New Roman" w:eastAsiaTheme="minorEastAsia"/>
                <w:b w:val="0"/>
                <w:bCs w:val="0"/>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19.11</w:t>
            </w:r>
          </w:p>
        </w:tc>
      </w:tr>
      <w:tr>
        <w:tblPrEx>
          <w:tblBorders>
            <w:top w:val="single" w:color="000000" w:sz="4" w:space="0"/>
            <w:left w:val="none" w:color="auto" w:sz="0" w:space="0"/>
            <w:bottom w:val="single" w:color="000000" w:sz="4"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340" w:hRule="atLeast"/>
        </w:trPr>
        <w:tc>
          <w:tcPr>
            <w:tcW w:w="133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eastAsiaTheme="minorEastAsia"/>
                <w:b w:val="0"/>
                <w:bCs w:val="0"/>
                <w:snapToGrid w:val="0"/>
                <w:color w:val="000000"/>
                <w:kern w:val="0"/>
                <w:sz w:val="21"/>
                <w:szCs w:val="21"/>
                <w:lang w:val="en-US" w:eastAsia="zh-CN"/>
              </w:rPr>
            </w:pPr>
            <w:r>
              <w:rPr>
                <w:rFonts w:hint="default" w:ascii="Times New Roman" w:hAnsi="Times New Roman" w:cs="Times New Roman" w:eastAsiaTheme="minorEastAsia"/>
                <w:b w:val="0"/>
                <w:bCs w:val="0"/>
                <w:snapToGrid w:val="0"/>
                <w:color w:val="000000"/>
                <w:kern w:val="0"/>
                <w:sz w:val="21"/>
                <w:szCs w:val="21"/>
                <w:lang w:val="en-US" w:eastAsia="zh-CN"/>
              </w:rPr>
              <w:t>4</w:t>
            </w:r>
          </w:p>
        </w:tc>
        <w:tc>
          <w:tcPr>
            <w:tcW w:w="4894"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b w:val="0"/>
                <w:bCs w:val="0"/>
                <w:sz w:val="21"/>
                <w:szCs w:val="21"/>
                <w:vertAlign w:val="baseline"/>
                <w:lang w:val="en-US" w:eastAsia="zh-CN"/>
              </w:rPr>
            </w:pPr>
            <w:r>
              <w:rPr>
                <w:rFonts w:hint="default" w:ascii="Times New Roman" w:hAnsi="Times New Roman" w:cs="Times New Roman" w:eastAsiaTheme="minorEastAsia"/>
                <w:b w:val="0"/>
                <w:bCs w:val="0"/>
                <w:sz w:val="21"/>
                <w:szCs w:val="21"/>
                <w:vertAlign w:val="baseline"/>
                <w:lang w:val="en-US" w:eastAsia="zh-CN"/>
              </w:rPr>
              <w:t>非洲猪瘟防控</w:t>
            </w:r>
          </w:p>
        </w:tc>
        <w:tc>
          <w:tcPr>
            <w:tcW w:w="2042" w:type="dxa"/>
            <w:tcBorders>
              <w:tl2br w:val="nil"/>
              <w:tr2bl w:val="nil"/>
            </w:tcBorders>
            <w:vAlign w:val="bottom"/>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cs="Times New Roman" w:eastAsiaTheme="minorEastAsia"/>
                <w:b w:val="0"/>
                <w:bCs w:val="0"/>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2.56</w:t>
            </w:r>
          </w:p>
        </w:tc>
      </w:tr>
      <w:tr>
        <w:tblPrEx>
          <w:tblBorders>
            <w:top w:val="single" w:color="000000" w:sz="4" w:space="0"/>
            <w:left w:val="none" w:color="auto" w:sz="0" w:space="0"/>
            <w:bottom w:val="single" w:color="000000" w:sz="4"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340" w:hRule="atLeast"/>
        </w:trPr>
        <w:tc>
          <w:tcPr>
            <w:tcW w:w="133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eastAsiaTheme="minorEastAsia"/>
                <w:b w:val="0"/>
                <w:bCs w:val="0"/>
                <w:snapToGrid w:val="0"/>
                <w:color w:val="000000"/>
                <w:kern w:val="0"/>
                <w:sz w:val="21"/>
                <w:szCs w:val="21"/>
                <w:lang w:val="en-US" w:eastAsia="zh-CN"/>
              </w:rPr>
            </w:pPr>
            <w:r>
              <w:rPr>
                <w:rFonts w:hint="default" w:ascii="Times New Roman" w:hAnsi="Times New Roman" w:cs="Times New Roman" w:eastAsiaTheme="minorEastAsia"/>
                <w:b w:val="0"/>
                <w:bCs w:val="0"/>
                <w:snapToGrid w:val="0"/>
                <w:color w:val="000000"/>
                <w:kern w:val="0"/>
                <w:sz w:val="21"/>
                <w:szCs w:val="21"/>
                <w:lang w:val="en-US" w:eastAsia="zh-CN"/>
              </w:rPr>
              <w:t>5</w:t>
            </w:r>
          </w:p>
        </w:tc>
        <w:tc>
          <w:tcPr>
            <w:tcW w:w="4894"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b w:val="0"/>
                <w:bCs w:val="0"/>
                <w:sz w:val="21"/>
                <w:szCs w:val="21"/>
                <w:vertAlign w:val="baseline"/>
                <w:lang w:val="en-US" w:eastAsia="zh-CN"/>
              </w:rPr>
            </w:pPr>
            <w:r>
              <w:rPr>
                <w:rFonts w:hint="default" w:ascii="Times New Roman" w:hAnsi="Times New Roman" w:cs="Times New Roman" w:eastAsiaTheme="minorEastAsia"/>
                <w:b w:val="0"/>
                <w:bCs w:val="0"/>
                <w:sz w:val="21"/>
                <w:szCs w:val="21"/>
                <w:vertAlign w:val="baseline"/>
                <w:lang w:val="en-US" w:eastAsia="zh-CN"/>
              </w:rPr>
              <w:t>无害化处理</w:t>
            </w:r>
          </w:p>
        </w:tc>
        <w:tc>
          <w:tcPr>
            <w:tcW w:w="2042" w:type="dxa"/>
            <w:tcBorders>
              <w:tl2br w:val="nil"/>
              <w:tr2bl w:val="nil"/>
            </w:tcBorders>
            <w:vAlign w:val="bottom"/>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cs="Times New Roman" w:eastAsiaTheme="minorEastAsia"/>
                <w:b w:val="0"/>
                <w:bCs w:val="0"/>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7.00</w:t>
            </w:r>
          </w:p>
        </w:tc>
      </w:tr>
      <w:tr>
        <w:tblPrEx>
          <w:tblBorders>
            <w:top w:val="single" w:color="000000" w:sz="4" w:space="0"/>
            <w:left w:val="none" w:color="auto" w:sz="0" w:space="0"/>
            <w:bottom w:val="single" w:color="000000" w:sz="4"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340" w:hRule="atLeast"/>
        </w:trPr>
        <w:tc>
          <w:tcPr>
            <w:tcW w:w="133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eastAsiaTheme="minorEastAsia"/>
                <w:b w:val="0"/>
                <w:bCs w:val="0"/>
                <w:snapToGrid w:val="0"/>
                <w:color w:val="000000"/>
                <w:kern w:val="0"/>
                <w:sz w:val="21"/>
                <w:szCs w:val="21"/>
                <w:lang w:val="en-US" w:eastAsia="zh-CN"/>
              </w:rPr>
            </w:pPr>
            <w:r>
              <w:rPr>
                <w:rFonts w:hint="default" w:ascii="Times New Roman" w:hAnsi="Times New Roman" w:cs="Times New Roman" w:eastAsiaTheme="minorEastAsia"/>
                <w:b w:val="0"/>
                <w:bCs w:val="0"/>
                <w:snapToGrid w:val="0"/>
                <w:color w:val="000000"/>
                <w:kern w:val="0"/>
                <w:sz w:val="21"/>
                <w:szCs w:val="21"/>
                <w:lang w:val="en-US" w:eastAsia="zh-CN"/>
              </w:rPr>
              <w:t>6</w:t>
            </w:r>
          </w:p>
        </w:tc>
        <w:tc>
          <w:tcPr>
            <w:tcW w:w="4894"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b w:val="0"/>
                <w:bCs w:val="0"/>
                <w:sz w:val="21"/>
                <w:szCs w:val="21"/>
                <w:vertAlign w:val="baseline"/>
                <w:lang w:val="en-US" w:eastAsia="zh-CN"/>
              </w:rPr>
            </w:pPr>
            <w:r>
              <w:rPr>
                <w:rFonts w:hint="default" w:ascii="Times New Roman" w:hAnsi="Times New Roman" w:cs="Times New Roman" w:eastAsiaTheme="minorEastAsia"/>
                <w:b w:val="0"/>
                <w:bCs w:val="0"/>
                <w:sz w:val="21"/>
                <w:szCs w:val="21"/>
                <w:vertAlign w:val="baseline"/>
                <w:lang w:val="en-US" w:eastAsia="zh-CN"/>
              </w:rPr>
              <w:t>2022年中央动物防疫等补助资金</w:t>
            </w:r>
          </w:p>
        </w:tc>
        <w:tc>
          <w:tcPr>
            <w:tcW w:w="2042" w:type="dxa"/>
            <w:tcBorders>
              <w:tl2br w:val="nil"/>
              <w:tr2bl w:val="nil"/>
            </w:tcBorders>
            <w:vAlign w:val="bottom"/>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cs="Times New Roman" w:eastAsiaTheme="minorEastAsia"/>
                <w:b w:val="0"/>
                <w:bCs w:val="0"/>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26.00</w:t>
            </w:r>
          </w:p>
        </w:tc>
      </w:tr>
      <w:tr>
        <w:tblPrEx>
          <w:tblBorders>
            <w:top w:val="single" w:color="000000" w:sz="4" w:space="0"/>
            <w:left w:val="none" w:color="auto" w:sz="0" w:space="0"/>
            <w:bottom w:val="single" w:color="000000" w:sz="4"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340" w:hRule="atLeast"/>
        </w:trPr>
        <w:tc>
          <w:tcPr>
            <w:tcW w:w="133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eastAsiaTheme="minorEastAsia"/>
                <w:b w:val="0"/>
                <w:bCs w:val="0"/>
                <w:snapToGrid w:val="0"/>
                <w:color w:val="000000"/>
                <w:kern w:val="0"/>
                <w:sz w:val="21"/>
                <w:szCs w:val="21"/>
                <w:lang w:val="en-US" w:eastAsia="zh-CN"/>
              </w:rPr>
            </w:pPr>
            <w:r>
              <w:rPr>
                <w:rFonts w:hint="default" w:ascii="Times New Roman" w:hAnsi="Times New Roman" w:cs="Times New Roman" w:eastAsiaTheme="minorEastAsia"/>
                <w:b w:val="0"/>
                <w:bCs w:val="0"/>
                <w:snapToGrid w:val="0"/>
                <w:color w:val="000000"/>
                <w:kern w:val="0"/>
                <w:sz w:val="21"/>
                <w:szCs w:val="21"/>
                <w:lang w:val="en-US" w:eastAsia="zh-CN"/>
              </w:rPr>
              <w:t>7</w:t>
            </w:r>
          </w:p>
        </w:tc>
        <w:tc>
          <w:tcPr>
            <w:tcW w:w="4894"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b w:val="0"/>
                <w:bCs w:val="0"/>
                <w:sz w:val="21"/>
                <w:szCs w:val="21"/>
                <w:vertAlign w:val="baseline"/>
                <w:lang w:val="en-US" w:eastAsia="zh-CN"/>
              </w:rPr>
            </w:pPr>
            <w:r>
              <w:rPr>
                <w:rFonts w:hint="default" w:ascii="Times New Roman" w:hAnsi="Times New Roman" w:cs="Times New Roman" w:eastAsiaTheme="minorEastAsia"/>
                <w:b w:val="0"/>
                <w:bCs w:val="0"/>
                <w:sz w:val="21"/>
                <w:szCs w:val="21"/>
                <w:vertAlign w:val="baseline"/>
                <w:lang w:val="en-US" w:eastAsia="zh-CN"/>
              </w:rPr>
              <w:t>种质资源普查相关支出</w:t>
            </w:r>
          </w:p>
        </w:tc>
        <w:tc>
          <w:tcPr>
            <w:tcW w:w="2042" w:type="dxa"/>
            <w:tcBorders>
              <w:tl2br w:val="nil"/>
              <w:tr2bl w:val="nil"/>
            </w:tcBorders>
            <w:vAlign w:val="bottom"/>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cs="Times New Roman" w:eastAsiaTheme="minorEastAsia"/>
                <w:b w:val="0"/>
                <w:bCs w:val="0"/>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1.16</w:t>
            </w:r>
          </w:p>
        </w:tc>
      </w:tr>
      <w:tr>
        <w:tblPrEx>
          <w:tblBorders>
            <w:top w:val="single" w:color="000000" w:sz="4" w:space="0"/>
            <w:left w:val="none" w:color="auto" w:sz="0" w:space="0"/>
            <w:bottom w:val="single" w:color="000000" w:sz="4"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340" w:hRule="atLeast"/>
        </w:trPr>
        <w:tc>
          <w:tcPr>
            <w:tcW w:w="6227"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eastAsiaTheme="minorEastAsia"/>
                <w:b w:val="0"/>
                <w:bCs w:val="0"/>
                <w:snapToGrid w:val="0"/>
                <w:color w:val="000000"/>
                <w:kern w:val="0"/>
                <w:sz w:val="21"/>
                <w:szCs w:val="21"/>
                <w:lang w:val="en-US" w:eastAsia="zh-CN"/>
              </w:rPr>
            </w:pPr>
            <w:r>
              <w:rPr>
                <w:rFonts w:hint="default" w:ascii="Times New Roman" w:hAnsi="Times New Roman" w:cs="Times New Roman" w:eastAsiaTheme="minorEastAsia"/>
                <w:b w:val="0"/>
                <w:bCs w:val="0"/>
                <w:snapToGrid w:val="0"/>
                <w:color w:val="000000"/>
                <w:kern w:val="0"/>
                <w:sz w:val="21"/>
                <w:szCs w:val="21"/>
                <w:lang w:val="en-US" w:eastAsia="zh-CN"/>
              </w:rPr>
              <w:t>合计</w:t>
            </w:r>
          </w:p>
        </w:tc>
        <w:tc>
          <w:tcPr>
            <w:tcW w:w="204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eastAsiaTheme="minorEastAsia"/>
                <w:b w:val="0"/>
                <w:bCs w:val="0"/>
                <w:snapToGrid w:val="0"/>
                <w:color w:val="000000"/>
                <w:kern w:val="0"/>
                <w:sz w:val="21"/>
                <w:szCs w:val="21"/>
                <w:lang w:val="en-US" w:eastAsia="zh-CN"/>
              </w:rPr>
            </w:pPr>
            <w:r>
              <w:rPr>
                <w:rFonts w:hint="default" w:ascii="Times New Roman" w:hAnsi="Times New Roman" w:cs="Times New Roman" w:eastAsiaTheme="minorEastAsia"/>
                <w:b w:val="0"/>
                <w:bCs w:val="0"/>
                <w:snapToGrid w:val="0"/>
                <w:color w:val="000000"/>
                <w:kern w:val="0"/>
                <w:sz w:val="21"/>
                <w:szCs w:val="21"/>
                <w:lang w:val="en-US" w:eastAsia="zh-CN"/>
              </w:rPr>
              <w:fldChar w:fldCharType="begin"/>
            </w:r>
            <w:r>
              <w:rPr>
                <w:rFonts w:hint="default" w:ascii="Times New Roman" w:hAnsi="Times New Roman" w:cs="Times New Roman" w:eastAsiaTheme="minorEastAsia"/>
                <w:b w:val="0"/>
                <w:bCs w:val="0"/>
                <w:snapToGrid w:val="0"/>
                <w:color w:val="000000"/>
                <w:kern w:val="0"/>
                <w:sz w:val="21"/>
                <w:szCs w:val="21"/>
                <w:lang w:val="en-US" w:eastAsia="zh-CN"/>
              </w:rPr>
              <w:instrText xml:space="preserve"> = sum(C2:C8) \* MERGEFORMAT </w:instrText>
            </w:r>
            <w:r>
              <w:rPr>
                <w:rFonts w:hint="default" w:ascii="Times New Roman" w:hAnsi="Times New Roman" w:cs="Times New Roman" w:eastAsiaTheme="minorEastAsia"/>
                <w:b w:val="0"/>
                <w:bCs w:val="0"/>
                <w:snapToGrid w:val="0"/>
                <w:color w:val="000000"/>
                <w:kern w:val="0"/>
                <w:sz w:val="21"/>
                <w:szCs w:val="21"/>
                <w:lang w:val="en-US" w:eastAsia="zh-CN"/>
              </w:rPr>
              <w:fldChar w:fldCharType="separate"/>
            </w:r>
            <w:r>
              <w:rPr>
                <w:rFonts w:hint="default" w:ascii="Times New Roman" w:hAnsi="Times New Roman" w:cs="Times New Roman" w:eastAsiaTheme="minorEastAsia"/>
                <w:b w:val="0"/>
                <w:bCs w:val="0"/>
                <w:snapToGrid w:val="0"/>
                <w:color w:val="000000"/>
                <w:kern w:val="0"/>
                <w:sz w:val="21"/>
                <w:szCs w:val="21"/>
                <w:lang w:val="en-US" w:eastAsia="zh-CN"/>
              </w:rPr>
              <w:t>92.69</w:t>
            </w:r>
            <w:r>
              <w:rPr>
                <w:rFonts w:hint="default" w:ascii="Times New Roman" w:hAnsi="Times New Roman" w:cs="Times New Roman" w:eastAsiaTheme="minorEastAsia"/>
                <w:b w:val="0"/>
                <w:bCs w:val="0"/>
                <w:snapToGrid w:val="0"/>
                <w:color w:val="000000"/>
                <w:kern w:val="0"/>
                <w:sz w:val="21"/>
                <w:szCs w:val="21"/>
                <w:lang w:val="en-US" w:eastAsia="zh-CN"/>
              </w:rPr>
              <w:fldChar w:fldCharType="end"/>
            </w:r>
          </w:p>
        </w:tc>
      </w:tr>
    </w:tbl>
    <w:p>
      <w:pPr>
        <w:pStyle w:val="6"/>
        <w:bidi w:val="0"/>
        <w:ind w:firstLine="420"/>
        <w:rPr>
          <w:rFonts w:hint="default" w:ascii="Times New Roman" w:hAnsi="Times New Roman" w:eastAsia="楷体" w:cs="Times New Roman"/>
          <w:b/>
          <w:bCs/>
          <w:sz w:val="32"/>
          <w:szCs w:val="32"/>
          <w:lang w:val="en-US" w:eastAsia="zh-CN"/>
        </w:rPr>
      </w:pPr>
      <w:bookmarkStart w:id="8" w:name="_Toc4806"/>
      <w:r>
        <w:rPr>
          <w:rFonts w:hint="default" w:ascii="Times New Roman" w:hAnsi="Times New Roman" w:eastAsia="楷体" w:cs="Times New Roman"/>
          <w:b/>
          <w:bCs/>
          <w:sz w:val="32"/>
          <w:szCs w:val="32"/>
          <w:lang w:val="en-US" w:eastAsia="zh-CN"/>
        </w:rPr>
        <w:t>（三）资金管理情况</w:t>
      </w:r>
      <w:bookmarkEnd w:id="8"/>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畜牧水产中心制定了《区畜牧水产事务中心财务管理制度》，从财务管理工作制度、财务开支审批制度、财务公开制度等方面进行了有关规定，严格按照有关财务制度，加强机关财务管理，节约使用资金，降低行政成本。</w:t>
      </w:r>
    </w:p>
    <w:p>
      <w:pPr>
        <w:pStyle w:val="3"/>
        <w:bidi w:val="0"/>
        <w:rPr>
          <w:rFonts w:hint="default" w:ascii="Times New Roman" w:hAnsi="Times New Roman" w:cs="Times New Roman"/>
          <w:lang w:val="en-US" w:eastAsia="zh-CN"/>
        </w:rPr>
      </w:pPr>
      <w:bookmarkStart w:id="9" w:name="_Toc3377"/>
      <w:r>
        <w:rPr>
          <w:rFonts w:hint="default" w:ascii="Times New Roman" w:hAnsi="Times New Roman" w:cs="Times New Roman"/>
          <w:lang w:val="en-US" w:eastAsia="zh-CN"/>
        </w:rPr>
        <w:t>三、制度建设情况</w:t>
      </w:r>
      <w:bookmarkEnd w:id="9"/>
    </w:p>
    <w:p>
      <w:pPr>
        <w:pStyle w:val="6"/>
        <w:bidi w:val="0"/>
        <w:ind w:firstLine="420"/>
        <w:rPr>
          <w:rFonts w:hint="default" w:ascii="Times New Roman" w:hAnsi="Times New Roman" w:eastAsia="楷体" w:cs="Times New Roman"/>
          <w:b/>
          <w:bCs/>
          <w:sz w:val="32"/>
          <w:szCs w:val="32"/>
          <w:lang w:val="en-US" w:eastAsia="zh-CN"/>
        </w:rPr>
      </w:pPr>
      <w:bookmarkStart w:id="10" w:name="_Toc1255"/>
      <w:r>
        <w:rPr>
          <w:rFonts w:hint="default" w:ascii="Times New Roman" w:hAnsi="Times New Roman" w:eastAsia="楷体" w:cs="Times New Roman"/>
          <w:b/>
          <w:bCs/>
          <w:sz w:val="32"/>
          <w:szCs w:val="32"/>
          <w:lang w:val="en-US" w:eastAsia="zh-CN"/>
        </w:rPr>
        <w:t>（一）内控制度建设情况</w:t>
      </w:r>
      <w:bookmarkEnd w:id="10"/>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畜牧水产中心制定了《北塔区畜牧水产事务中心内部控制制度》，主要对管理机构及职责、组织形式与方式、政府采购预算、政府采购实施计划、采购审批流程、采政府集中采购、部门集中及单位分散采购、政府采购合同、采购验收与结算、采购档案管理、监督与检查等方面做出了具体规定。</w:t>
      </w:r>
    </w:p>
    <w:p>
      <w:pPr>
        <w:pStyle w:val="6"/>
        <w:bidi w:val="0"/>
        <w:ind w:firstLine="420"/>
        <w:rPr>
          <w:rFonts w:hint="default" w:ascii="Times New Roman" w:hAnsi="Times New Roman" w:eastAsia="楷体" w:cs="Times New Roman"/>
          <w:b/>
          <w:bCs/>
          <w:sz w:val="32"/>
          <w:szCs w:val="32"/>
          <w:lang w:val="en-US" w:eastAsia="zh-CN"/>
        </w:rPr>
      </w:pPr>
      <w:bookmarkStart w:id="11" w:name="_Toc23312"/>
      <w:r>
        <w:rPr>
          <w:rFonts w:hint="default" w:ascii="Times New Roman" w:hAnsi="Times New Roman" w:eastAsia="楷体" w:cs="Times New Roman"/>
          <w:b/>
          <w:bCs/>
          <w:sz w:val="32"/>
          <w:szCs w:val="32"/>
          <w:lang w:val="en-US" w:eastAsia="zh-CN"/>
        </w:rPr>
        <w:t>（二）资产管理</w:t>
      </w:r>
      <w:r>
        <w:rPr>
          <w:rFonts w:hint="default" w:ascii="Times New Roman" w:hAnsi="Times New Roman" w:cs="Times New Roman"/>
          <w:b/>
          <w:lang w:val="en-US" w:eastAsia="zh-CN"/>
        </w:rPr>
        <w:t>制度</w:t>
      </w:r>
      <w:r>
        <w:rPr>
          <w:rFonts w:hint="default" w:ascii="Times New Roman" w:hAnsi="Times New Roman" w:eastAsia="楷体" w:cs="Times New Roman"/>
          <w:b/>
          <w:bCs/>
          <w:sz w:val="32"/>
          <w:szCs w:val="32"/>
          <w:lang w:val="en-US" w:eastAsia="zh-CN"/>
        </w:rPr>
        <w:t>建设及使用情况</w:t>
      </w:r>
      <w:bookmarkEnd w:id="11"/>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b w:val="0"/>
          <w:bCs w:val="0"/>
          <w:sz w:val="32"/>
          <w:szCs w:val="32"/>
          <w:lang w:val="en-US" w:eastAsia="zh-CN"/>
        </w:rPr>
      </w:pPr>
      <w:r>
        <w:rPr>
          <w:rFonts w:hint="default" w:ascii="Times New Roman" w:hAnsi="Times New Roman" w:eastAsia="仿宋" w:cs="Times New Roman"/>
          <w:b w:val="0"/>
          <w:bCs w:val="0"/>
          <w:sz w:val="32"/>
          <w:szCs w:val="32"/>
          <w:lang w:val="en-US" w:eastAsia="zh-CN"/>
        </w:rPr>
        <w:t>为加强和规范国有资产管理，保障国有资产的安全完整，推进节约型机关建设，根据财政部《行政事业单位国有资产管理暂行办法》和《行政事业单位内部控制规范（试行）》要求，在《财务管理制度》对有关资产管理进行了规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b w:val="0"/>
          <w:bCs w:val="0"/>
          <w:color w:val="FF0000"/>
          <w:sz w:val="32"/>
          <w:szCs w:val="32"/>
          <w:lang w:val="en-US" w:eastAsia="zh-CN"/>
        </w:rPr>
      </w:pPr>
      <w:r>
        <w:rPr>
          <w:rFonts w:hint="default" w:ascii="Times New Roman" w:hAnsi="Times New Roman" w:eastAsia="仿宋" w:cs="Times New Roman"/>
          <w:b w:val="0"/>
          <w:bCs w:val="0"/>
          <w:sz w:val="32"/>
          <w:szCs w:val="32"/>
          <w:lang w:val="en-US" w:eastAsia="zh-CN"/>
        </w:rPr>
        <w:t>截至2022年12月31日，畜牧水产中心固定资产账面原值13.74万元。其中：家具和用具2.92万元，设备10.82万元。</w:t>
      </w:r>
      <w:r>
        <w:rPr>
          <w:rFonts w:hint="default" w:ascii="Times New Roman" w:hAnsi="Times New Roman" w:eastAsia="仿宋" w:cs="Times New Roman"/>
          <w:b w:val="0"/>
          <w:bCs w:val="0"/>
          <w:color w:val="auto"/>
          <w:sz w:val="32"/>
          <w:szCs w:val="32"/>
          <w:lang w:val="en-US" w:eastAsia="zh-CN"/>
        </w:rPr>
        <w:t>资产在用</w:t>
      </w:r>
      <w:r>
        <w:rPr>
          <w:rFonts w:hint="default" w:ascii="Times New Roman" w:hAnsi="Times New Roman" w:eastAsia="仿宋" w:cs="Times New Roman"/>
          <w:b w:val="0"/>
          <w:bCs w:val="0"/>
          <w:sz w:val="32"/>
          <w:szCs w:val="32"/>
          <w:lang w:val="en-US" w:eastAsia="zh-CN"/>
        </w:rPr>
        <w:t>13.74</w:t>
      </w:r>
      <w:r>
        <w:rPr>
          <w:rFonts w:hint="default" w:ascii="Times New Roman" w:hAnsi="Times New Roman" w:eastAsia="仿宋" w:cs="Times New Roman"/>
          <w:b w:val="0"/>
          <w:bCs w:val="0"/>
          <w:color w:val="auto"/>
          <w:sz w:val="32"/>
          <w:szCs w:val="32"/>
          <w:lang w:val="en-US" w:eastAsia="zh-CN"/>
        </w:rPr>
        <w:t>万元，资产使用率100%。</w:t>
      </w:r>
    </w:p>
    <w:p>
      <w:pPr>
        <w:pStyle w:val="6"/>
        <w:bidi w:val="0"/>
        <w:ind w:firstLine="420"/>
        <w:rPr>
          <w:rFonts w:hint="default" w:ascii="Times New Roman" w:hAnsi="Times New Roman" w:eastAsia="楷体" w:cs="Times New Roman"/>
          <w:b/>
          <w:bCs/>
          <w:sz w:val="32"/>
          <w:szCs w:val="32"/>
          <w:lang w:val="en-US" w:eastAsia="zh-CN"/>
        </w:rPr>
      </w:pPr>
      <w:bookmarkStart w:id="12" w:name="_Toc2595"/>
      <w:r>
        <w:rPr>
          <w:rFonts w:hint="default" w:ascii="Times New Roman" w:hAnsi="Times New Roman" w:eastAsia="楷体" w:cs="Times New Roman"/>
          <w:b/>
          <w:bCs/>
          <w:sz w:val="32"/>
          <w:szCs w:val="32"/>
          <w:lang w:val="en-US" w:eastAsia="zh-CN"/>
        </w:rPr>
        <w:t>（三）政府采购</w:t>
      </w:r>
      <w:r>
        <w:rPr>
          <w:rFonts w:hint="default" w:ascii="Times New Roman" w:hAnsi="Times New Roman" w:cs="Times New Roman"/>
          <w:b/>
          <w:lang w:val="en-US" w:eastAsia="zh-CN"/>
        </w:rPr>
        <w:t>制度</w:t>
      </w:r>
      <w:r>
        <w:rPr>
          <w:rFonts w:hint="default" w:ascii="Times New Roman" w:hAnsi="Times New Roman" w:eastAsia="楷体" w:cs="Times New Roman"/>
          <w:b/>
          <w:bCs/>
          <w:sz w:val="32"/>
          <w:szCs w:val="32"/>
          <w:lang w:val="en-US" w:eastAsia="zh-CN"/>
        </w:rPr>
        <w:t>建设情况</w:t>
      </w:r>
      <w:bookmarkEnd w:id="12"/>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Style w:val="25"/>
          <w:rFonts w:hint="default" w:ascii="Times New Roman" w:hAnsi="Times New Roman" w:cs="Times New Roman"/>
          <w:lang w:val="en-US" w:eastAsia="zh-CN"/>
        </w:rPr>
      </w:pPr>
      <w:r>
        <w:rPr>
          <w:rFonts w:hint="default" w:ascii="Times New Roman" w:hAnsi="Times New Roman" w:eastAsia="仿宋" w:cs="Times New Roman"/>
          <w:b w:val="0"/>
          <w:bCs w:val="0"/>
          <w:sz w:val="32"/>
          <w:szCs w:val="32"/>
          <w:lang w:val="en-US" w:eastAsia="zh-CN"/>
        </w:rPr>
        <w:t>畜牧水产中心在《北塔区畜牧水产事务中心内部控制制度》中明确了政府采购相关规定。</w:t>
      </w:r>
    </w:p>
    <w:p>
      <w:pPr>
        <w:pStyle w:val="3"/>
        <w:bidi w:val="0"/>
        <w:rPr>
          <w:rFonts w:hint="default" w:ascii="Times New Roman" w:hAnsi="Times New Roman" w:cs="Times New Roman"/>
          <w:lang w:val="en-US" w:eastAsia="zh-CN"/>
        </w:rPr>
      </w:pPr>
      <w:bookmarkStart w:id="13" w:name="_Toc27635"/>
      <w:r>
        <w:rPr>
          <w:rFonts w:hint="default" w:ascii="Times New Roman" w:hAnsi="Times New Roman" w:cs="Times New Roman"/>
          <w:lang w:val="en-US" w:eastAsia="zh-CN"/>
        </w:rPr>
        <w:t>四、第三方重点绩效评价工作情况</w:t>
      </w:r>
      <w:bookmarkEnd w:id="13"/>
    </w:p>
    <w:p>
      <w:pPr>
        <w:pStyle w:val="6"/>
        <w:bidi w:val="0"/>
        <w:ind w:firstLine="420"/>
        <w:rPr>
          <w:rFonts w:hint="default" w:ascii="Times New Roman" w:hAnsi="Times New Roman" w:eastAsia="仿宋" w:cs="Times New Roman"/>
          <w:b w:val="0"/>
          <w:bCs w:val="0"/>
          <w:sz w:val="32"/>
          <w:szCs w:val="32"/>
          <w:lang w:val="en-US" w:eastAsia="zh-CN"/>
        </w:rPr>
      </w:pPr>
      <w:bookmarkStart w:id="14" w:name="_Toc11865"/>
      <w:r>
        <w:rPr>
          <w:rFonts w:hint="default" w:ascii="Times New Roman" w:hAnsi="Times New Roman" w:eastAsia="楷体" w:cs="Times New Roman"/>
          <w:b/>
          <w:bCs/>
          <w:sz w:val="32"/>
          <w:szCs w:val="32"/>
          <w:lang w:val="en-US" w:eastAsia="zh-CN"/>
        </w:rPr>
        <w:t>（一）重点绩效评价目的</w:t>
      </w:r>
      <w:bookmarkEnd w:id="14"/>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b w:val="0"/>
          <w:bCs w:val="0"/>
          <w:sz w:val="32"/>
          <w:szCs w:val="32"/>
          <w:lang w:val="en-US" w:eastAsia="zh-CN"/>
        </w:rPr>
      </w:pPr>
      <w:r>
        <w:rPr>
          <w:rFonts w:hint="default" w:ascii="Times New Roman" w:hAnsi="Times New Roman" w:eastAsia="仿宋" w:cs="Times New Roman"/>
          <w:b w:val="0"/>
          <w:bCs w:val="0"/>
          <w:sz w:val="32"/>
          <w:szCs w:val="32"/>
          <w:lang w:val="en-US" w:eastAsia="zh-CN"/>
        </w:rPr>
        <w:t>通过开展第三方重点绩效评价，全面了解、分析部门</w:t>
      </w:r>
      <w:r>
        <w:rPr>
          <w:rFonts w:hint="default" w:cs="Times New Roman"/>
          <w:b w:val="0"/>
          <w:bCs w:val="0"/>
          <w:sz w:val="32"/>
          <w:szCs w:val="32"/>
          <w:lang w:val="en-US" w:eastAsia="zh-CN"/>
        </w:rPr>
        <w:t>整体</w:t>
      </w:r>
      <w:r>
        <w:rPr>
          <w:rFonts w:hint="default" w:ascii="Times New Roman" w:hAnsi="Times New Roman" w:eastAsia="仿宋" w:cs="Times New Roman"/>
          <w:b w:val="0"/>
          <w:bCs w:val="0"/>
          <w:sz w:val="32"/>
          <w:szCs w:val="32"/>
          <w:lang w:val="en-US" w:eastAsia="zh-CN"/>
        </w:rPr>
        <w:t>支出情况，包括部门基本支出和项目支出。主要是部门财政支出管理情况，具体从资金的投入、过程、产出和效果四个方面进行评价。重点评价关注贯彻落实厉行节约、严控“三公”经费、降低一般运行经费、加强项目支出管理等方面取得的成绩、存在的问题及改进措施。增强职能设置科学合理性、</w:t>
      </w:r>
      <w:r>
        <w:rPr>
          <w:rFonts w:hint="default" w:ascii="Times New Roman" w:hAnsi="Times New Roman" w:eastAsia="仿宋" w:cs="Times New Roman"/>
          <w:b w:val="0"/>
          <w:bCs w:val="0"/>
          <w:color w:val="auto"/>
          <w:sz w:val="32"/>
          <w:szCs w:val="32"/>
          <w:lang w:val="en-US" w:eastAsia="zh-CN"/>
        </w:rPr>
        <w:t>部门中长期财政规划适应性、</w:t>
      </w:r>
      <w:r>
        <w:rPr>
          <w:rFonts w:hint="default" w:ascii="Times New Roman" w:hAnsi="Times New Roman" w:eastAsia="仿宋" w:cs="Times New Roman"/>
          <w:b w:val="0"/>
          <w:bCs w:val="0"/>
          <w:sz w:val="32"/>
          <w:szCs w:val="32"/>
          <w:lang w:val="en-US" w:eastAsia="zh-CN"/>
        </w:rPr>
        <w:t>年度工作计划科学完整性、年度绩效目标明确性、年度部门预算计划科学性，规划部门预算执行管理、内部制度管理，切实提高部门产出及效益。</w:t>
      </w:r>
    </w:p>
    <w:p>
      <w:pPr>
        <w:pStyle w:val="6"/>
        <w:bidi w:val="0"/>
        <w:ind w:firstLine="420"/>
        <w:rPr>
          <w:rFonts w:hint="default" w:ascii="Times New Roman" w:hAnsi="Times New Roman" w:eastAsia="楷体" w:cs="Times New Roman"/>
          <w:b/>
          <w:bCs/>
          <w:sz w:val="32"/>
          <w:szCs w:val="32"/>
          <w:lang w:val="en-US" w:eastAsia="zh-CN"/>
        </w:rPr>
      </w:pPr>
      <w:bookmarkStart w:id="15" w:name="_Toc20691"/>
      <w:r>
        <w:rPr>
          <w:rFonts w:hint="default" w:ascii="Times New Roman" w:hAnsi="Times New Roman" w:eastAsia="楷体" w:cs="Times New Roman"/>
          <w:b/>
          <w:bCs/>
          <w:sz w:val="32"/>
          <w:szCs w:val="32"/>
          <w:lang w:val="en-US" w:eastAsia="zh-CN"/>
        </w:rPr>
        <w:t>（二）重点绩效评价工作过程</w:t>
      </w:r>
      <w:bookmarkEnd w:id="15"/>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b w:val="0"/>
          <w:bCs w:val="0"/>
          <w:sz w:val="32"/>
          <w:szCs w:val="32"/>
          <w:lang w:val="en-US" w:eastAsia="zh-CN"/>
        </w:rPr>
      </w:pPr>
      <w:r>
        <w:rPr>
          <w:rFonts w:hint="default" w:ascii="Times New Roman" w:hAnsi="Times New Roman" w:eastAsia="仿宋" w:cs="Times New Roman"/>
          <w:b w:val="0"/>
          <w:bCs w:val="0"/>
          <w:sz w:val="32"/>
          <w:szCs w:val="32"/>
          <w:lang w:val="en-US" w:eastAsia="zh-CN"/>
        </w:rPr>
        <w:t>参考</w:t>
      </w:r>
      <w:r>
        <w:rPr>
          <w:rFonts w:hint="default" w:ascii="Times New Roman" w:hAnsi="Times New Roman" w:eastAsia="仿宋" w:cs="Times New Roman"/>
          <w:sz w:val="32"/>
          <w:szCs w:val="32"/>
          <w:lang w:val="en-US" w:eastAsia="zh-CN"/>
        </w:rPr>
        <w:t>《湖南省财政厅关于印发〈湖南省预算支出绩效评价管理办法〉的通知》（湘财绩〔2020〕7号）</w:t>
      </w:r>
      <w:r>
        <w:rPr>
          <w:rFonts w:hint="default" w:ascii="Times New Roman" w:hAnsi="Times New Roman" w:eastAsia="仿宋" w:cs="Times New Roman"/>
          <w:b w:val="0"/>
          <w:bCs w:val="0"/>
          <w:sz w:val="32"/>
          <w:szCs w:val="32"/>
          <w:lang w:val="en-US" w:eastAsia="zh-CN"/>
        </w:rPr>
        <w:t>的要求和相关政策规定，我所按下列步骤开展了绩效评价工作：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 w:cs="Times New Roman"/>
          <w:b w:val="0"/>
          <w:bCs w:val="0"/>
          <w:sz w:val="32"/>
          <w:szCs w:val="32"/>
          <w:lang w:val="en-US" w:eastAsia="zh-CN"/>
        </w:rPr>
      </w:pPr>
      <w:r>
        <w:rPr>
          <w:rStyle w:val="26"/>
          <w:rFonts w:hint="default" w:ascii="Times New Roman" w:hAnsi="Times New Roman" w:cs="Times New Roman"/>
          <w:lang w:val="en-US" w:eastAsia="zh-CN"/>
        </w:rPr>
        <w:t>1、前期准备。</w:t>
      </w:r>
      <w:r>
        <w:rPr>
          <w:rFonts w:hint="default" w:ascii="Times New Roman" w:hAnsi="Times New Roman" w:eastAsia="仿宋" w:cs="Times New Roman"/>
          <w:b w:val="0"/>
          <w:bCs w:val="0"/>
          <w:sz w:val="32"/>
          <w:szCs w:val="32"/>
          <w:lang w:val="en-US" w:eastAsia="zh-CN"/>
        </w:rPr>
        <w:t>专人成立重点绩效评价工作小组，明确了工作职责，制定了现场评价方案，并设计了相关表格，通过联系相关单位，确定了绩效评价的实施时间。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 w:cs="Times New Roman"/>
          <w:b w:val="0"/>
          <w:bCs w:val="0"/>
          <w:sz w:val="32"/>
          <w:szCs w:val="32"/>
          <w:lang w:val="en-US" w:eastAsia="zh-CN"/>
        </w:rPr>
      </w:pPr>
      <w:r>
        <w:rPr>
          <w:rStyle w:val="26"/>
          <w:rFonts w:hint="default" w:ascii="Times New Roman" w:hAnsi="Times New Roman" w:cs="Times New Roman"/>
          <w:lang w:val="en-US" w:eastAsia="zh-CN"/>
        </w:rPr>
        <w:t>2、具体实施。</w:t>
      </w:r>
      <w:r>
        <w:rPr>
          <w:rFonts w:hint="default" w:ascii="Times New Roman" w:hAnsi="Times New Roman" w:eastAsia="仿宋" w:cs="Times New Roman"/>
          <w:b w:val="0"/>
          <w:bCs w:val="0"/>
          <w:sz w:val="32"/>
          <w:szCs w:val="32"/>
          <w:lang w:val="en-US" w:eastAsia="zh-CN"/>
        </w:rPr>
        <w:t>一是收集、检查单位资料。收集单位三定方案、制度建设、资金拨付明细、预决算报表、工作计划与总结等资料；核查相关制度是否完善，专项项目申报、审批、实施、验收等程序是否合规，资金拨付手续是否齐全，是否存在截留、挪用等情况；二是进入单位实地查看。通过与相关负责人员面对面交谈、现场查看畜牧水产中心专项项目实施等方式，采集了相关数据，核查了资金使用、相关制度落实等情况；三是形成评价报告。通过对相关资料进行综合分析，按照确定的评价指标和标准，结合现场评价情况，得出评价结论，形成绩效评价报告。</w:t>
      </w:r>
    </w:p>
    <w:p>
      <w:pPr>
        <w:pStyle w:val="3"/>
        <w:bidi w:val="0"/>
        <w:rPr>
          <w:rFonts w:hint="default" w:ascii="Times New Roman" w:hAnsi="Times New Roman" w:cs="Times New Roman"/>
          <w:lang w:val="en-US" w:eastAsia="zh-CN"/>
        </w:rPr>
      </w:pPr>
      <w:bookmarkStart w:id="16" w:name="_Toc2258"/>
      <w:r>
        <w:rPr>
          <w:rFonts w:hint="default" w:ascii="Times New Roman" w:hAnsi="Times New Roman" w:cs="Times New Roman"/>
          <w:lang w:val="en-US" w:eastAsia="zh-CN"/>
        </w:rPr>
        <w:t>五、部门整体支出绩效情况</w:t>
      </w:r>
      <w:bookmarkEnd w:id="16"/>
    </w:p>
    <w:p>
      <w:pPr>
        <w:pStyle w:val="6"/>
        <w:bidi w:val="0"/>
        <w:ind w:firstLine="420"/>
        <w:rPr>
          <w:rFonts w:hint="default" w:ascii="Times New Roman" w:hAnsi="Times New Roman" w:eastAsia="仿宋" w:cs="Times New Roman"/>
          <w:b w:val="0"/>
          <w:bCs w:val="0"/>
          <w:sz w:val="32"/>
          <w:szCs w:val="32"/>
          <w:lang w:val="en-US" w:eastAsia="zh-CN"/>
        </w:rPr>
      </w:pPr>
      <w:bookmarkStart w:id="17" w:name="_Toc11587"/>
      <w:r>
        <w:rPr>
          <w:rFonts w:hint="default" w:ascii="Times New Roman" w:hAnsi="Times New Roman" w:eastAsia="楷体" w:cs="Times New Roman"/>
          <w:b/>
          <w:bCs/>
          <w:sz w:val="32"/>
          <w:szCs w:val="32"/>
          <w:lang w:val="en-US" w:eastAsia="zh-CN"/>
        </w:rPr>
        <w:t>（一）部门整体</w:t>
      </w:r>
      <w:r>
        <w:rPr>
          <w:rFonts w:hint="default" w:ascii="Times New Roman" w:hAnsi="Times New Roman" w:cs="Times New Roman"/>
          <w:b/>
          <w:lang w:val="en-US" w:eastAsia="zh-CN"/>
        </w:rPr>
        <w:t>实际</w:t>
      </w:r>
      <w:r>
        <w:rPr>
          <w:rFonts w:hint="default" w:ascii="Times New Roman" w:hAnsi="Times New Roman" w:eastAsia="楷体" w:cs="Times New Roman"/>
          <w:b/>
          <w:bCs/>
          <w:sz w:val="32"/>
          <w:szCs w:val="32"/>
          <w:lang w:val="en-US" w:eastAsia="zh-CN"/>
        </w:rPr>
        <w:t>产出情况</w:t>
      </w:r>
      <w:bookmarkEnd w:id="17"/>
    </w:p>
    <w:p>
      <w:pPr>
        <w:pStyle w:val="7"/>
        <w:bidi w:val="0"/>
        <w:rPr>
          <w:rFonts w:hint="default"/>
          <w:lang w:val="en-US" w:eastAsia="zh-CN"/>
        </w:rPr>
      </w:pPr>
      <w:bookmarkStart w:id="18" w:name="_Toc32652"/>
      <w:bookmarkStart w:id="19" w:name="_Toc12228"/>
      <w:r>
        <w:rPr>
          <w:rFonts w:hint="default"/>
          <w:lang w:val="en-US" w:eastAsia="zh-CN"/>
        </w:rPr>
        <w:t>1、</w:t>
      </w:r>
      <w:bookmarkEnd w:id="18"/>
      <w:bookmarkEnd w:id="19"/>
      <w:r>
        <w:rPr>
          <w:rFonts w:hint="default"/>
          <w:lang w:val="en-US" w:eastAsia="zh-CN"/>
        </w:rPr>
        <w:t>非洲猪瘟防控</w:t>
      </w:r>
    </w:p>
    <w:p>
      <w:pPr>
        <w:bidi w:val="0"/>
        <w:rPr>
          <w:rFonts w:hint="default"/>
          <w:lang w:val="en-US" w:eastAsia="zh-CN"/>
        </w:rPr>
      </w:pPr>
      <w:r>
        <w:rPr>
          <w:rFonts w:hint="default"/>
        </w:rPr>
        <w:t>2022年春季和秋季动物疫病防控“集中攻坚行动”，生猪接种口蹄疫疫苗6.41万头、猪瘟疫苗6.41万头、蓝耳病疫苗3万头；牛羊接种口蹄疫疫苗2</w:t>
      </w:r>
      <w:r>
        <w:rPr>
          <w:rFonts w:hint="default"/>
          <w:lang w:val="en-US" w:eastAsia="zh-CN"/>
        </w:rPr>
        <w:t>.2</w:t>
      </w:r>
      <w:r>
        <w:rPr>
          <w:rFonts w:hint="default"/>
        </w:rPr>
        <w:t>万头、小反刍兽疫疫苗1万头；家禽禽流感200万羽。在全区范围内开展“大消毒、大清洗”100次，使用消毒粉10吨、出动车辆100次；开展非洲猪瘟排查600次。</w:t>
      </w:r>
    </w:p>
    <w:p>
      <w:pPr>
        <w:pStyle w:val="7"/>
        <w:bidi w:val="0"/>
        <w:rPr>
          <w:rFonts w:hint="default"/>
          <w:lang w:val="en-US" w:eastAsia="zh-CN"/>
        </w:rPr>
      </w:pPr>
      <w:bookmarkStart w:id="20" w:name="_Toc10374"/>
      <w:bookmarkStart w:id="21" w:name="_Toc550"/>
      <w:r>
        <w:rPr>
          <w:rFonts w:hint="default"/>
          <w:lang w:val="en-US" w:eastAsia="zh-CN"/>
        </w:rPr>
        <w:t>2、</w:t>
      </w:r>
      <w:bookmarkEnd w:id="20"/>
      <w:bookmarkEnd w:id="21"/>
      <w:r>
        <w:rPr>
          <w:rFonts w:hint="default"/>
          <w:lang w:val="en-US" w:eastAsia="zh-CN"/>
        </w:rPr>
        <w:t>畜牧水产发展经费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1"/>
        <w:rPr>
          <w:rFonts w:hint="default" w:ascii="Times New Roman" w:hAnsi="Times New Roman" w:eastAsia="仿宋" w:cs="Times New Roman"/>
          <w:b w:val="0"/>
          <w:bCs w:val="0"/>
          <w:color w:val="auto"/>
          <w:sz w:val="32"/>
          <w:szCs w:val="32"/>
          <w:lang w:val="en-US" w:eastAsia="zh-CN"/>
        </w:rPr>
      </w:pPr>
      <w:bookmarkStart w:id="22" w:name="_Toc6803"/>
      <w:r>
        <w:rPr>
          <w:rFonts w:hint="default" w:ascii="Times New Roman" w:hAnsi="Times New Roman" w:eastAsia="仿宋" w:cs="Times New Roman"/>
          <w:sz w:val="32"/>
          <w:szCs w:val="32"/>
        </w:rPr>
        <w:t>今年市定生猪出栏任务4万头，已完成出栏4.01万头，目前生猪存栏2.2万头，能繁母猪2000头。2022年出栏牛0.12万头，存栏0.1万头；出栏羊0.6万只，存栏0.4万只；出笼家禽200万羽，存笼2</w:t>
      </w: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0万羽；全年水产品总产量3万吨。目前为止屠宰生猪3.2万头，提供猪肉4056吨，集中屠宰量在全市一直处于优秀序列，尤其是在疫情期间，确保鲜肉足量供应，且价格始终保持平稳，开展瘦肉精检测900批次。</w:t>
      </w:r>
      <w:bookmarkEnd w:id="22"/>
    </w:p>
    <w:p>
      <w:pPr>
        <w:pStyle w:val="7"/>
        <w:bidi w:val="0"/>
        <w:rPr>
          <w:rFonts w:hint="default" w:ascii="Times New Roman" w:hAnsi="Times New Roman" w:cs="Times New Roman"/>
          <w:lang w:val="en-US" w:eastAsia="zh-CN"/>
        </w:rPr>
      </w:pPr>
      <w:bookmarkStart w:id="23" w:name="_Toc28818"/>
      <w:bookmarkStart w:id="24" w:name="_Toc10181"/>
      <w:r>
        <w:rPr>
          <w:rFonts w:hint="default" w:ascii="Times New Roman" w:hAnsi="Times New Roman" w:cs="Times New Roman"/>
          <w:lang w:val="en-US" w:eastAsia="zh-CN"/>
        </w:rPr>
        <w:t>3、</w:t>
      </w:r>
      <w:bookmarkEnd w:id="23"/>
      <w:bookmarkEnd w:id="24"/>
      <w:r>
        <w:rPr>
          <w:rFonts w:hint="default" w:ascii="Times New Roman" w:hAnsi="Times New Roman" w:cs="Times New Roman"/>
          <w:lang w:val="en-US" w:eastAsia="zh-CN"/>
        </w:rPr>
        <w:t>重大疫情防控经费</w:t>
      </w:r>
    </w:p>
    <w:p>
      <w:pPr>
        <w:ind w:firstLine="640" w:firstLineChars="200"/>
        <w:rPr>
          <w:rFonts w:hint="default" w:ascii="Times New Roman" w:hAnsi="Times New Roman" w:eastAsia="仿宋" w:cs="Times New Roman"/>
          <w:b w:val="0"/>
          <w:bCs w:val="0"/>
          <w:color w:val="auto"/>
          <w:sz w:val="32"/>
          <w:szCs w:val="32"/>
          <w:lang w:val="en-US" w:eastAsia="zh-CN"/>
        </w:rPr>
      </w:pPr>
      <w:bookmarkStart w:id="25" w:name="_Toc12181"/>
      <w:bookmarkStart w:id="26" w:name="_Toc23816"/>
      <w:r>
        <w:rPr>
          <w:rFonts w:hint="default" w:ascii="Times New Roman" w:hAnsi="Times New Roman" w:eastAsia="仿宋" w:cs="Times New Roman"/>
          <w:b w:val="0"/>
          <w:bCs w:val="0"/>
          <w:color w:val="auto"/>
          <w:sz w:val="32"/>
          <w:szCs w:val="32"/>
          <w:lang w:val="en-US" w:eastAsia="zh-CN"/>
        </w:rPr>
        <w:t>完成既定任务、应防尽防、有效防止重大疫情、重大疫情防控。</w:t>
      </w:r>
      <w:bookmarkEnd w:id="25"/>
      <w:bookmarkEnd w:id="26"/>
      <w:r>
        <w:rPr>
          <w:rFonts w:hint="default" w:ascii="Times New Roman" w:hAnsi="Times New Roman" w:eastAsia="仿宋" w:cs="Times New Roman"/>
          <w:sz w:val="32"/>
          <w:szCs w:val="32"/>
        </w:rPr>
        <w:t>养殖户、屠宰场纳入“湖南省动物卫生监督网”系统，实行网上申报，实地检疫，电子出证，全年动物产地检疫出证5000张、动物产品检疫出证3.2万张。“瘦肉精”检测结果全部为阴性</w:t>
      </w:r>
      <w:r>
        <w:rPr>
          <w:rFonts w:hint="default" w:cs="Times New Roman"/>
          <w:sz w:val="32"/>
          <w:szCs w:val="32"/>
          <w:lang w:eastAsia="zh-CN"/>
        </w:rPr>
        <w:t>，</w:t>
      </w:r>
      <w:r>
        <w:rPr>
          <w:rFonts w:hint="default" w:ascii="Times New Roman" w:hAnsi="Times New Roman" w:eastAsia="仿宋" w:cs="Times New Roman"/>
          <w:sz w:val="32"/>
          <w:szCs w:val="32"/>
        </w:rPr>
        <w:t>兽药、饲料样品经检测全部合格，同时切实抓好养殖业安全生产，今年来，全区未发生重大畜禽水产品质量安全事件与养殖业安全生产事故。</w:t>
      </w:r>
    </w:p>
    <w:p>
      <w:pPr>
        <w:pStyle w:val="6"/>
        <w:bidi w:val="0"/>
        <w:ind w:firstLine="420"/>
        <w:rPr>
          <w:rFonts w:hint="default" w:ascii="Times New Roman" w:hAnsi="Times New Roman" w:eastAsia="楷体" w:cs="Times New Roman"/>
          <w:b/>
          <w:bCs/>
          <w:sz w:val="32"/>
          <w:szCs w:val="32"/>
          <w:lang w:val="en-US" w:eastAsia="zh-CN"/>
        </w:rPr>
      </w:pPr>
      <w:bookmarkStart w:id="27" w:name="_Toc17132"/>
      <w:r>
        <w:rPr>
          <w:rFonts w:hint="default" w:ascii="Times New Roman" w:hAnsi="Times New Roman" w:eastAsia="楷体" w:cs="Times New Roman"/>
          <w:b/>
          <w:bCs/>
          <w:sz w:val="32"/>
          <w:szCs w:val="32"/>
          <w:lang w:val="en-US" w:eastAsia="zh-CN"/>
        </w:rPr>
        <w:t>（二）部门整体效益情况</w:t>
      </w:r>
      <w:bookmarkEnd w:id="27"/>
    </w:p>
    <w:p>
      <w:pPr>
        <w:ind w:firstLine="640" w:firstLineChars="200"/>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2022年，在区委、区政府的正确领导和上级业务部门的精心指导下，</w:t>
      </w:r>
      <w:r>
        <w:rPr>
          <w:rFonts w:hint="default" w:ascii="Times New Roman" w:hAnsi="Times New Roman" w:eastAsia="仿宋" w:cs="Times New Roman"/>
          <w:sz w:val="32"/>
          <w:szCs w:val="32"/>
          <w:lang w:eastAsia="zh-CN"/>
        </w:rPr>
        <w:t>畜牧水产</w:t>
      </w:r>
      <w:r>
        <w:rPr>
          <w:rFonts w:hint="default" w:ascii="Times New Roman" w:hAnsi="Times New Roman" w:eastAsia="仿宋" w:cs="Times New Roman"/>
          <w:sz w:val="32"/>
          <w:szCs w:val="32"/>
        </w:rPr>
        <w:t>中心继续以养殖业增效、养殖户增收为立足点，紧紧围绕生猪生产、重大动物疫病防控、禁捕退捕等工作重点，强化组织，狠抓各项工作措施落实</w:t>
      </w:r>
      <w:r>
        <w:rPr>
          <w:rFonts w:hint="default" w:ascii="Times New Roman" w:hAnsi="Times New Roman" w:eastAsia="仿宋" w:cs="Times New Roman"/>
          <w:sz w:val="32"/>
          <w:szCs w:val="32"/>
          <w:lang w:eastAsia="zh-CN"/>
        </w:rPr>
        <w:t>。</w:t>
      </w:r>
    </w:p>
    <w:p>
      <w:pPr>
        <w:pStyle w:val="7"/>
        <w:bidi w:val="0"/>
        <w:rPr>
          <w:rFonts w:hint="default" w:ascii="Times New Roman" w:hAnsi="Times New Roman" w:cs="Times New Roman"/>
        </w:rPr>
      </w:pPr>
      <w:r>
        <w:rPr>
          <w:rFonts w:hint="default" w:ascii="Times New Roman" w:hAnsi="Times New Roman" w:cs="Times New Roman"/>
        </w:rPr>
        <w:t>1</w:t>
      </w:r>
      <w:r>
        <w:rPr>
          <w:rFonts w:hint="default" w:ascii="Times New Roman" w:hAnsi="Times New Roman" w:cs="Times New Roman"/>
          <w:lang w:eastAsia="zh-CN"/>
        </w:rPr>
        <w:t>、</w:t>
      </w:r>
      <w:r>
        <w:rPr>
          <w:rFonts w:hint="default" w:ascii="Times New Roman" w:hAnsi="Times New Roman" w:cs="Times New Roman"/>
        </w:rPr>
        <w:t>提质增效，保障供给</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坚持新发展理念为引领，更加注重提高发展质量和效益，确保主要畜产品市场有效供给。加快先进实用技术推广、适度规模经营和</w:t>
      </w:r>
      <w:r>
        <w:rPr>
          <w:rFonts w:hint="default" w:cs="Times New Roman"/>
          <w:sz w:val="32"/>
          <w:szCs w:val="32"/>
          <w:lang w:eastAsia="zh-CN"/>
        </w:rPr>
        <w:t>一、二、三产业</w:t>
      </w:r>
      <w:r>
        <w:rPr>
          <w:rFonts w:hint="default" w:ascii="Times New Roman" w:hAnsi="Times New Roman" w:eastAsia="仿宋" w:cs="Times New Roman"/>
          <w:sz w:val="32"/>
          <w:szCs w:val="32"/>
        </w:rPr>
        <w:t>融合发展，引导水产畜牧经济增长由主要依靠增加物质资源消耗向主要依靠科技进步、劳动者素质提高、管理模式创新转变，挖掘内生增长潜力，不断提高发展质量效益。</w:t>
      </w:r>
    </w:p>
    <w:p>
      <w:pPr>
        <w:pStyle w:val="7"/>
        <w:bidi w:val="0"/>
        <w:ind w:firstLine="420"/>
        <w:rPr>
          <w:rFonts w:hint="default" w:ascii="Times New Roman" w:hAnsi="Times New Roman" w:cs="Times New Roman"/>
          <w:b/>
        </w:rPr>
      </w:pPr>
      <w:r>
        <w:rPr>
          <w:rFonts w:hint="default" w:ascii="Times New Roman" w:hAnsi="Times New Roman" w:cs="Times New Roman"/>
          <w:b/>
        </w:rPr>
        <w:t>2</w:t>
      </w:r>
      <w:r>
        <w:rPr>
          <w:rFonts w:hint="default" w:ascii="Times New Roman" w:hAnsi="Times New Roman" w:cs="Times New Roman"/>
          <w:b/>
          <w:lang w:eastAsia="zh-CN"/>
        </w:rPr>
        <w:t>、</w:t>
      </w:r>
      <w:r>
        <w:rPr>
          <w:rFonts w:hint="default" w:ascii="Times New Roman" w:hAnsi="Times New Roman" w:cs="Times New Roman"/>
          <w:b/>
        </w:rPr>
        <w:t>创新驱动，科技发展</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大力推进水产畜牧业生态化、无害化、资源化等技术推广应用，破解发展瓶颈，实现创新驱动。积极推进水产畜牧业与信息化融合发展，提高水产畜牧业科技装备水平，全面提升从业人员科技应用能力，加快推进科技成果应用，发展生态养殖。</w:t>
      </w:r>
    </w:p>
    <w:p>
      <w:pPr>
        <w:pStyle w:val="7"/>
        <w:bidi w:val="0"/>
        <w:ind w:firstLine="420"/>
        <w:rPr>
          <w:rFonts w:hint="default" w:ascii="Times New Roman" w:hAnsi="Times New Roman" w:cs="Times New Roman"/>
          <w:b/>
        </w:rPr>
      </w:pPr>
      <w:r>
        <w:rPr>
          <w:rFonts w:hint="default" w:ascii="Times New Roman" w:hAnsi="Times New Roman" w:cs="Times New Roman"/>
          <w:b/>
        </w:rPr>
        <w:t>3</w:t>
      </w:r>
      <w:r>
        <w:rPr>
          <w:rFonts w:hint="default" w:ascii="Times New Roman" w:hAnsi="Times New Roman" w:cs="Times New Roman"/>
          <w:b/>
          <w:lang w:eastAsia="zh-CN"/>
        </w:rPr>
        <w:t>、</w:t>
      </w:r>
      <w:r>
        <w:rPr>
          <w:rFonts w:hint="default" w:ascii="Times New Roman" w:hAnsi="Times New Roman" w:cs="Times New Roman"/>
          <w:b/>
        </w:rPr>
        <w:t>合理布局、优化结构</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立足资源禀赋和环境承载能力，因地制宜确定养殖区域、养殖种类，积极推进农牧结合发展，进一步优化水产畜牧业的空间布局。积极发展适度规模养殖，进一步调优畜牧水产产业结构。</w:t>
      </w:r>
    </w:p>
    <w:p>
      <w:pPr>
        <w:pStyle w:val="7"/>
        <w:bidi w:val="0"/>
        <w:ind w:firstLine="420"/>
        <w:rPr>
          <w:rFonts w:hint="default" w:ascii="Times New Roman" w:hAnsi="Times New Roman" w:cs="Times New Roman"/>
          <w:b/>
        </w:rPr>
      </w:pPr>
      <w:r>
        <w:rPr>
          <w:rFonts w:hint="default" w:ascii="Times New Roman" w:hAnsi="Times New Roman" w:cs="Times New Roman"/>
          <w:b/>
        </w:rPr>
        <w:t>4</w:t>
      </w:r>
      <w:r>
        <w:rPr>
          <w:rFonts w:hint="default" w:ascii="Times New Roman" w:hAnsi="Times New Roman" w:cs="Times New Roman"/>
          <w:b/>
          <w:lang w:eastAsia="zh-CN"/>
        </w:rPr>
        <w:t>、</w:t>
      </w:r>
      <w:r>
        <w:rPr>
          <w:rFonts w:hint="default" w:ascii="Times New Roman" w:hAnsi="Times New Roman" w:cs="Times New Roman"/>
          <w:b/>
        </w:rPr>
        <w:t>禁捕退捕，持续发力</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仿宋" w:hAnsi="仿宋" w:eastAsia="仿宋" w:cs="仿宋"/>
          <w:sz w:val="32"/>
          <w:szCs w:val="32"/>
        </w:rPr>
      </w:pPr>
      <w:bookmarkStart w:id="28" w:name="_Toc14453"/>
      <w:r>
        <w:rPr>
          <w:rFonts w:hint="eastAsia" w:ascii="仿宋" w:hAnsi="仿宋" w:eastAsia="仿宋" w:cs="仿宋"/>
          <w:sz w:val="32"/>
          <w:szCs w:val="32"/>
        </w:rPr>
        <w:t>继续推进资江流域禁捕退捕后续工作。稳步推进资江流域禁捕退捕后续工作，加强对登记移交船舶的管理；加强联合执法监管，完善智慧渔政系统摄像头布局，确保全面实现“四无”和“四清”目标任务。</w:t>
      </w:r>
      <w:bookmarkEnd w:id="28"/>
    </w:p>
    <w:p>
      <w:pPr>
        <w:pStyle w:val="6"/>
        <w:bidi w:val="0"/>
        <w:ind w:firstLine="420"/>
        <w:rPr>
          <w:rFonts w:hint="default" w:ascii="Times New Roman" w:hAnsi="Times New Roman" w:eastAsia="仿宋" w:cs="Times New Roman"/>
          <w:b w:val="0"/>
          <w:bCs w:val="0"/>
          <w:sz w:val="32"/>
          <w:szCs w:val="32"/>
          <w:lang w:val="en-US" w:eastAsia="zh-CN"/>
        </w:rPr>
      </w:pPr>
      <w:bookmarkStart w:id="29" w:name="_Toc3533"/>
      <w:r>
        <w:rPr>
          <w:rFonts w:hint="default" w:ascii="Times New Roman" w:hAnsi="Times New Roman" w:eastAsia="楷体" w:cs="Times New Roman"/>
          <w:b/>
          <w:bCs/>
          <w:sz w:val="32"/>
          <w:szCs w:val="32"/>
          <w:lang w:val="en-US" w:eastAsia="zh-CN"/>
        </w:rPr>
        <w:t>（三）部门整体满意度</w:t>
      </w:r>
      <w:bookmarkEnd w:id="29"/>
    </w:p>
    <w:p>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b w:val="0"/>
          <w:bCs w:val="0"/>
          <w:color w:val="auto"/>
          <w:sz w:val="32"/>
          <w:szCs w:val="32"/>
          <w:highlight w:val="none"/>
          <w:lang w:val="en-US" w:eastAsia="zh-CN"/>
        </w:rPr>
      </w:pPr>
      <w:r>
        <w:rPr>
          <w:rFonts w:hint="default" w:ascii="Times New Roman" w:hAnsi="Times New Roman" w:eastAsia="仿宋" w:cs="Times New Roman"/>
          <w:b w:val="0"/>
          <w:bCs w:val="0"/>
          <w:sz w:val="32"/>
          <w:szCs w:val="32"/>
          <w:highlight w:val="none"/>
          <w:lang w:val="en-US" w:eastAsia="zh-CN"/>
        </w:rPr>
        <w:t>绩效评价小组针对畜牧水产中心整体情况通过电子问卷向单位职工、相关受益群体发放问卷进行满意度调查，共</w:t>
      </w:r>
      <w:r>
        <w:rPr>
          <w:rFonts w:hint="default" w:ascii="Times New Roman" w:hAnsi="Times New Roman" w:eastAsia="仿宋" w:cs="Times New Roman"/>
          <w:b w:val="0"/>
          <w:bCs w:val="0"/>
          <w:color w:val="auto"/>
          <w:sz w:val="32"/>
          <w:szCs w:val="32"/>
          <w:highlight w:val="none"/>
          <w:lang w:val="en-US" w:eastAsia="zh-CN"/>
        </w:rPr>
        <w:t>收集有效问卷</w:t>
      </w:r>
      <w:r>
        <w:rPr>
          <w:rFonts w:hint="eastAsia" w:cs="Times New Roman"/>
          <w:b w:val="0"/>
          <w:bCs w:val="0"/>
          <w:color w:val="auto"/>
          <w:sz w:val="32"/>
          <w:szCs w:val="32"/>
          <w:highlight w:val="none"/>
          <w:lang w:val="en-US" w:eastAsia="zh-CN"/>
        </w:rPr>
        <w:t>16</w:t>
      </w:r>
      <w:r>
        <w:rPr>
          <w:rFonts w:hint="default" w:ascii="Times New Roman" w:hAnsi="Times New Roman" w:eastAsia="仿宋" w:cs="Times New Roman"/>
          <w:b w:val="0"/>
          <w:bCs w:val="0"/>
          <w:color w:val="auto"/>
          <w:sz w:val="32"/>
          <w:szCs w:val="32"/>
          <w:highlight w:val="none"/>
          <w:lang w:val="en-US" w:eastAsia="zh-CN"/>
        </w:rPr>
        <w:t>份。经统计，2022年畜牧水产中心整体满意度为</w:t>
      </w:r>
      <w:r>
        <w:rPr>
          <w:rFonts w:hint="eastAsia" w:cs="Times New Roman"/>
          <w:b w:val="0"/>
          <w:bCs w:val="0"/>
          <w:color w:val="auto"/>
          <w:sz w:val="32"/>
          <w:szCs w:val="32"/>
          <w:highlight w:val="none"/>
          <w:lang w:val="en-US" w:eastAsia="zh-CN"/>
        </w:rPr>
        <w:t>100.00</w:t>
      </w:r>
      <w:r>
        <w:rPr>
          <w:rFonts w:hint="default" w:ascii="Times New Roman" w:hAnsi="Times New Roman" w:eastAsia="仿宋" w:cs="Times New Roman"/>
          <w:b w:val="0"/>
          <w:bCs w:val="0"/>
          <w:color w:val="auto"/>
          <w:sz w:val="32"/>
          <w:szCs w:val="32"/>
          <w:highlight w:val="none"/>
          <w:lang w:val="en-US" w:eastAsia="zh-CN"/>
        </w:rPr>
        <w:t>%。</w:t>
      </w:r>
    </w:p>
    <w:p>
      <w:pPr>
        <w:pStyle w:val="3"/>
        <w:bidi w:val="0"/>
        <w:rPr>
          <w:rFonts w:hint="default" w:ascii="Times New Roman" w:hAnsi="Times New Roman" w:cs="Times New Roman"/>
          <w:lang w:val="en-US" w:eastAsia="zh-CN"/>
        </w:rPr>
      </w:pPr>
      <w:bookmarkStart w:id="30" w:name="_Toc9950"/>
      <w:r>
        <w:rPr>
          <w:rFonts w:hint="default" w:ascii="Times New Roman" w:hAnsi="Times New Roman" w:cs="Times New Roman"/>
          <w:lang w:val="en-US" w:eastAsia="zh-CN"/>
        </w:rPr>
        <w:t>六、综合评价情况及评价结论</w:t>
      </w:r>
      <w:bookmarkEnd w:id="30"/>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b w:val="0"/>
          <w:bCs w:val="0"/>
          <w:sz w:val="32"/>
          <w:szCs w:val="32"/>
          <w:lang w:val="en-US" w:eastAsia="zh-CN"/>
        </w:rPr>
      </w:pPr>
      <w:r>
        <w:rPr>
          <w:rFonts w:hint="default" w:ascii="Times New Roman" w:hAnsi="Times New Roman" w:eastAsia="仿宋" w:cs="Times New Roman"/>
          <w:b w:val="0"/>
          <w:bCs w:val="0"/>
          <w:sz w:val="32"/>
          <w:szCs w:val="32"/>
          <w:lang w:val="en-US" w:eastAsia="zh-CN"/>
        </w:rPr>
        <w:t>根据资金绩效评价指标体系和绩效检查情况，畜牧水产中心2022年度部门整体支出重点绩效评价分值100分，从部门决策、部门预算、内部制度管理、部门产出、部门效益等方面总体评价，实得</w:t>
      </w:r>
      <w:r>
        <w:rPr>
          <w:rFonts w:hint="default" w:ascii="Times New Roman" w:hAnsi="Times New Roman" w:eastAsia="仿宋" w:cs="Times New Roman"/>
          <w:b w:val="0"/>
          <w:bCs w:val="0"/>
          <w:color w:val="auto"/>
          <w:sz w:val="32"/>
          <w:szCs w:val="32"/>
          <w:highlight w:val="none"/>
          <w:lang w:val="en-US" w:eastAsia="zh-CN"/>
        </w:rPr>
        <w:t>9</w:t>
      </w:r>
      <w:r>
        <w:rPr>
          <w:rFonts w:hint="eastAsia" w:cs="Times New Roman"/>
          <w:b w:val="0"/>
          <w:bCs w:val="0"/>
          <w:color w:val="auto"/>
          <w:sz w:val="32"/>
          <w:szCs w:val="32"/>
          <w:highlight w:val="none"/>
          <w:lang w:val="en-US" w:eastAsia="zh-CN"/>
        </w:rPr>
        <w:t>0</w:t>
      </w:r>
      <w:r>
        <w:rPr>
          <w:rFonts w:hint="default" w:ascii="Times New Roman" w:hAnsi="Times New Roman" w:eastAsia="仿宋" w:cs="Times New Roman"/>
          <w:b w:val="0"/>
          <w:bCs w:val="0"/>
          <w:color w:val="auto"/>
          <w:sz w:val="32"/>
          <w:szCs w:val="32"/>
          <w:highlight w:val="none"/>
          <w:lang w:val="en-US" w:eastAsia="zh-CN"/>
        </w:rPr>
        <w:t>.00</w:t>
      </w:r>
      <w:r>
        <w:rPr>
          <w:rFonts w:hint="default" w:ascii="Times New Roman" w:hAnsi="Times New Roman" w:eastAsia="仿宋" w:cs="Times New Roman"/>
          <w:b w:val="0"/>
          <w:bCs w:val="0"/>
          <w:sz w:val="32"/>
          <w:szCs w:val="32"/>
          <w:lang w:val="en-US" w:eastAsia="zh-CN"/>
        </w:rPr>
        <w:t>分，被评为</w:t>
      </w:r>
      <w:r>
        <w:rPr>
          <w:rFonts w:hint="default" w:ascii="Times New Roman" w:hAnsi="Times New Roman" w:eastAsia="仿宋" w:cs="Times New Roman"/>
          <w:b w:val="0"/>
          <w:bCs w:val="0"/>
          <w:color w:val="auto"/>
          <w:sz w:val="32"/>
          <w:szCs w:val="32"/>
          <w:highlight w:val="none"/>
          <w:lang w:val="en-US" w:eastAsia="zh-CN"/>
        </w:rPr>
        <w:t>“优”</w:t>
      </w:r>
      <w:r>
        <w:rPr>
          <w:rFonts w:hint="default" w:ascii="Times New Roman" w:hAnsi="Times New Roman" w:eastAsia="仿宋" w:cs="Times New Roman"/>
          <w:b w:val="0"/>
          <w:bCs w:val="0"/>
          <w:sz w:val="32"/>
          <w:szCs w:val="32"/>
          <w:lang w:val="en-US" w:eastAsia="zh-CN"/>
        </w:rPr>
        <w:t>等级</w:t>
      </w:r>
      <w:r>
        <w:rPr>
          <w:rFonts w:hint="default" w:cs="Times New Roman"/>
          <w:b w:val="0"/>
          <w:bCs w:val="0"/>
          <w:sz w:val="32"/>
          <w:szCs w:val="32"/>
          <w:lang w:val="en-US" w:eastAsia="zh-CN"/>
        </w:rPr>
        <w:t>（</w:t>
      </w:r>
      <w:r>
        <w:rPr>
          <w:rFonts w:hint="default" w:ascii="Times New Roman" w:hAnsi="Times New Roman" w:eastAsia="仿宋" w:cs="Times New Roman"/>
          <w:b w:val="0"/>
          <w:bCs w:val="0"/>
          <w:sz w:val="32"/>
          <w:szCs w:val="32"/>
          <w:lang w:val="en-US" w:eastAsia="zh-CN"/>
        </w:rPr>
        <w:t>详见附件</w:t>
      </w:r>
      <w:r>
        <w:rPr>
          <w:rFonts w:hint="default" w:cs="Times New Roman"/>
          <w:b w:val="0"/>
          <w:bCs w:val="0"/>
          <w:sz w:val="32"/>
          <w:szCs w:val="32"/>
          <w:lang w:val="en-US" w:eastAsia="zh-CN"/>
        </w:rPr>
        <w:t>）</w:t>
      </w:r>
      <w:r>
        <w:rPr>
          <w:rFonts w:hint="default" w:ascii="Times New Roman" w:hAnsi="Times New Roman" w:eastAsia="仿宋" w:cs="Times New Roman"/>
          <w:b w:val="0"/>
          <w:bCs w:val="0"/>
          <w:sz w:val="32"/>
          <w:szCs w:val="32"/>
          <w:lang w:val="en-US" w:eastAsia="zh-CN"/>
        </w:rPr>
        <w:t>。</w:t>
      </w:r>
    </w:p>
    <w:p>
      <w:pPr>
        <w:pStyle w:val="3"/>
        <w:bidi w:val="0"/>
        <w:rPr>
          <w:rFonts w:hint="default" w:ascii="Times New Roman" w:hAnsi="Times New Roman" w:cs="Times New Roman"/>
          <w:lang w:val="en-US" w:eastAsia="zh-CN"/>
        </w:rPr>
      </w:pPr>
      <w:bookmarkStart w:id="31" w:name="_Toc8078"/>
      <w:r>
        <w:rPr>
          <w:rFonts w:hint="default" w:ascii="Times New Roman" w:hAnsi="Times New Roman" w:cs="Times New Roman"/>
          <w:lang w:val="en-US" w:eastAsia="zh-CN"/>
        </w:rPr>
        <w:t>七、存在的主要问题</w:t>
      </w:r>
      <w:bookmarkEnd w:id="31"/>
    </w:p>
    <w:p>
      <w:pPr>
        <w:pStyle w:val="6"/>
        <w:bidi w:val="0"/>
        <w:ind w:firstLine="420"/>
        <w:rPr>
          <w:rFonts w:hint="default" w:ascii="Times New Roman" w:hAnsi="Times New Roman" w:eastAsia="楷体" w:cs="Times New Roman"/>
          <w:b/>
          <w:bCs/>
          <w:sz w:val="32"/>
          <w:szCs w:val="32"/>
          <w:lang w:val="en-US" w:eastAsia="zh-CN"/>
        </w:rPr>
      </w:pPr>
      <w:bookmarkStart w:id="32" w:name="_Toc31815"/>
      <w:r>
        <w:rPr>
          <w:rFonts w:hint="default" w:ascii="Times New Roman" w:hAnsi="Times New Roman" w:eastAsia="楷体" w:cs="Times New Roman"/>
          <w:b/>
          <w:bCs/>
          <w:sz w:val="32"/>
          <w:szCs w:val="32"/>
          <w:lang w:val="en-US" w:eastAsia="zh-CN"/>
        </w:rPr>
        <w:t>（一）预决算管理方面</w:t>
      </w:r>
      <w:bookmarkEnd w:id="32"/>
    </w:p>
    <w:p>
      <w:pPr>
        <w:pStyle w:val="7"/>
        <w:bidi w:val="0"/>
        <w:ind w:firstLine="420"/>
        <w:rPr>
          <w:rFonts w:hint="default" w:ascii="Times New Roman" w:hAnsi="Times New Roman" w:cs="Times New Roman"/>
          <w:b/>
          <w:lang w:val="en-US" w:eastAsia="zh-CN"/>
        </w:rPr>
      </w:pPr>
      <w:r>
        <w:rPr>
          <w:rFonts w:hint="eastAsia" w:ascii="Times New Roman" w:hAnsi="Times New Roman" w:cs="Times New Roman"/>
          <w:b/>
          <w:lang w:val="en-US" w:eastAsia="zh-CN"/>
        </w:rPr>
        <w:t>1</w:t>
      </w:r>
      <w:r>
        <w:rPr>
          <w:rFonts w:hint="default" w:ascii="Times New Roman" w:hAnsi="Times New Roman" w:cs="Times New Roman"/>
          <w:b/>
          <w:lang w:val="en-US" w:eastAsia="zh-CN"/>
        </w:rPr>
        <w:t>、预算资金调剂使用</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根据2022年支出决算表，安排项目支出——2299999其他支出资金11617.8元，该资金实际用于支付种质资源普查加班餐费6200元，支付资源普查办公用品2075.8元，支付种质资源普查公车使用费3342元。</w:t>
      </w:r>
    </w:p>
    <w:p>
      <w:pPr>
        <w:pStyle w:val="7"/>
        <w:bidi w:val="0"/>
        <w:ind w:firstLine="420"/>
        <w:rPr>
          <w:rFonts w:hint="default" w:ascii="Times New Roman" w:hAnsi="Times New Roman" w:cs="Times New Roman"/>
          <w:b/>
          <w:lang w:val="en-US" w:eastAsia="zh-CN"/>
        </w:rPr>
      </w:pPr>
      <w:r>
        <w:rPr>
          <w:rFonts w:hint="eastAsia" w:ascii="Times New Roman" w:hAnsi="Times New Roman" w:cs="Times New Roman"/>
          <w:b/>
          <w:lang w:val="en-US" w:eastAsia="zh-CN"/>
        </w:rPr>
        <w:t>2</w:t>
      </w:r>
      <w:r>
        <w:rPr>
          <w:rFonts w:hint="default" w:ascii="Times New Roman" w:hAnsi="Times New Roman" w:cs="Times New Roman"/>
          <w:b/>
          <w:lang w:val="en-US" w:eastAsia="zh-CN"/>
        </w:rPr>
        <w:t>、</w:t>
      </w:r>
      <w:r>
        <w:rPr>
          <w:rFonts w:hint="eastAsia" w:ascii="Times New Roman" w:hAnsi="Times New Roman" w:cs="Times New Roman"/>
          <w:b/>
          <w:lang w:val="en-US" w:eastAsia="zh-CN"/>
        </w:rPr>
        <w:t>单位未进行绩效目标申报</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邵阳市北塔区畜牧水产事务中心未设置2022年整体支出绩效目标。</w:t>
      </w:r>
    </w:p>
    <w:p>
      <w:pPr>
        <w:pStyle w:val="6"/>
        <w:bidi w:val="0"/>
        <w:ind w:firstLine="420"/>
        <w:rPr>
          <w:rFonts w:hint="default" w:ascii="Times New Roman" w:hAnsi="Times New Roman" w:eastAsia="楷体" w:cs="Times New Roman"/>
          <w:b/>
          <w:bCs/>
          <w:sz w:val="32"/>
          <w:szCs w:val="32"/>
          <w:lang w:val="en-US" w:eastAsia="zh-CN"/>
        </w:rPr>
      </w:pPr>
      <w:bookmarkStart w:id="33" w:name="_Toc6765"/>
      <w:r>
        <w:rPr>
          <w:rFonts w:hint="default" w:ascii="Times New Roman" w:hAnsi="Times New Roman" w:eastAsia="楷体" w:cs="Times New Roman"/>
          <w:b/>
          <w:bCs/>
          <w:sz w:val="32"/>
          <w:szCs w:val="32"/>
          <w:lang w:val="en-US" w:eastAsia="zh-CN"/>
        </w:rPr>
        <w:t>（二）固定资产管理方面</w:t>
      </w:r>
      <w:bookmarkEnd w:id="33"/>
    </w:p>
    <w:p>
      <w:pPr>
        <w:pStyle w:val="7"/>
        <w:bidi w:val="0"/>
        <w:rPr>
          <w:rFonts w:hint="default"/>
          <w:lang w:val="en-US" w:eastAsia="zh-CN"/>
        </w:rPr>
      </w:pPr>
      <w:r>
        <w:rPr>
          <w:rFonts w:hint="default" w:ascii="Times New Roman" w:hAnsi="Times New Roman" w:cs="Times New Roman"/>
          <w:lang w:val="en-US" w:eastAsia="zh-CN"/>
        </w:rPr>
        <w:t>1、固</w:t>
      </w:r>
      <w:r>
        <w:rPr>
          <w:rFonts w:hint="default"/>
          <w:lang w:val="en-US" w:eastAsia="zh-CN"/>
        </w:rPr>
        <w:t>定资产管理欠规范</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固定资产未实行卡片或条码管理，全年未定期或不定期的进行资产清查盘点；部分固定资产实物已无法使用，但固定资产台账中仍记录在用状态，未做报废处理。</w:t>
      </w:r>
    </w:p>
    <w:p>
      <w:pPr>
        <w:pStyle w:val="7"/>
        <w:bidi w:val="0"/>
        <w:ind w:firstLine="420"/>
        <w:rPr>
          <w:rFonts w:hint="default" w:ascii="Times New Roman" w:hAnsi="Times New Roman" w:cs="Times New Roman"/>
          <w:b/>
          <w:lang w:val="en-US" w:eastAsia="zh-CN"/>
        </w:rPr>
      </w:pPr>
      <w:r>
        <w:rPr>
          <w:rFonts w:hint="default" w:ascii="Times New Roman" w:hAnsi="Times New Roman" w:cs="Times New Roman"/>
          <w:b/>
          <w:lang w:val="en-US" w:eastAsia="zh-CN"/>
        </w:rPr>
        <w:t>2、个别资产未计入固定资产</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2022年6月5#凭证，购入布艺折叠沙发1个，价值1280元，计入业务活动费用——商品和服务费用——30201办公费，未纳入固定资产中。</w:t>
      </w:r>
    </w:p>
    <w:p>
      <w:pPr>
        <w:pStyle w:val="6"/>
        <w:bidi w:val="0"/>
        <w:ind w:firstLine="420"/>
        <w:rPr>
          <w:rFonts w:hint="default" w:ascii="Times New Roman" w:hAnsi="Times New Roman" w:eastAsia="楷体" w:cs="Times New Roman"/>
          <w:b/>
          <w:bCs/>
          <w:sz w:val="32"/>
          <w:szCs w:val="32"/>
          <w:lang w:val="en-US" w:eastAsia="zh-CN"/>
        </w:rPr>
      </w:pPr>
      <w:bookmarkStart w:id="34" w:name="_Toc18682"/>
      <w:r>
        <w:rPr>
          <w:rFonts w:hint="default" w:ascii="Times New Roman" w:hAnsi="Times New Roman" w:eastAsia="楷体" w:cs="Times New Roman"/>
          <w:b/>
          <w:bCs/>
          <w:sz w:val="32"/>
          <w:szCs w:val="32"/>
          <w:lang w:val="en-US" w:eastAsia="zh-CN"/>
        </w:rPr>
        <w:t>（三）财务管理方面</w:t>
      </w:r>
      <w:bookmarkEnd w:id="34"/>
    </w:p>
    <w:p>
      <w:pPr>
        <w:pStyle w:val="7"/>
        <w:bidi w:val="0"/>
        <w:ind w:firstLine="420"/>
        <w:rPr>
          <w:rFonts w:hint="default" w:ascii="Times New Roman" w:hAnsi="Times New Roman" w:cs="Times New Roman"/>
          <w:b/>
          <w:lang w:val="en-US" w:eastAsia="zh-CN"/>
        </w:rPr>
      </w:pPr>
      <w:r>
        <w:rPr>
          <w:rFonts w:hint="default" w:ascii="Times New Roman" w:hAnsi="Times New Roman" w:cs="Times New Roman"/>
          <w:b/>
          <w:lang w:val="en-US" w:eastAsia="zh-CN"/>
        </w:rPr>
        <w:t>1、凭证附件不全</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2022年1月14#凭证，支付屠宰场加班盒饭费用600元，未附加班人数；2022年4月3#凭证，支付邵阳市北塔区机关第二食堂1-2月餐费807元，未见发票等附件。</w:t>
      </w:r>
    </w:p>
    <w:p>
      <w:pPr>
        <w:pStyle w:val="7"/>
        <w:bidi w:val="0"/>
        <w:ind w:firstLine="420"/>
        <w:rPr>
          <w:rFonts w:hint="default" w:ascii="Times New Roman" w:hAnsi="Times New Roman" w:cs="Times New Roman"/>
          <w:b/>
          <w:lang w:val="en-US" w:eastAsia="zh-CN"/>
        </w:rPr>
      </w:pPr>
      <w:r>
        <w:rPr>
          <w:rFonts w:hint="default" w:ascii="Times New Roman" w:hAnsi="Times New Roman" w:cs="Times New Roman"/>
          <w:b/>
          <w:lang w:val="en-US" w:eastAsia="zh-CN"/>
        </w:rPr>
        <w:t>2、发票管理欠规范</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2022年1月14#凭证，其中支付报刊费144元，发票购货方为“朱江珍”；购买《今日女报》《中国审计》共计486元，发票购货方为“畜牧水产中心”；支付老年大学学费980元</w:t>
      </w:r>
      <w:r>
        <w:rPr>
          <w:rFonts w:hint="eastAsia" w:cs="Times New Roman"/>
          <w:lang w:val="en-US" w:eastAsia="zh-CN"/>
        </w:rPr>
        <w:t>，使用定额发票</w:t>
      </w:r>
      <w:r>
        <w:rPr>
          <w:rFonts w:hint="default" w:ascii="Times New Roman" w:hAnsi="Times New Roman" w:cs="Times New Roman"/>
          <w:lang w:val="en-US" w:eastAsia="zh-CN"/>
        </w:rPr>
        <w:t>；支付机关食堂2358元</w:t>
      </w:r>
      <w:r>
        <w:rPr>
          <w:rFonts w:hint="eastAsia"/>
          <w:lang w:eastAsia="zh-CN"/>
        </w:rPr>
        <w:t>，使用收据，未见其他有效票据</w:t>
      </w:r>
      <w:r>
        <w:rPr>
          <w:rFonts w:hint="default" w:ascii="Times New Roman" w:hAnsi="Times New Roman" w:cs="Times New Roman"/>
          <w:lang w:val="en-US" w:eastAsia="zh-CN"/>
        </w:rPr>
        <w:t>。以上款项共计3968元，均通过财政授权支付凭证支付给“朱江珍”个人</w:t>
      </w:r>
      <w:r>
        <w:rPr>
          <w:rFonts w:hint="eastAsia" w:ascii="Times New Roman" w:hAnsi="Times New Roman" w:cs="Times New Roman"/>
          <w:lang w:val="en-US" w:eastAsia="zh-CN"/>
        </w:rPr>
        <w:t>，不符合</w:t>
      </w:r>
      <w:r>
        <w:rPr>
          <w:rFonts w:hint="default" w:cs="Times New Roman"/>
        </w:rPr>
        <w:t>《中华人民共和国会计法》第十四条“……会计机构、会计人员必须按照国家统一的会计制度的规定对原始凭证进行审核，对不真实、不合法的原始凭证有权不予接受。并向单位负责人报告：对记载不准确、不完整的原始凭证予以退回，并要求按照国家统一的会计制度的规定更正、补充……”的规定。</w:t>
      </w:r>
    </w:p>
    <w:p>
      <w:pPr>
        <w:pStyle w:val="7"/>
        <w:bidi w:val="0"/>
        <w:ind w:firstLine="420"/>
        <w:rPr>
          <w:rFonts w:hint="default" w:ascii="Times New Roman" w:hAnsi="Times New Roman" w:cs="Times New Roman"/>
          <w:b/>
          <w:lang w:val="en-US" w:eastAsia="zh-CN"/>
        </w:rPr>
      </w:pPr>
      <w:r>
        <w:rPr>
          <w:rFonts w:hint="default" w:ascii="Times New Roman" w:hAnsi="Times New Roman" w:cs="Times New Roman"/>
          <w:b/>
          <w:lang w:val="en-US" w:eastAsia="zh-CN"/>
        </w:rPr>
        <w:t>3、未签订纸质合同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b w:val="0"/>
          <w:bCs w:val="0"/>
          <w:strike w:val="0"/>
          <w:dstrike w:val="0"/>
          <w:sz w:val="32"/>
          <w:szCs w:val="32"/>
          <w:lang w:val="en-US" w:eastAsia="zh-CN"/>
        </w:rPr>
      </w:pPr>
      <w:r>
        <w:rPr>
          <w:rFonts w:hint="default" w:ascii="Times New Roman" w:hAnsi="Times New Roman" w:eastAsia="仿宋" w:cs="Times New Roman"/>
          <w:b w:val="0"/>
          <w:bCs w:val="0"/>
          <w:strike w:val="0"/>
          <w:dstrike w:val="0"/>
          <w:sz w:val="32"/>
          <w:szCs w:val="32"/>
          <w:lang w:val="en-US" w:eastAsia="zh-CN"/>
        </w:rPr>
        <w:t>2022年7月4#凭证，支付非洲猪瘟大清洗大消毒租赁及劳务费25600元，与“邵阳家洁环境服务有限公司”签订的电子卖场合同约定合同履行日期为2022年7月25日，履行期限为5天。签订的纸质合同中承包期限为自2021年4月1日起至2021年7月30日止，为期四个月，合同已过期，未重新签订纸质合同。</w:t>
      </w:r>
    </w:p>
    <w:p>
      <w:pPr>
        <w:pStyle w:val="3"/>
        <w:keepNext w:val="0"/>
        <w:keepLines w:val="0"/>
        <w:pageBreakBefore w:val="0"/>
        <w:widowControl w:val="0"/>
        <w:kinsoku/>
        <w:wordWrap/>
        <w:overflowPunct/>
        <w:topLinePunct w:val="0"/>
        <w:autoSpaceDE/>
        <w:autoSpaceDN/>
        <w:bidi w:val="0"/>
        <w:textAlignment w:val="auto"/>
        <w:rPr>
          <w:rFonts w:hint="default" w:ascii="Times New Roman" w:hAnsi="Times New Roman" w:cs="Times New Roman"/>
          <w:lang w:val="en-US" w:eastAsia="zh-CN"/>
        </w:rPr>
      </w:pPr>
      <w:bookmarkStart w:id="35" w:name="_Toc28810"/>
      <w:r>
        <w:rPr>
          <w:rFonts w:hint="default" w:ascii="Times New Roman" w:hAnsi="Times New Roman" w:cs="Times New Roman"/>
          <w:lang w:val="en-US" w:eastAsia="zh-CN"/>
        </w:rPr>
        <w:t>八、相关建议</w:t>
      </w:r>
      <w:bookmarkEnd w:id="35"/>
    </w:p>
    <w:p>
      <w:pPr>
        <w:pStyle w:val="6"/>
        <w:keepNext w:val="0"/>
        <w:keepLines w:val="0"/>
        <w:pageBreakBefore w:val="0"/>
        <w:widowControl w:val="0"/>
        <w:kinsoku/>
        <w:wordWrap/>
        <w:overflowPunct/>
        <w:topLinePunct w:val="0"/>
        <w:autoSpaceDE/>
        <w:autoSpaceDN/>
        <w:bidi w:val="0"/>
        <w:textAlignment w:val="auto"/>
        <w:rPr>
          <w:rFonts w:hint="default"/>
          <w:lang w:eastAsia="zh-CN"/>
        </w:rPr>
      </w:pPr>
      <w:bookmarkStart w:id="36" w:name="_Toc13733"/>
      <w:r>
        <w:rPr>
          <w:rFonts w:hint="default"/>
        </w:rPr>
        <w:t>（</w:t>
      </w:r>
      <w:r>
        <w:rPr>
          <w:rFonts w:hint="eastAsia"/>
          <w:lang w:eastAsia="zh-CN"/>
        </w:rPr>
        <w:t>一</w:t>
      </w:r>
      <w:r>
        <w:rPr>
          <w:rFonts w:hint="default"/>
        </w:rPr>
        <w:t>）</w:t>
      </w:r>
      <w:r>
        <w:rPr>
          <w:rFonts w:hint="default"/>
          <w:lang w:eastAsia="zh-CN"/>
        </w:rPr>
        <w:t>完善预算编制，强化预算执行</w:t>
      </w:r>
      <w:bookmarkEnd w:id="36"/>
    </w:p>
    <w:p>
      <w:pPr>
        <w:keepNext w:val="0"/>
        <w:keepLines w:val="0"/>
        <w:pageBreakBefore w:val="0"/>
        <w:widowControl w:val="0"/>
        <w:kinsoku/>
        <w:wordWrap/>
        <w:overflowPunct/>
        <w:topLinePunct w:val="0"/>
        <w:autoSpaceDE/>
        <w:autoSpaceDN/>
        <w:bidi w:val="0"/>
        <w:textAlignment w:val="auto"/>
        <w:rPr>
          <w:rFonts w:hint="default"/>
          <w:lang w:eastAsia="zh-CN"/>
        </w:rPr>
      </w:pPr>
      <w:r>
        <w:rPr>
          <w:rFonts w:hint="default"/>
          <w:lang w:eastAsia="zh-CN"/>
        </w:rPr>
        <w:t>一是单位应强化预算相关宣传培训，</w:t>
      </w:r>
      <w:r>
        <w:rPr>
          <w:rFonts w:hint="eastAsia"/>
          <w:lang w:eastAsia="zh-CN"/>
        </w:rPr>
        <w:t>铸</w:t>
      </w:r>
      <w:r>
        <w:rPr>
          <w:rFonts w:hint="default"/>
          <w:lang w:eastAsia="zh-CN"/>
        </w:rPr>
        <w:t>牢预算管理理念，并且加强预算统筹，全面推进项目立项、部门资金、预算编制和预算执行统筹管理；二是加强预算执行管理，提高财政资金的使用效益和预算约束力；要细化预算编制，增强预算编制的科学性、精准性，加强与财政部门的沟通衔接，及时了解财政、财务规章制度，减少部门预算调整；制定预算目标控制措施和办法，加强预算意识，并对项目执行过程中存在的问题应及时</w:t>
      </w:r>
      <w:r>
        <w:rPr>
          <w:rFonts w:hint="eastAsia"/>
          <w:lang w:eastAsia="zh-CN"/>
        </w:rPr>
        <w:t>作出</w:t>
      </w:r>
      <w:r>
        <w:rPr>
          <w:rFonts w:hint="default"/>
          <w:lang w:eastAsia="zh-CN"/>
        </w:rPr>
        <w:t>整改，制定合理进度计划，加强项目预算支出的执行进度，提高资金使用效率；三是加强财政资金支出审批和管理，单位应严格按基本支出和项目支出实行分类核算，项目资金应做到分项核算、专款专用，保证财政资金实际用途与预算批复相一致。</w:t>
      </w:r>
    </w:p>
    <w:p>
      <w:pPr>
        <w:pStyle w:val="6"/>
        <w:bidi w:val="0"/>
        <w:rPr>
          <w:rFonts w:hint="default" w:ascii="Times New Roman" w:hAnsi="Times New Roman" w:cs="Times New Roman"/>
          <w:lang w:val="en-US" w:eastAsia="zh-CN"/>
        </w:rPr>
      </w:pPr>
      <w:bookmarkStart w:id="37" w:name="_Toc29343"/>
      <w:r>
        <w:rPr>
          <w:rFonts w:hint="default" w:ascii="Times New Roman" w:hAnsi="Times New Roman" w:cs="Times New Roman"/>
          <w:lang w:val="en-US" w:eastAsia="zh-CN"/>
        </w:rPr>
        <w:t>（</w:t>
      </w:r>
      <w:r>
        <w:rPr>
          <w:rFonts w:hint="eastAsia" w:ascii="Times New Roman" w:hAnsi="Times New Roman" w:cs="Times New Roman"/>
          <w:lang w:val="en-US" w:eastAsia="zh-CN"/>
        </w:rPr>
        <w:t>二</w:t>
      </w:r>
      <w:r>
        <w:rPr>
          <w:rFonts w:hint="default" w:ascii="Times New Roman" w:hAnsi="Times New Roman" w:cs="Times New Roman"/>
          <w:lang w:val="en-US" w:eastAsia="zh-CN"/>
        </w:rPr>
        <w:t>）规范资产管理</w:t>
      </w:r>
      <w:bookmarkEnd w:id="37"/>
    </w:p>
    <w:p>
      <w:pPr>
        <w:pStyle w:val="14"/>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b w:val="0"/>
          <w:bCs w:val="0"/>
          <w:kern w:val="2"/>
          <w:sz w:val="32"/>
          <w:szCs w:val="32"/>
          <w:lang w:val="en-US" w:eastAsia="zh-CN" w:bidi="ar-SA"/>
        </w:rPr>
      </w:pPr>
      <w:r>
        <w:rPr>
          <w:rFonts w:hint="default" w:ascii="Times New Roman" w:hAnsi="Times New Roman" w:eastAsia="仿宋" w:cs="Times New Roman"/>
          <w:b w:val="0"/>
          <w:bCs w:val="0"/>
          <w:kern w:val="2"/>
          <w:sz w:val="32"/>
          <w:szCs w:val="32"/>
          <w:lang w:val="en-US" w:eastAsia="zh-CN" w:bidi="ar-SA"/>
        </w:rPr>
        <w:t>建议单位进一步规范实物资产的管理，对实物资产进行定期或不定期的盘点，对于资产分类、资产品牌、规格型号等资产信息录入错误的情况及时更正，确保固定资产账实相符，对固定资产实行卡片管理，每一个固定资产进行贴标，明确使用部门及责任，确保国有资产的安全、完整。</w:t>
      </w:r>
    </w:p>
    <w:p>
      <w:pPr>
        <w:pStyle w:val="6"/>
        <w:bidi w:val="0"/>
        <w:ind w:firstLine="420"/>
        <w:rPr>
          <w:rFonts w:hint="default" w:ascii="Times New Roman" w:hAnsi="Times New Roman" w:cs="Times New Roman"/>
          <w:b/>
          <w:lang w:val="en-US" w:eastAsia="zh-CN"/>
        </w:rPr>
      </w:pPr>
      <w:bookmarkStart w:id="38" w:name="_Toc6079"/>
      <w:r>
        <w:rPr>
          <w:rFonts w:hint="default" w:ascii="Times New Roman" w:hAnsi="Times New Roman" w:cs="Times New Roman"/>
          <w:b/>
          <w:lang w:val="en-US" w:eastAsia="zh-CN"/>
        </w:rPr>
        <w:t>（</w:t>
      </w:r>
      <w:r>
        <w:rPr>
          <w:rFonts w:hint="eastAsia" w:ascii="Times New Roman" w:hAnsi="Times New Roman" w:cs="Times New Roman"/>
          <w:b/>
          <w:lang w:val="en-US" w:eastAsia="zh-CN"/>
        </w:rPr>
        <w:t>三</w:t>
      </w:r>
      <w:r>
        <w:rPr>
          <w:rFonts w:hint="default" w:ascii="Times New Roman" w:hAnsi="Times New Roman" w:cs="Times New Roman"/>
          <w:b/>
          <w:lang w:val="en-US" w:eastAsia="zh-CN"/>
        </w:rPr>
        <w:t>）提高财务管理规范性</w:t>
      </w:r>
      <w:bookmarkEnd w:id="38"/>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sz w:val="32"/>
          <w:szCs w:val="40"/>
          <w:lang w:val="en-US" w:eastAsia="zh-CN"/>
        </w:rPr>
      </w:pPr>
      <w:r>
        <w:rPr>
          <w:rFonts w:hint="default" w:ascii="Times New Roman" w:hAnsi="Times New Roman" w:eastAsia="仿宋" w:cs="Times New Roman"/>
          <w:sz w:val="32"/>
          <w:szCs w:val="40"/>
          <w:lang w:val="en-US" w:eastAsia="zh-CN"/>
        </w:rPr>
        <w:t>建议单位严格按照合同签订的方式进行付款，一方面避免因拖欠项目款项而违约的情况发生，另一方面严格按照合同约定支付避免资金使用风险；三是加强合同签订的合理性，在业务开展前签订合同，保证合同的真实合法性，避免因合同后签导致合同无效从而引起不必要的法律风险。</w:t>
      </w:r>
    </w:p>
    <w:p>
      <w:pPr>
        <w:pStyle w:val="3"/>
        <w:bidi w:val="0"/>
        <w:rPr>
          <w:rFonts w:hint="default" w:ascii="Times New Roman" w:hAnsi="Times New Roman" w:cs="Times New Roman"/>
          <w:lang w:val="en-US" w:eastAsia="zh-CN"/>
        </w:rPr>
      </w:pPr>
      <w:bookmarkStart w:id="39" w:name="_Toc20837"/>
      <w:r>
        <w:rPr>
          <w:rFonts w:hint="default" w:ascii="Times New Roman" w:hAnsi="Times New Roman" w:cs="Times New Roman"/>
          <w:lang w:val="en-US" w:eastAsia="zh-CN"/>
        </w:rPr>
        <w:t>九、报告使用情况说明</w:t>
      </w:r>
      <w:bookmarkEnd w:id="39"/>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b w:val="0"/>
          <w:bCs w:val="0"/>
          <w:sz w:val="32"/>
          <w:szCs w:val="32"/>
          <w:lang w:val="en-US" w:eastAsia="zh-CN"/>
        </w:rPr>
      </w:pPr>
      <w:r>
        <w:rPr>
          <w:rFonts w:hint="default" w:ascii="Times New Roman" w:hAnsi="Times New Roman" w:eastAsia="仿宋" w:cs="Times New Roman"/>
          <w:b w:val="0"/>
          <w:bCs w:val="0"/>
          <w:sz w:val="32"/>
          <w:szCs w:val="32"/>
          <w:lang w:val="en-US" w:eastAsia="zh-CN"/>
        </w:rPr>
        <w:t>本报告仅供委托方了解部门整体支出绩效情况使用，亦可供邵阳市北塔区畜牧水产事务中心加强部门整体绩效管理参考使用，非经委托方和本所许可，不得用于其他目的。</w:t>
      </w:r>
    </w:p>
    <w:p>
      <w:pPr>
        <w:pStyle w:val="14"/>
        <w:rPr>
          <w:rFonts w:hint="default" w:ascii="Times New Roman" w:hAnsi="Times New Roman" w:eastAsia="仿宋" w:cs="Times New Roman"/>
          <w:b w:val="0"/>
          <w:bCs w:val="0"/>
          <w:sz w:val="32"/>
          <w:szCs w:val="32"/>
          <w:lang w:val="en-US" w:eastAsia="zh-CN"/>
        </w:rPr>
      </w:pP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附件</w:t>
      </w:r>
      <w:r>
        <w:rPr>
          <w:rFonts w:hint="eastAsia" w:ascii="Times New Roman" w:hAnsi="Times New Roman" w:eastAsia="仿宋" w:cs="Times New Roman"/>
          <w:kern w:val="2"/>
          <w:sz w:val="32"/>
          <w:szCs w:val="24"/>
          <w:lang w:val="en-US" w:eastAsia="zh-CN" w:bidi="ar-SA"/>
        </w:rPr>
        <w:t>1</w:t>
      </w:r>
      <w:r>
        <w:rPr>
          <w:rFonts w:hint="default" w:ascii="Times New Roman" w:hAnsi="Times New Roman" w:eastAsia="仿宋" w:cs="Times New Roman"/>
          <w:kern w:val="2"/>
          <w:sz w:val="32"/>
          <w:szCs w:val="24"/>
          <w:lang w:val="en-US" w:eastAsia="zh-CN" w:bidi="ar-SA"/>
        </w:rPr>
        <w:t>：</w:t>
      </w:r>
      <w:r>
        <w:rPr>
          <w:rFonts w:hint="default" w:ascii="Times New Roman" w:hAnsi="Times New Roman" w:cs="Times New Roman"/>
          <w:lang w:val="en-US" w:eastAsia="zh-CN"/>
        </w:rPr>
        <w:t>邵阳市北塔区畜牧水产事务中心2022年度部门整体支出绩效评价指标表</w:t>
      </w:r>
    </w:p>
    <w:p>
      <w:pPr>
        <w:pStyle w:val="2"/>
        <w:rPr>
          <w:rFonts w:hint="default" w:ascii="Times New Roman" w:hAnsi="Times New Roman" w:eastAsia="仿宋" w:cs="Times New Roman"/>
          <w:kern w:val="2"/>
          <w:sz w:val="32"/>
          <w:szCs w:val="24"/>
          <w:lang w:val="en-US" w:eastAsia="zh-CN" w:bidi="ar-SA"/>
        </w:rPr>
      </w:pPr>
      <w:r>
        <w:rPr>
          <w:rFonts w:hint="default" w:ascii="Times New Roman" w:hAnsi="Times New Roman" w:eastAsia="仿宋" w:cs="Times New Roman"/>
          <w:kern w:val="2"/>
          <w:sz w:val="32"/>
          <w:szCs w:val="24"/>
          <w:lang w:val="en-US" w:eastAsia="zh-CN" w:bidi="ar-SA"/>
        </w:rPr>
        <w:t>附件</w:t>
      </w:r>
      <w:r>
        <w:rPr>
          <w:rFonts w:hint="eastAsia" w:ascii="Times New Roman" w:hAnsi="Times New Roman" w:eastAsia="仿宋" w:cs="Times New Roman"/>
          <w:kern w:val="2"/>
          <w:sz w:val="32"/>
          <w:szCs w:val="24"/>
          <w:lang w:val="en-US" w:eastAsia="zh-CN" w:bidi="ar-SA"/>
        </w:rPr>
        <w:t>2：部门整体支出绩效评价基础数据表</w:t>
      </w:r>
    </w:p>
    <w:p>
      <w:pPr>
        <w:keepNext w:val="0"/>
        <w:keepLines w:val="0"/>
        <w:pageBreakBefore w:val="0"/>
        <w:widowControl/>
        <w:kinsoku/>
        <w:overflowPunct/>
        <w:topLinePunct w:val="0"/>
        <w:autoSpaceDE/>
        <w:autoSpaceDN/>
        <w:bidi w:val="0"/>
        <w:adjustRightInd/>
        <w:snapToGrid/>
        <w:spacing w:line="640" w:lineRule="exact"/>
        <w:jc w:val="both"/>
        <w:rPr>
          <w:rFonts w:hint="default" w:ascii="Times New Roman Regular" w:hAnsi="Times New Roman Regular" w:eastAsia="方正小标宋_GBK" w:cs="Times New Roman Regular"/>
          <w:color w:val="000000"/>
          <w:kern w:val="0"/>
          <w:sz w:val="32"/>
          <w:szCs w:val="32"/>
          <w:lang w:val="en-US" w:eastAsia="zh-CN"/>
        </w:rPr>
      </w:pPr>
      <w:r>
        <w:rPr>
          <w:rFonts w:hint="eastAsia" w:cs="Times New Roman"/>
          <w:kern w:val="2"/>
          <w:sz w:val="32"/>
          <w:szCs w:val="24"/>
          <w:lang w:val="en-US" w:eastAsia="zh-CN" w:bidi="ar-SA"/>
        </w:rPr>
        <w:t>附件3：</w:t>
      </w:r>
      <w:r>
        <w:rPr>
          <w:rFonts w:hint="default" w:ascii="Times New Roman" w:hAnsi="Times New Roman" w:eastAsia="仿宋" w:cs="Times New Roman"/>
          <w:kern w:val="2"/>
          <w:sz w:val="32"/>
          <w:szCs w:val="24"/>
          <w:lang w:val="en-US" w:eastAsia="zh-CN" w:bidi="ar-SA"/>
        </w:rPr>
        <w:t>部门整体支出绩效自评表</w:t>
      </w:r>
    </w:p>
    <w:p>
      <w:pPr>
        <w:pStyle w:val="15"/>
        <w:rPr>
          <w:rFonts w:hint="default" w:ascii="Times New Roman" w:hAnsi="Times New Roman" w:cs="Times New Roman"/>
          <w:lang w:val="en-US" w:eastAsia="zh-CN"/>
        </w:rPr>
      </w:pPr>
      <w:r>
        <w:rPr>
          <w:rFonts w:hint="default" w:ascii="Times New Roman" w:hAnsi="Times New Roman" w:cs="Times New Roman"/>
          <w:kern w:val="2"/>
          <w:sz w:val="32"/>
          <w:szCs w:val="24"/>
          <w:lang w:val="en-US" w:eastAsia="zh-CN" w:bidi="ar-SA"/>
        </w:rPr>
        <w:t>附件4：</w:t>
      </w:r>
      <w:r>
        <w:rPr>
          <w:rFonts w:hint="default" w:ascii="Times New Roman" w:hAnsi="Times New Roman" w:eastAsia="仿宋" w:cs="Times New Roman"/>
          <w:kern w:val="2"/>
          <w:sz w:val="32"/>
          <w:szCs w:val="24"/>
          <w:lang w:val="en-US" w:eastAsia="zh-CN" w:bidi="ar-SA"/>
        </w:rPr>
        <w:t>2022年度项目支出绩效自评表</w:t>
      </w:r>
    </w:p>
    <w:p>
      <w:pPr>
        <w:pStyle w:val="15"/>
        <w:rPr>
          <w:rFonts w:hint="default" w:ascii="Times New Roman" w:hAnsi="Times New Roman" w:cs="Times New Roman"/>
          <w:lang w:val="en-US" w:eastAsia="zh-CN"/>
        </w:rPr>
      </w:pPr>
    </w:p>
    <w:p>
      <w:pPr>
        <w:pStyle w:val="14"/>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楷体" w:cs="Times New Roman"/>
          <w:sz w:val="30"/>
          <w:szCs w:val="30"/>
          <w:lang w:val="en-US" w:eastAsia="zh-CN"/>
        </w:rPr>
      </w:pPr>
      <w:r>
        <w:rPr>
          <w:rFonts w:hint="default" w:ascii="Times New Roman" w:hAnsi="Times New Roman" w:eastAsia="楷体" w:cs="Times New Roman"/>
          <w:sz w:val="30"/>
          <w:szCs w:val="30"/>
          <w:lang w:val="en-US" w:eastAsia="zh-CN"/>
        </w:rPr>
        <w:t>湖南财正会计师事务所</w:t>
      </w:r>
      <w:r>
        <w:rPr>
          <w:rFonts w:hint="default" w:eastAsia="楷体" w:cs="Times New Roman"/>
          <w:sz w:val="30"/>
          <w:szCs w:val="30"/>
          <w:lang w:val="en-US" w:eastAsia="zh-CN"/>
        </w:rPr>
        <w:t>（</w:t>
      </w:r>
      <w:r>
        <w:rPr>
          <w:rFonts w:hint="default" w:ascii="Times New Roman" w:hAnsi="Times New Roman" w:eastAsia="楷体" w:cs="Times New Roman"/>
          <w:sz w:val="30"/>
          <w:szCs w:val="30"/>
          <w:lang w:val="en-US" w:eastAsia="zh-CN"/>
        </w:rPr>
        <w:t>普通合伙</w:t>
      </w:r>
      <w:r>
        <w:rPr>
          <w:rFonts w:hint="default" w:eastAsia="楷体" w:cs="Times New Roman"/>
          <w:sz w:val="30"/>
          <w:szCs w:val="30"/>
          <w:lang w:val="en-US" w:eastAsia="zh-CN"/>
        </w:rPr>
        <w:t>）</w:t>
      </w:r>
      <w:r>
        <w:rPr>
          <w:rFonts w:hint="default" w:ascii="Times New Roman" w:hAnsi="Times New Roman" w:eastAsia="楷体" w:cs="Times New Roman"/>
          <w:sz w:val="30"/>
          <w:szCs w:val="30"/>
          <w:lang w:val="en-US" w:eastAsia="zh-CN"/>
        </w:rPr>
        <w:t xml:space="preserve">          中国注册会计师：</w:t>
      </w:r>
    </w:p>
    <w:p>
      <w:pPr>
        <w:rPr>
          <w:rFonts w:hint="default"/>
          <w:lang w:val="en-US" w:eastAsia="zh-CN"/>
        </w:rPr>
      </w:pPr>
    </w:p>
    <w:p>
      <w:pPr>
        <w:keepNext w:val="0"/>
        <w:keepLines w:val="0"/>
        <w:pageBreakBefore w:val="0"/>
        <w:widowControl w:val="0"/>
        <w:kinsoku/>
        <w:wordWrap/>
        <w:overflowPunct/>
        <w:topLinePunct w:val="0"/>
        <w:autoSpaceDE/>
        <w:autoSpaceDN/>
        <w:bidi w:val="0"/>
        <w:adjustRightInd/>
        <w:snapToGrid/>
        <w:ind w:firstLine="1200" w:firstLineChars="400"/>
        <w:textAlignment w:val="auto"/>
        <w:rPr>
          <w:rFonts w:hint="default" w:ascii="Times New Roman" w:hAnsi="Times New Roman" w:eastAsia="楷体" w:cs="Times New Roman"/>
          <w:b w:val="0"/>
          <w:bCs w:val="0"/>
          <w:sz w:val="30"/>
          <w:szCs w:val="30"/>
          <w:lang w:val="en-US" w:eastAsia="zh-CN"/>
        </w:rPr>
      </w:pPr>
      <w:r>
        <w:rPr>
          <w:rFonts w:hint="default" w:ascii="Times New Roman" w:hAnsi="Times New Roman" w:eastAsia="楷体" w:cs="Times New Roman"/>
          <w:b w:val="0"/>
          <w:bCs w:val="0"/>
          <w:sz w:val="30"/>
          <w:szCs w:val="30"/>
          <w:lang w:val="en-US" w:eastAsia="zh-CN"/>
        </w:rPr>
        <w:t>湖南</w:t>
      </w:r>
      <w:r>
        <w:rPr>
          <w:rFonts w:hint="eastAsia" w:ascii="微软雅黑" w:hAnsi="微软雅黑" w:eastAsia="微软雅黑" w:cs="微软雅黑"/>
          <w:b w:val="0"/>
          <w:bCs w:val="0"/>
          <w:sz w:val="30"/>
          <w:szCs w:val="30"/>
          <w:lang w:val="en-US" w:eastAsia="zh-CN"/>
        </w:rPr>
        <w:t>•</w:t>
      </w:r>
      <w:r>
        <w:rPr>
          <w:rFonts w:hint="default" w:ascii="Times New Roman" w:hAnsi="Times New Roman" w:eastAsia="楷体" w:cs="Times New Roman"/>
          <w:b w:val="0"/>
          <w:bCs w:val="0"/>
          <w:sz w:val="30"/>
          <w:szCs w:val="30"/>
          <w:lang w:val="en-US" w:eastAsia="zh-CN"/>
        </w:rPr>
        <w:t>长沙</w:t>
      </w:r>
      <w:r>
        <w:rPr>
          <w:rFonts w:hint="default" w:ascii="Times New Roman" w:hAnsi="Times New Roman" w:cs="Times New Roman"/>
          <w:sz w:val="30"/>
          <w:szCs w:val="30"/>
          <w:lang w:val="en-US" w:eastAsia="zh-CN"/>
        </w:rPr>
        <w:t xml:space="preserve">  </w:t>
      </w:r>
      <w:r>
        <w:rPr>
          <w:rFonts w:hint="default" w:ascii="Times New Roman" w:hAnsi="Times New Roman" w:cs="Times New Roman"/>
          <w:lang w:val="en-US" w:eastAsia="zh-CN"/>
        </w:rPr>
        <w:t xml:space="preserve">                    </w:t>
      </w:r>
      <w:r>
        <w:rPr>
          <w:rFonts w:hint="default" w:ascii="Times New Roman" w:hAnsi="Times New Roman" w:eastAsia="楷体" w:cs="Times New Roman"/>
          <w:sz w:val="30"/>
          <w:szCs w:val="30"/>
          <w:lang w:val="en-US" w:eastAsia="zh-CN"/>
        </w:rPr>
        <w:t>中国注册会计师：</w:t>
      </w:r>
    </w:p>
    <w:p>
      <w:pPr>
        <w:pStyle w:val="14"/>
        <w:rPr>
          <w:rFonts w:hint="default" w:ascii="Times New Roman" w:hAnsi="Times New Roman" w:cs="Times New Roman"/>
          <w:lang w:val="en-US" w:eastAsia="zh-CN"/>
        </w:rPr>
      </w:pPr>
    </w:p>
    <w:p>
      <w:pPr>
        <w:pStyle w:val="14"/>
        <w:ind w:firstLine="0" w:firstLineChars="0"/>
        <w:jc w:val="right"/>
        <w:rPr>
          <w:rFonts w:hint="default" w:ascii="Times New Roman" w:hAnsi="Times New Roman" w:eastAsia="楷体" w:cs="Times New Roman"/>
          <w:b w:val="0"/>
          <w:bCs w:val="0"/>
          <w:sz w:val="30"/>
          <w:szCs w:val="30"/>
          <w:highlight w:val="none"/>
          <w:lang w:val="en-US" w:eastAsia="zh-CN"/>
        </w:rPr>
      </w:pPr>
      <w:r>
        <w:rPr>
          <w:rFonts w:hint="default" w:ascii="Times New Roman" w:hAnsi="Times New Roman" w:eastAsia="楷体" w:cs="Times New Roman"/>
          <w:kern w:val="2"/>
          <w:sz w:val="30"/>
          <w:szCs w:val="30"/>
          <w:lang w:val="en-US" w:eastAsia="zh-CN" w:bidi="ar-SA"/>
        </w:rPr>
        <w:t>二〇二三年</w:t>
      </w:r>
      <w:r>
        <w:rPr>
          <w:rFonts w:hint="default" w:ascii="Times New Roman" w:hAnsi="Times New Roman" w:eastAsia="楷体" w:cs="Times New Roman"/>
          <w:kern w:val="2"/>
          <w:sz w:val="30"/>
          <w:szCs w:val="30"/>
          <w:highlight w:val="none"/>
          <w:lang w:val="en-US" w:eastAsia="zh-CN" w:bidi="ar-SA"/>
        </w:rPr>
        <w:t>十月二十日</w:t>
      </w:r>
    </w:p>
    <w:p>
      <w:pPr>
        <w:pStyle w:val="14"/>
        <w:ind w:firstLine="5890" w:firstLineChars="1900"/>
        <w:rPr>
          <w:rFonts w:hint="default" w:ascii="Times New Roman" w:hAnsi="Times New Roman" w:eastAsia="仿宋" w:cs="Times New Roman"/>
          <w:b w:val="0"/>
          <w:bCs w:val="0"/>
          <w:sz w:val="31"/>
          <w:szCs w:val="31"/>
          <w:highlight w:val="none"/>
          <w:lang w:val="en-US" w:eastAsia="zh-CN"/>
        </w:rPr>
        <w:sectPr>
          <w:headerReference r:id="rId7" w:type="default"/>
          <w:pgSz w:w="11906" w:h="16838"/>
          <w:pgMar w:top="1440" w:right="1803" w:bottom="1440" w:left="1803" w:header="624" w:footer="992" w:gutter="0"/>
          <w:pgBorders>
            <w:top w:val="none" w:sz="0" w:space="0"/>
            <w:left w:val="none" w:sz="0" w:space="0"/>
            <w:bottom w:val="none" w:sz="0" w:space="0"/>
            <w:right w:val="none" w:sz="0" w:space="0"/>
          </w:pgBorders>
          <w:pgNumType w:fmt="decimal"/>
          <w:cols w:space="425" w:num="1"/>
          <w:docGrid w:type="lines" w:linePitch="312" w:charSpace="0"/>
        </w:sect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default" w:ascii="Times New Roman" w:hAnsi="Times New Roman" w:eastAsia="仿宋" w:cs="Times New Roman"/>
          <w:snapToGrid w:val="0"/>
          <w:color w:val="000000"/>
          <w:spacing w:val="-13"/>
          <w:kern w:val="0"/>
          <w:sz w:val="32"/>
          <w:szCs w:val="32"/>
          <w:lang w:val="en-US" w:eastAsia="zh-CN"/>
        </w:rPr>
      </w:pPr>
      <w:r>
        <w:rPr>
          <w:rFonts w:hint="default" w:ascii="Times New Roman" w:hAnsi="Times New Roman" w:eastAsia="仿宋" w:cs="Times New Roman"/>
          <w:snapToGrid w:val="0"/>
          <w:color w:val="000000"/>
          <w:spacing w:val="-13"/>
          <w:kern w:val="0"/>
          <w:sz w:val="32"/>
          <w:szCs w:val="32"/>
          <w:lang w:val="en-US" w:eastAsia="zh-CN"/>
        </w:rPr>
        <w:t>附件</w:t>
      </w:r>
      <w:r>
        <w:rPr>
          <w:rFonts w:hint="eastAsia" w:cs="Times New Roman"/>
          <w:snapToGrid w:val="0"/>
          <w:color w:val="000000"/>
          <w:spacing w:val="-13"/>
          <w:kern w:val="0"/>
          <w:sz w:val="32"/>
          <w:szCs w:val="32"/>
          <w:lang w:val="en-US" w:eastAsia="zh-CN"/>
        </w:rPr>
        <w:t>1：</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default" w:ascii="Times New Roman" w:hAnsi="Times New Roman" w:eastAsia="方正小标宋简体" w:cs="Times New Roman"/>
          <w:b w:val="0"/>
          <w:bCs w:val="0"/>
          <w:snapToGrid w:val="0"/>
          <w:color w:val="000000"/>
          <w:spacing w:val="-3"/>
          <w:kern w:val="0"/>
          <w:sz w:val="36"/>
          <w:szCs w:val="36"/>
          <w:lang w:val="en-US" w:eastAsia="zh-CN"/>
        </w:rPr>
      </w:pPr>
      <w:r>
        <w:rPr>
          <w:rFonts w:hint="default" w:ascii="Times New Roman" w:hAnsi="Times New Roman" w:eastAsia="方正小标宋简体" w:cs="Times New Roman"/>
          <w:b w:val="0"/>
          <w:bCs w:val="0"/>
          <w:snapToGrid w:val="0"/>
          <w:color w:val="000000"/>
          <w:spacing w:val="-3"/>
          <w:kern w:val="0"/>
          <w:sz w:val="36"/>
          <w:szCs w:val="36"/>
          <w:lang w:val="en-US" w:eastAsia="zh-CN"/>
        </w:rPr>
        <w:t>邵阳市北塔区畜牧水产事务中心2022年度部门整体支出绩效评价指标表</w:t>
      </w:r>
    </w:p>
    <w:tbl>
      <w:tblPr>
        <w:tblStyle w:val="19"/>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91"/>
        <w:gridCol w:w="1089"/>
        <w:gridCol w:w="1581"/>
        <w:gridCol w:w="984"/>
        <w:gridCol w:w="6194"/>
        <w:gridCol w:w="999"/>
        <w:gridCol w:w="30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blHeader/>
          <w:jc w:val="center"/>
        </w:trPr>
        <w:tc>
          <w:tcPr>
            <w:tcW w:w="395"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b/>
                <w:bCs/>
                <w:color w:val="000000"/>
                <w:sz w:val="18"/>
                <w:szCs w:val="18"/>
              </w:rPr>
            </w:pPr>
            <w:r>
              <w:rPr>
                <w:rFonts w:hint="default" w:ascii="Times New Roman" w:hAnsi="Times New Roman" w:cs="Times New Roman" w:eastAsiaTheme="minorEastAsia"/>
                <w:b/>
                <w:bCs/>
                <w:color w:val="000000"/>
                <w:sz w:val="18"/>
                <w:szCs w:val="18"/>
              </w:rPr>
              <w:t>一级指标</w:t>
            </w:r>
          </w:p>
        </w:tc>
        <w:tc>
          <w:tcPr>
            <w:tcW w:w="36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b/>
                <w:bCs/>
                <w:color w:val="000000"/>
                <w:sz w:val="18"/>
                <w:szCs w:val="18"/>
              </w:rPr>
            </w:pPr>
            <w:r>
              <w:rPr>
                <w:rFonts w:hint="default" w:ascii="Times New Roman" w:hAnsi="Times New Roman" w:cs="Times New Roman" w:eastAsiaTheme="minorEastAsia"/>
                <w:b/>
                <w:bCs/>
                <w:color w:val="000000"/>
                <w:sz w:val="18"/>
                <w:szCs w:val="18"/>
              </w:rPr>
              <w:t>二级指标</w:t>
            </w:r>
          </w:p>
        </w:tc>
        <w:tc>
          <w:tcPr>
            <w:tcW w:w="523"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b/>
                <w:bCs/>
                <w:color w:val="000000"/>
                <w:sz w:val="18"/>
                <w:szCs w:val="18"/>
              </w:rPr>
            </w:pPr>
            <w:r>
              <w:rPr>
                <w:rFonts w:hint="default" w:ascii="Times New Roman" w:hAnsi="Times New Roman" w:cs="Times New Roman" w:eastAsiaTheme="minorEastAsia"/>
                <w:b/>
                <w:bCs/>
                <w:color w:val="000000"/>
                <w:sz w:val="18"/>
                <w:szCs w:val="18"/>
              </w:rPr>
              <w:t>三级指标</w:t>
            </w:r>
          </w:p>
        </w:tc>
        <w:tc>
          <w:tcPr>
            <w:tcW w:w="32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b/>
                <w:bCs/>
                <w:color w:val="000000"/>
                <w:sz w:val="18"/>
                <w:szCs w:val="18"/>
              </w:rPr>
            </w:pPr>
            <w:r>
              <w:rPr>
                <w:rFonts w:hint="default" w:ascii="Times New Roman" w:hAnsi="Times New Roman" w:cs="Times New Roman" w:eastAsiaTheme="minorEastAsia"/>
                <w:b/>
                <w:bCs/>
                <w:color w:val="000000"/>
                <w:sz w:val="18"/>
                <w:szCs w:val="18"/>
              </w:rPr>
              <w:t>标准分值</w:t>
            </w:r>
          </w:p>
        </w:tc>
        <w:tc>
          <w:tcPr>
            <w:tcW w:w="2053"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b/>
                <w:bCs/>
                <w:color w:val="000000"/>
                <w:sz w:val="18"/>
                <w:szCs w:val="18"/>
              </w:rPr>
            </w:pPr>
            <w:r>
              <w:rPr>
                <w:rFonts w:hint="default" w:ascii="Times New Roman" w:hAnsi="Times New Roman" w:cs="Times New Roman" w:eastAsiaTheme="minorEastAsia"/>
                <w:b/>
                <w:bCs/>
                <w:color w:val="000000"/>
                <w:sz w:val="18"/>
                <w:szCs w:val="18"/>
              </w:rPr>
              <w:t>评价标准</w:t>
            </w:r>
          </w:p>
        </w:tc>
        <w:tc>
          <w:tcPr>
            <w:tcW w:w="33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b/>
                <w:bCs/>
                <w:color w:val="000000"/>
                <w:sz w:val="18"/>
                <w:szCs w:val="18"/>
              </w:rPr>
            </w:pPr>
            <w:r>
              <w:rPr>
                <w:rFonts w:hint="default" w:ascii="Times New Roman" w:hAnsi="Times New Roman" w:cs="Times New Roman" w:eastAsiaTheme="minorEastAsia"/>
                <w:b/>
                <w:bCs/>
                <w:color w:val="000000"/>
                <w:sz w:val="18"/>
                <w:szCs w:val="18"/>
              </w:rPr>
              <w:t>评价得分</w:t>
            </w:r>
          </w:p>
        </w:tc>
        <w:tc>
          <w:tcPr>
            <w:tcW w:w="100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b/>
                <w:bCs/>
                <w:color w:val="000000"/>
                <w:sz w:val="18"/>
                <w:szCs w:val="18"/>
              </w:rPr>
            </w:pPr>
            <w:r>
              <w:rPr>
                <w:rFonts w:hint="default" w:ascii="Times New Roman" w:hAnsi="Times New Roman" w:cs="Times New Roman" w:eastAsiaTheme="minorEastAsia"/>
                <w:b/>
                <w:bCs/>
                <w:color w:val="000000"/>
                <w:sz w:val="18"/>
                <w:szCs w:val="18"/>
              </w:rPr>
              <w:t>扣分原因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95" w:type="pct"/>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投入</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（15分）</w:t>
            </w:r>
          </w:p>
        </w:tc>
        <w:tc>
          <w:tcPr>
            <w:tcW w:w="361" w:type="pct"/>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目标设定（6分）</w:t>
            </w:r>
          </w:p>
        </w:tc>
        <w:tc>
          <w:tcPr>
            <w:tcW w:w="523"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绩效目标合理性</w:t>
            </w:r>
          </w:p>
        </w:tc>
        <w:tc>
          <w:tcPr>
            <w:tcW w:w="32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3</w:t>
            </w:r>
          </w:p>
        </w:tc>
        <w:tc>
          <w:tcPr>
            <w:tcW w:w="2053"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绩效目标未达到以下标准的，每条扣0.5分，扣完为止：①符合国家法律法规、国民经济和社会发展总体规划；②符合部门“三定”方案确定的职责；③符合部门制定的中长期实施规划和年度工作计划。</w:t>
            </w:r>
          </w:p>
        </w:tc>
        <w:tc>
          <w:tcPr>
            <w:tcW w:w="33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18"/>
                <w:szCs w:val="18"/>
                <w:lang w:eastAsia="zh-CN"/>
              </w:rPr>
            </w:pPr>
            <w:r>
              <w:rPr>
                <w:rFonts w:hint="default" w:ascii="Times New Roman" w:hAnsi="Times New Roman" w:cs="Times New Roman" w:eastAsiaTheme="minorEastAsia"/>
                <w:color w:val="000000"/>
                <w:sz w:val="18"/>
                <w:szCs w:val="18"/>
                <w:lang w:eastAsia="zh-CN"/>
              </w:rPr>
              <w:t>0</w:t>
            </w:r>
          </w:p>
        </w:tc>
        <w:tc>
          <w:tcPr>
            <w:tcW w:w="100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cs="Times New Roman" w:eastAsiaTheme="minorEastAsia"/>
                <w:color w:val="000000"/>
                <w:kern w:val="2"/>
                <w:sz w:val="18"/>
                <w:szCs w:val="18"/>
                <w:lang w:val="en-US" w:eastAsia="zh-CN" w:bidi="ar-SA"/>
              </w:rPr>
            </w:pPr>
            <w:r>
              <w:rPr>
                <w:rFonts w:hint="default" w:ascii="Times New Roman" w:hAnsi="Times New Roman" w:cs="Times New Roman" w:eastAsiaTheme="minorEastAsia"/>
                <w:color w:val="000000"/>
                <w:sz w:val="18"/>
                <w:szCs w:val="18"/>
                <w:lang w:eastAsia="zh-CN"/>
              </w:rPr>
              <w:t>未制定部门整体绩效目标，扣</w:t>
            </w:r>
            <w:r>
              <w:rPr>
                <w:rFonts w:hint="default" w:ascii="Times New Roman" w:hAnsi="Times New Roman" w:cs="Times New Roman" w:eastAsiaTheme="minorEastAsia"/>
                <w:color w:val="000000"/>
                <w:sz w:val="18"/>
                <w:szCs w:val="18"/>
                <w:lang w:val="en-US" w:eastAsia="zh-CN"/>
              </w:rPr>
              <w:t>3分。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95"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eastAsiaTheme="minorEastAsia"/>
                <w:color w:val="000000"/>
                <w:sz w:val="18"/>
                <w:szCs w:val="18"/>
              </w:rPr>
            </w:pPr>
          </w:p>
        </w:tc>
        <w:tc>
          <w:tcPr>
            <w:tcW w:w="36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eastAsiaTheme="minorEastAsia"/>
                <w:color w:val="000000"/>
                <w:sz w:val="18"/>
                <w:szCs w:val="18"/>
              </w:rPr>
            </w:pPr>
          </w:p>
        </w:tc>
        <w:tc>
          <w:tcPr>
            <w:tcW w:w="523"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绩效指标明确性</w:t>
            </w:r>
          </w:p>
        </w:tc>
        <w:tc>
          <w:tcPr>
            <w:tcW w:w="32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3</w:t>
            </w:r>
          </w:p>
        </w:tc>
        <w:tc>
          <w:tcPr>
            <w:tcW w:w="2053"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lang w:val="en-US" w:eastAsia="zh-CN"/>
              </w:rPr>
              <w:t>是否</w:t>
            </w:r>
            <w:r>
              <w:rPr>
                <w:rFonts w:hint="default" w:ascii="Times New Roman" w:hAnsi="Times New Roman" w:cs="Times New Roman" w:eastAsiaTheme="minorEastAsia"/>
                <w:color w:val="000000"/>
                <w:sz w:val="18"/>
                <w:szCs w:val="18"/>
              </w:rPr>
              <w:t>将部门整体的绩效目标细化分解为具体的工作任务；通过清晰、可衡量的指标值予以体现。与部门年度的任务数或计划数相对应；与本年度部门预算资金相匹配。</w:t>
            </w:r>
            <w:r>
              <w:rPr>
                <w:rFonts w:hint="default" w:ascii="Times New Roman" w:hAnsi="Times New Roman" w:cs="Times New Roman" w:eastAsiaTheme="minorEastAsia"/>
                <w:color w:val="000000"/>
                <w:sz w:val="18"/>
                <w:szCs w:val="18"/>
                <w:lang w:val="en-US" w:eastAsia="zh-CN"/>
              </w:rPr>
              <w:t>每发现一项不符扣1分，</w:t>
            </w:r>
            <w:r>
              <w:rPr>
                <w:rFonts w:hint="default" w:ascii="Times New Roman" w:hAnsi="Times New Roman" w:cs="Times New Roman" w:eastAsiaTheme="minorEastAsia"/>
                <w:color w:val="000000"/>
                <w:sz w:val="18"/>
                <w:szCs w:val="18"/>
              </w:rPr>
              <w:t>本项扣完为止。</w:t>
            </w:r>
          </w:p>
        </w:tc>
        <w:tc>
          <w:tcPr>
            <w:tcW w:w="33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18"/>
                <w:szCs w:val="18"/>
                <w:lang w:val="en-US" w:eastAsia="zh-CN"/>
              </w:rPr>
            </w:pPr>
            <w:r>
              <w:rPr>
                <w:rFonts w:hint="default" w:ascii="Times New Roman" w:hAnsi="Times New Roman" w:cs="Times New Roman" w:eastAsiaTheme="minorEastAsia"/>
                <w:color w:val="000000"/>
                <w:sz w:val="18"/>
                <w:szCs w:val="18"/>
                <w:lang w:val="en-US" w:eastAsia="zh-CN"/>
              </w:rPr>
              <w:t>0</w:t>
            </w:r>
          </w:p>
        </w:tc>
        <w:tc>
          <w:tcPr>
            <w:tcW w:w="100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cs="Times New Roman" w:eastAsiaTheme="minorEastAsia"/>
                <w:color w:val="000000"/>
                <w:sz w:val="18"/>
                <w:szCs w:val="18"/>
                <w:lang w:val="en-US" w:eastAsia="zh-CN"/>
              </w:rPr>
            </w:pPr>
            <w:r>
              <w:rPr>
                <w:rFonts w:hint="default" w:ascii="Times New Roman" w:hAnsi="Times New Roman" w:cs="Times New Roman" w:eastAsiaTheme="minorEastAsia"/>
                <w:color w:val="000000"/>
                <w:sz w:val="18"/>
                <w:szCs w:val="18"/>
                <w:lang w:eastAsia="zh-CN"/>
              </w:rPr>
              <w:t>未制定部门整体绩效目标，扣</w:t>
            </w:r>
            <w:r>
              <w:rPr>
                <w:rFonts w:hint="default" w:ascii="Times New Roman" w:hAnsi="Times New Roman" w:cs="Times New Roman" w:eastAsiaTheme="minorEastAsia"/>
                <w:color w:val="000000"/>
                <w:sz w:val="18"/>
                <w:szCs w:val="18"/>
                <w:lang w:val="en-US" w:eastAsia="zh-CN"/>
              </w:rPr>
              <w:t>3分。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95"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eastAsiaTheme="minorEastAsia"/>
                <w:color w:val="000000"/>
                <w:sz w:val="18"/>
                <w:szCs w:val="18"/>
              </w:rPr>
            </w:pPr>
          </w:p>
        </w:tc>
        <w:tc>
          <w:tcPr>
            <w:tcW w:w="361" w:type="pct"/>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预算配置（9分）</w:t>
            </w:r>
          </w:p>
        </w:tc>
        <w:tc>
          <w:tcPr>
            <w:tcW w:w="523"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lang w:val="en-US" w:eastAsia="zh-CN"/>
              </w:rPr>
              <w:t>在职</w:t>
            </w:r>
            <w:r>
              <w:rPr>
                <w:rFonts w:hint="default" w:ascii="Times New Roman" w:hAnsi="Times New Roman" w:cs="Times New Roman" w:eastAsiaTheme="minorEastAsia"/>
                <w:color w:val="000000"/>
                <w:sz w:val="18"/>
                <w:szCs w:val="18"/>
              </w:rPr>
              <w:t>人员</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控制率</w:t>
            </w:r>
          </w:p>
        </w:tc>
        <w:tc>
          <w:tcPr>
            <w:tcW w:w="32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3</w:t>
            </w:r>
          </w:p>
        </w:tc>
        <w:tc>
          <w:tcPr>
            <w:tcW w:w="2053"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以100%为标准，在职人员控制率=（在职人员数/编制数）×100%。</w:t>
            </w:r>
            <w:r>
              <w:rPr>
                <w:rFonts w:hint="default" w:ascii="Times New Roman" w:hAnsi="Times New Roman" w:cs="Times New Roman" w:eastAsiaTheme="minorEastAsia"/>
                <w:color w:val="000000"/>
                <w:sz w:val="18"/>
                <w:szCs w:val="18"/>
                <w:lang w:val="en-US" w:eastAsia="zh-CN"/>
              </w:rPr>
              <w:t>在职人员</w:t>
            </w:r>
            <w:r>
              <w:rPr>
                <w:rFonts w:hint="default" w:ascii="Times New Roman" w:hAnsi="Times New Roman" w:cs="Times New Roman" w:eastAsiaTheme="minorEastAsia"/>
                <w:color w:val="000000"/>
                <w:sz w:val="18"/>
                <w:szCs w:val="18"/>
              </w:rPr>
              <w:t>控制率≦100%，计3分，每超过1%，扣0.3分，扣完为止。</w:t>
            </w:r>
          </w:p>
        </w:tc>
        <w:tc>
          <w:tcPr>
            <w:tcW w:w="33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kern w:val="2"/>
                <w:sz w:val="18"/>
                <w:szCs w:val="18"/>
                <w:lang w:val="en-US" w:eastAsia="zh-CN" w:bidi="ar-SA"/>
              </w:rPr>
            </w:pPr>
            <w:r>
              <w:rPr>
                <w:rFonts w:hint="default" w:ascii="Times New Roman" w:hAnsi="Times New Roman" w:cs="Times New Roman" w:eastAsiaTheme="minorEastAsia"/>
                <w:color w:val="000000"/>
                <w:sz w:val="18"/>
                <w:szCs w:val="18"/>
              </w:rPr>
              <w:t>3</w:t>
            </w:r>
          </w:p>
        </w:tc>
        <w:tc>
          <w:tcPr>
            <w:tcW w:w="100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eastAsiaTheme="minorEastAsia"/>
                <w:color w:val="000000"/>
                <w:sz w:val="18"/>
                <w:szCs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95"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eastAsiaTheme="minorEastAsia"/>
                <w:color w:val="000000"/>
                <w:sz w:val="18"/>
                <w:szCs w:val="18"/>
              </w:rPr>
            </w:pPr>
          </w:p>
        </w:tc>
        <w:tc>
          <w:tcPr>
            <w:tcW w:w="361"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eastAsiaTheme="minorEastAsia"/>
                <w:color w:val="000000"/>
                <w:sz w:val="18"/>
                <w:szCs w:val="18"/>
              </w:rPr>
            </w:pPr>
          </w:p>
        </w:tc>
        <w:tc>
          <w:tcPr>
            <w:tcW w:w="523"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重点支出安排率</w:t>
            </w:r>
          </w:p>
        </w:tc>
        <w:tc>
          <w:tcPr>
            <w:tcW w:w="32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6</w:t>
            </w:r>
          </w:p>
        </w:tc>
        <w:tc>
          <w:tcPr>
            <w:tcW w:w="2053"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重点支出安排率≥90%，计6分；每少10%扣1.5分；低于60%不得分。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重点支出安排率=（重点预算支出/预算总支出）×100%。</w:t>
            </w:r>
          </w:p>
        </w:tc>
        <w:tc>
          <w:tcPr>
            <w:tcW w:w="33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kern w:val="2"/>
                <w:sz w:val="18"/>
                <w:szCs w:val="18"/>
                <w:lang w:val="en-US" w:eastAsia="zh-CN" w:bidi="ar-SA"/>
              </w:rPr>
            </w:pPr>
            <w:r>
              <w:rPr>
                <w:rFonts w:hint="default" w:ascii="Times New Roman" w:hAnsi="Times New Roman" w:cs="Times New Roman" w:eastAsiaTheme="minorEastAsia"/>
                <w:color w:val="000000"/>
                <w:sz w:val="18"/>
                <w:szCs w:val="18"/>
              </w:rPr>
              <w:t>6</w:t>
            </w:r>
          </w:p>
        </w:tc>
        <w:tc>
          <w:tcPr>
            <w:tcW w:w="100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cs="Times New Roman" w:eastAsiaTheme="minorEastAsia"/>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95" w:type="pct"/>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过程</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（25分）</w:t>
            </w:r>
          </w:p>
        </w:tc>
        <w:tc>
          <w:tcPr>
            <w:tcW w:w="361" w:type="pct"/>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预算执行（10分）</w:t>
            </w:r>
          </w:p>
        </w:tc>
        <w:tc>
          <w:tcPr>
            <w:tcW w:w="523"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预算执行率</w:t>
            </w:r>
          </w:p>
        </w:tc>
        <w:tc>
          <w:tcPr>
            <w:tcW w:w="32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2</w:t>
            </w:r>
          </w:p>
        </w:tc>
        <w:tc>
          <w:tcPr>
            <w:tcW w:w="2053"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以100%为标准。预算执行率每下降一个百分点扣0.1分，扣完为止。</w:t>
            </w:r>
          </w:p>
        </w:tc>
        <w:tc>
          <w:tcPr>
            <w:tcW w:w="33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kern w:val="2"/>
                <w:sz w:val="18"/>
                <w:szCs w:val="18"/>
                <w:lang w:val="en-US" w:eastAsia="zh-CN" w:bidi="ar-SA"/>
              </w:rPr>
            </w:pPr>
            <w:r>
              <w:rPr>
                <w:rFonts w:hint="default" w:ascii="Times New Roman" w:hAnsi="Times New Roman" w:cs="Times New Roman" w:eastAsiaTheme="minorEastAsia"/>
                <w:color w:val="000000"/>
                <w:sz w:val="18"/>
                <w:szCs w:val="18"/>
              </w:rPr>
              <w:t>2</w:t>
            </w:r>
          </w:p>
        </w:tc>
        <w:tc>
          <w:tcPr>
            <w:tcW w:w="100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cs="Times New Roman" w:eastAsiaTheme="minorEastAsia"/>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95"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eastAsiaTheme="minorEastAsia"/>
                <w:color w:val="000000"/>
                <w:sz w:val="18"/>
                <w:szCs w:val="18"/>
              </w:rPr>
            </w:pPr>
          </w:p>
        </w:tc>
        <w:tc>
          <w:tcPr>
            <w:tcW w:w="361"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eastAsiaTheme="minorEastAsia"/>
                <w:color w:val="000000"/>
                <w:sz w:val="18"/>
                <w:szCs w:val="18"/>
              </w:rPr>
            </w:pPr>
          </w:p>
        </w:tc>
        <w:tc>
          <w:tcPr>
            <w:tcW w:w="523"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支出进度</w:t>
            </w:r>
          </w:p>
        </w:tc>
        <w:tc>
          <w:tcPr>
            <w:tcW w:w="32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2</w:t>
            </w:r>
          </w:p>
        </w:tc>
        <w:tc>
          <w:tcPr>
            <w:tcW w:w="2053"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每发现一个项目未完成进度要求，完成资金下达的扣0.2分，扣完为止。</w:t>
            </w:r>
          </w:p>
        </w:tc>
        <w:tc>
          <w:tcPr>
            <w:tcW w:w="33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kern w:val="2"/>
                <w:sz w:val="18"/>
                <w:szCs w:val="18"/>
                <w:lang w:val="en-US" w:eastAsia="zh-CN" w:bidi="ar-SA"/>
              </w:rPr>
            </w:pPr>
            <w:r>
              <w:rPr>
                <w:rFonts w:hint="default" w:ascii="Times New Roman" w:hAnsi="Times New Roman" w:cs="Times New Roman" w:eastAsiaTheme="minorEastAsia"/>
                <w:color w:val="000000"/>
                <w:sz w:val="18"/>
                <w:szCs w:val="18"/>
              </w:rPr>
              <w:t>2</w:t>
            </w:r>
          </w:p>
        </w:tc>
        <w:tc>
          <w:tcPr>
            <w:tcW w:w="100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cs="Times New Roman" w:eastAsiaTheme="minorEastAsia"/>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95"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eastAsiaTheme="minorEastAsia"/>
                <w:color w:val="000000"/>
                <w:sz w:val="18"/>
                <w:szCs w:val="18"/>
              </w:rPr>
            </w:pPr>
          </w:p>
        </w:tc>
        <w:tc>
          <w:tcPr>
            <w:tcW w:w="361"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eastAsiaTheme="minorEastAsia"/>
                <w:color w:val="000000"/>
                <w:sz w:val="18"/>
                <w:szCs w:val="18"/>
              </w:rPr>
            </w:pPr>
          </w:p>
        </w:tc>
        <w:tc>
          <w:tcPr>
            <w:tcW w:w="523"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结转结余率</w:t>
            </w:r>
          </w:p>
        </w:tc>
        <w:tc>
          <w:tcPr>
            <w:tcW w:w="32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2</w:t>
            </w:r>
          </w:p>
        </w:tc>
        <w:tc>
          <w:tcPr>
            <w:tcW w:w="2053"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无结余，2分；有结余但不超过上年结转，1分；每超过上年结转1个百分点扣0.1分，扣完为止。</w:t>
            </w:r>
          </w:p>
        </w:tc>
        <w:tc>
          <w:tcPr>
            <w:tcW w:w="33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kern w:val="2"/>
                <w:sz w:val="18"/>
                <w:szCs w:val="18"/>
                <w:lang w:val="en-US" w:eastAsia="zh-CN" w:bidi="ar-SA"/>
              </w:rPr>
            </w:pPr>
            <w:r>
              <w:rPr>
                <w:rFonts w:hint="default" w:ascii="Times New Roman" w:hAnsi="Times New Roman" w:cs="Times New Roman" w:eastAsiaTheme="minorEastAsia"/>
                <w:color w:val="000000"/>
                <w:sz w:val="18"/>
                <w:szCs w:val="18"/>
              </w:rPr>
              <w:t>2</w:t>
            </w:r>
          </w:p>
        </w:tc>
        <w:tc>
          <w:tcPr>
            <w:tcW w:w="100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cs="Times New Roman" w:eastAsiaTheme="minorEastAsia"/>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95"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eastAsiaTheme="minorEastAsia"/>
                <w:color w:val="000000"/>
                <w:sz w:val="18"/>
                <w:szCs w:val="18"/>
              </w:rPr>
            </w:pPr>
          </w:p>
        </w:tc>
        <w:tc>
          <w:tcPr>
            <w:tcW w:w="361"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eastAsiaTheme="minorEastAsia"/>
                <w:color w:val="000000"/>
                <w:sz w:val="18"/>
                <w:szCs w:val="18"/>
              </w:rPr>
            </w:pPr>
          </w:p>
        </w:tc>
        <w:tc>
          <w:tcPr>
            <w:tcW w:w="523"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“三公经费”</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控制率</w:t>
            </w:r>
          </w:p>
        </w:tc>
        <w:tc>
          <w:tcPr>
            <w:tcW w:w="32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2</w:t>
            </w:r>
          </w:p>
        </w:tc>
        <w:tc>
          <w:tcPr>
            <w:tcW w:w="2053"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以100%为标准。控制率≤100%，计2分；每超过一个百分点扣0.4分。</w:t>
            </w:r>
          </w:p>
        </w:tc>
        <w:tc>
          <w:tcPr>
            <w:tcW w:w="33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kern w:val="2"/>
                <w:sz w:val="18"/>
                <w:szCs w:val="18"/>
                <w:lang w:val="en-US" w:eastAsia="zh-CN" w:bidi="ar-SA"/>
              </w:rPr>
            </w:pPr>
            <w:r>
              <w:rPr>
                <w:rFonts w:hint="default" w:ascii="Times New Roman" w:hAnsi="Times New Roman" w:cs="Times New Roman" w:eastAsiaTheme="minorEastAsia"/>
                <w:color w:val="000000"/>
                <w:sz w:val="18"/>
                <w:szCs w:val="18"/>
              </w:rPr>
              <w:t>2</w:t>
            </w:r>
          </w:p>
        </w:tc>
        <w:tc>
          <w:tcPr>
            <w:tcW w:w="100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cs="Times New Roman" w:eastAsiaTheme="minorEastAsia"/>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jc w:val="center"/>
        </w:trPr>
        <w:tc>
          <w:tcPr>
            <w:tcW w:w="395"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eastAsiaTheme="minorEastAsia"/>
                <w:color w:val="000000"/>
                <w:sz w:val="18"/>
                <w:szCs w:val="18"/>
              </w:rPr>
            </w:pPr>
          </w:p>
        </w:tc>
        <w:tc>
          <w:tcPr>
            <w:tcW w:w="361"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eastAsiaTheme="minorEastAsia"/>
                <w:color w:val="000000"/>
                <w:sz w:val="18"/>
                <w:szCs w:val="18"/>
              </w:rPr>
            </w:pPr>
          </w:p>
        </w:tc>
        <w:tc>
          <w:tcPr>
            <w:tcW w:w="523"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政府采购执行率</w:t>
            </w:r>
          </w:p>
        </w:tc>
        <w:tc>
          <w:tcPr>
            <w:tcW w:w="32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2</w:t>
            </w:r>
          </w:p>
        </w:tc>
        <w:tc>
          <w:tcPr>
            <w:tcW w:w="2053"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100%计满分，每低于1个百分点扣0.2分。</w:t>
            </w:r>
          </w:p>
        </w:tc>
        <w:tc>
          <w:tcPr>
            <w:tcW w:w="33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kern w:val="2"/>
                <w:sz w:val="18"/>
                <w:szCs w:val="18"/>
                <w:lang w:val="en-US" w:eastAsia="zh-CN" w:bidi="ar-SA"/>
              </w:rPr>
            </w:pPr>
            <w:r>
              <w:rPr>
                <w:rFonts w:hint="default" w:ascii="Times New Roman" w:hAnsi="Times New Roman" w:cs="Times New Roman" w:eastAsiaTheme="minorEastAsia"/>
                <w:color w:val="000000"/>
                <w:sz w:val="18"/>
                <w:szCs w:val="18"/>
              </w:rPr>
              <w:t>2</w:t>
            </w:r>
          </w:p>
        </w:tc>
        <w:tc>
          <w:tcPr>
            <w:tcW w:w="100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cs="Times New Roman" w:eastAsiaTheme="minorEastAsia"/>
                <w:color w:val="000000"/>
                <w:sz w:val="18"/>
                <w:szCs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95"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eastAsiaTheme="minorEastAsia"/>
                <w:color w:val="000000"/>
                <w:sz w:val="18"/>
                <w:szCs w:val="18"/>
              </w:rPr>
            </w:pPr>
          </w:p>
        </w:tc>
        <w:tc>
          <w:tcPr>
            <w:tcW w:w="361" w:type="pct"/>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预算管理（12分）</w:t>
            </w:r>
          </w:p>
        </w:tc>
        <w:tc>
          <w:tcPr>
            <w:tcW w:w="523"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管理制度健全性</w:t>
            </w:r>
          </w:p>
        </w:tc>
        <w:tc>
          <w:tcPr>
            <w:tcW w:w="32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3</w:t>
            </w:r>
          </w:p>
        </w:tc>
        <w:tc>
          <w:tcPr>
            <w:tcW w:w="2053"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①有制定管理制度，计1分；②管理制度合法、合规、完整，计1分；③相关管理制度得到有效执行计1分。</w:t>
            </w:r>
          </w:p>
        </w:tc>
        <w:tc>
          <w:tcPr>
            <w:tcW w:w="33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kern w:val="2"/>
                <w:sz w:val="18"/>
                <w:szCs w:val="18"/>
                <w:lang w:val="en-US" w:eastAsia="zh-CN" w:bidi="ar-SA"/>
              </w:rPr>
            </w:pPr>
            <w:r>
              <w:rPr>
                <w:rFonts w:hint="default" w:ascii="Times New Roman" w:hAnsi="Times New Roman" w:cs="Times New Roman" w:eastAsiaTheme="minorEastAsia"/>
                <w:color w:val="000000"/>
                <w:sz w:val="18"/>
                <w:szCs w:val="18"/>
              </w:rPr>
              <w:t>3</w:t>
            </w:r>
          </w:p>
        </w:tc>
        <w:tc>
          <w:tcPr>
            <w:tcW w:w="100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cs="Times New Roman" w:eastAsiaTheme="minorEastAsia"/>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95"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eastAsiaTheme="minorEastAsia"/>
                <w:color w:val="000000"/>
                <w:sz w:val="18"/>
                <w:szCs w:val="18"/>
              </w:rPr>
            </w:pPr>
          </w:p>
        </w:tc>
        <w:tc>
          <w:tcPr>
            <w:tcW w:w="36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eastAsiaTheme="minorEastAsia"/>
                <w:color w:val="000000"/>
                <w:sz w:val="18"/>
                <w:szCs w:val="18"/>
              </w:rPr>
            </w:pPr>
          </w:p>
        </w:tc>
        <w:tc>
          <w:tcPr>
            <w:tcW w:w="523"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资金使用合规性</w:t>
            </w:r>
          </w:p>
        </w:tc>
        <w:tc>
          <w:tcPr>
            <w:tcW w:w="32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5</w:t>
            </w:r>
          </w:p>
        </w:tc>
        <w:tc>
          <w:tcPr>
            <w:tcW w:w="2053"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①支出符合国家财经法规和财务管理制度规定以及有关专项资金管理办法的规定，2分。出现截留、挤占、挪用、虚列支出，大额现金支付、违规借出（占用）、乱发滥补、虚报冒领，转嫁支出、乱开户乱存放、私设小金库等违规行为，酌情扣分，扣完为止。</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②资金拨付有完整的审批程序和手续，1分；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③项目支出按规定经过评估论证，1分；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④支出符合部门预算批复的用途，1分。</w:t>
            </w:r>
          </w:p>
        </w:tc>
        <w:tc>
          <w:tcPr>
            <w:tcW w:w="33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kern w:val="2"/>
                <w:sz w:val="18"/>
                <w:szCs w:val="18"/>
                <w:lang w:val="en-US" w:eastAsia="zh-CN" w:bidi="ar-SA"/>
              </w:rPr>
            </w:pPr>
            <w:r>
              <w:rPr>
                <w:rFonts w:hint="default" w:ascii="Times New Roman" w:hAnsi="Times New Roman" w:cs="Times New Roman" w:eastAsiaTheme="minorEastAsia"/>
                <w:color w:val="000000"/>
                <w:sz w:val="18"/>
                <w:szCs w:val="18"/>
                <w:lang w:val="en-US" w:eastAsia="zh-CN"/>
              </w:rPr>
              <w:t>3</w:t>
            </w:r>
          </w:p>
        </w:tc>
        <w:tc>
          <w:tcPr>
            <w:tcW w:w="100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cs="Times New Roman" w:eastAsiaTheme="minorEastAsia"/>
                <w:color w:val="000000"/>
                <w:sz w:val="18"/>
                <w:szCs w:val="18"/>
                <w:lang w:val="en-US" w:eastAsia="zh-CN"/>
              </w:rPr>
            </w:pPr>
            <w:r>
              <w:rPr>
                <w:rFonts w:hint="eastAsia" w:cs="Times New Roman" w:eastAsiaTheme="minorEastAsia"/>
                <w:color w:val="000000"/>
                <w:sz w:val="18"/>
                <w:szCs w:val="18"/>
                <w:lang w:val="en-US" w:eastAsia="zh-CN"/>
              </w:rPr>
              <w:t>存在</w:t>
            </w:r>
            <w:r>
              <w:rPr>
                <w:rFonts w:hint="default" w:ascii="Times New Roman" w:hAnsi="Times New Roman" w:cs="Times New Roman" w:eastAsiaTheme="minorEastAsia"/>
                <w:color w:val="000000"/>
                <w:sz w:val="18"/>
                <w:szCs w:val="18"/>
              </w:rPr>
              <w:t>预算资金调剂使用</w:t>
            </w:r>
            <w:r>
              <w:rPr>
                <w:rFonts w:hint="eastAsia" w:cs="Times New Roman" w:eastAsiaTheme="minorEastAsia"/>
                <w:color w:val="000000"/>
                <w:sz w:val="18"/>
                <w:szCs w:val="18"/>
                <w:lang w:eastAsia="zh-CN"/>
              </w:rPr>
              <w:t>、</w:t>
            </w:r>
            <w:r>
              <w:rPr>
                <w:rFonts w:hint="eastAsia" w:cs="Times New Roman" w:eastAsiaTheme="minorEastAsia"/>
                <w:color w:val="000000"/>
                <w:sz w:val="18"/>
                <w:szCs w:val="18"/>
                <w:lang w:val="en-US" w:eastAsia="zh-CN"/>
              </w:rPr>
              <w:t>发票管理欠规范、附件不全等情况，酌情</w:t>
            </w:r>
            <w:r>
              <w:rPr>
                <w:rFonts w:hint="default" w:ascii="Times New Roman" w:hAnsi="Times New Roman" w:cs="Times New Roman" w:eastAsiaTheme="minorEastAsia"/>
                <w:color w:val="000000"/>
                <w:sz w:val="18"/>
                <w:szCs w:val="18"/>
                <w:lang w:eastAsia="zh-CN"/>
              </w:rPr>
              <w:t>扣</w:t>
            </w:r>
            <w:r>
              <w:rPr>
                <w:rFonts w:hint="eastAsia" w:cs="Times New Roman" w:eastAsiaTheme="minorEastAsia"/>
                <w:color w:val="000000"/>
                <w:sz w:val="18"/>
                <w:szCs w:val="18"/>
                <w:lang w:val="en-US" w:eastAsia="zh-CN"/>
              </w:rPr>
              <w:t>2</w:t>
            </w:r>
            <w:r>
              <w:rPr>
                <w:rFonts w:hint="default" w:ascii="Times New Roman" w:hAnsi="Times New Roman" w:cs="Times New Roman" w:eastAsiaTheme="minorEastAsia"/>
                <w:color w:val="000000"/>
                <w:sz w:val="18"/>
                <w:szCs w:val="18"/>
                <w:lang w:val="en-US" w:eastAsia="zh-CN"/>
              </w:rPr>
              <w:t>分</w:t>
            </w:r>
            <w:r>
              <w:rPr>
                <w:rFonts w:hint="eastAsia" w:cs="Times New Roman" w:eastAsiaTheme="minorEastAsia"/>
                <w:color w:val="000000"/>
                <w:sz w:val="18"/>
                <w:szCs w:val="18"/>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95"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eastAsiaTheme="minorEastAsia"/>
                <w:color w:val="000000"/>
                <w:sz w:val="18"/>
                <w:szCs w:val="18"/>
              </w:rPr>
            </w:pPr>
          </w:p>
        </w:tc>
        <w:tc>
          <w:tcPr>
            <w:tcW w:w="36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eastAsiaTheme="minorEastAsia"/>
                <w:color w:val="000000"/>
                <w:sz w:val="18"/>
                <w:szCs w:val="18"/>
              </w:rPr>
            </w:pPr>
          </w:p>
        </w:tc>
        <w:tc>
          <w:tcPr>
            <w:tcW w:w="523"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预决算信息</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公开性</w:t>
            </w:r>
          </w:p>
        </w:tc>
        <w:tc>
          <w:tcPr>
            <w:tcW w:w="32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2</w:t>
            </w:r>
          </w:p>
        </w:tc>
        <w:tc>
          <w:tcPr>
            <w:tcW w:w="2053"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①按规定内容公开预决算信息，计1分；②按规定时限公开预决算信息，计1分。</w:t>
            </w:r>
          </w:p>
        </w:tc>
        <w:tc>
          <w:tcPr>
            <w:tcW w:w="33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kern w:val="2"/>
                <w:sz w:val="18"/>
                <w:szCs w:val="18"/>
                <w:lang w:val="en-US" w:eastAsia="zh-CN" w:bidi="ar-SA"/>
              </w:rPr>
            </w:pPr>
            <w:r>
              <w:rPr>
                <w:rFonts w:hint="default" w:ascii="Times New Roman" w:hAnsi="Times New Roman" w:cs="Times New Roman" w:eastAsiaTheme="minorEastAsia"/>
                <w:color w:val="000000"/>
                <w:sz w:val="18"/>
                <w:szCs w:val="18"/>
              </w:rPr>
              <w:t>2</w:t>
            </w:r>
          </w:p>
        </w:tc>
        <w:tc>
          <w:tcPr>
            <w:tcW w:w="100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cs="Times New Roman" w:eastAsiaTheme="minorEastAsia"/>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95"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eastAsiaTheme="minorEastAsia"/>
                <w:color w:val="000000"/>
                <w:sz w:val="18"/>
                <w:szCs w:val="18"/>
              </w:rPr>
            </w:pPr>
          </w:p>
        </w:tc>
        <w:tc>
          <w:tcPr>
            <w:tcW w:w="36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eastAsiaTheme="minorEastAsia"/>
                <w:color w:val="000000"/>
                <w:sz w:val="18"/>
                <w:szCs w:val="18"/>
              </w:rPr>
            </w:pPr>
          </w:p>
        </w:tc>
        <w:tc>
          <w:tcPr>
            <w:tcW w:w="523"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基础信息完善性</w:t>
            </w:r>
          </w:p>
        </w:tc>
        <w:tc>
          <w:tcPr>
            <w:tcW w:w="32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2</w:t>
            </w:r>
          </w:p>
        </w:tc>
        <w:tc>
          <w:tcPr>
            <w:tcW w:w="2053"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①基础数据信息和会计信息资料真实，计1分；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②基础数据信息和会计信息资料完整、准确，计1分。</w:t>
            </w:r>
          </w:p>
        </w:tc>
        <w:tc>
          <w:tcPr>
            <w:tcW w:w="33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kern w:val="2"/>
                <w:sz w:val="18"/>
                <w:szCs w:val="18"/>
                <w:lang w:val="en-US" w:eastAsia="zh-CN" w:bidi="ar-SA"/>
              </w:rPr>
            </w:pPr>
            <w:r>
              <w:rPr>
                <w:rFonts w:hint="default" w:ascii="Times New Roman" w:hAnsi="Times New Roman" w:cs="Times New Roman" w:eastAsiaTheme="minorEastAsia"/>
                <w:color w:val="000000"/>
                <w:sz w:val="18"/>
                <w:szCs w:val="18"/>
              </w:rPr>
              <w:t>2</w:t>
            </w:r>
          </w:p>
        </w:tc>
        <w:tc>
          <w:tcPr>
            <w:tcW w:w="100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cs="Times New Roman" w:eastAsiaTheme="minorEastAsia"/>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95"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eastAsiaTheme="minorEastAsia"/>
                <w:color w:val="000000"/>
                <w:sz w:val="18"/>
                <w:szCs w:val="18"/>
              </w:rPr>
            </w:pPr>
          </w:p>
        </w:tc>
        <w:tc>
          <w:tcPr>
            <w:tcW w:w="361" w:type="pct"/>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资产管理（3分）</w:t>
            </w:r>
          </w:p>
        </w:tc>
        <w:tc>
          <w:tcPr>
            <w:tcW w:w="523"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资产管理安全性</w:t>
            </w:r>
          </w:p>
        </w:tc>
        <w:tc>
          <w:tcPr>
            <w:tcW w:w="32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2</w:t>
            </w:r>
          </w:p>
        </w:tc>
        <w:tc>
          <w:tcPr>
            <w:tcW w:w="2053"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①资产保存完整，计0.5分；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②资产配置合理，计0.5分；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③资产配置规范，计0.5分；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④资产账务管理合规，账实相符，计0.5分。</w:t>
            </w:r>
          </w:p>
        </w:tc>
        <w:tc>
          <w:tcPr>
            <w:tcW w:w="33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kern w:val="2"/>
                <w:sz w:val="18"/>
                <w:szCs w:val="18"/>
                <w:lang w:val="en-US" w:eastAsia="zh-CN" w:bidi="ar-SA"/>
              </w:rPr>
            </w:pPr>
            <w:r>
              <w:rPr>
                <w:rFonts w:hint="default" w:ascii="Times New Roman" w:hAnsi="Times New Roman" w:cs="Times New Roman" w:eastAsiaTheme="minorEastAsia"/>
                <w:color w:val="000000"/>
                <w:sz w:val="18"/>
                <w:szCs w:val="18"/>
                <w:lang w:val="en-US" w:eastAsia="zh-CN"/>
              </w:rPr>
              <w:t>0</w:t>
            </w:r>
          </w:p>
        </w:tc>
        <w:tc>
          <w:tcPr>
            <w:tcW w:w="100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cs="Times New Roman" w:eastAsiaTheme="minorEastAsia"/>
                <w:color w:val="000000"/>
                <w:sz w:val="18"/>
                <w:szCs w:val="18"/>
                <w:lang w:val="en-US" w:eastAsia="zh-CN"/>
              </w:rPr>
            </w:pPr>
            <w:r>
              <w:rPr>
                <w:rFonts w:hint="default" w:ascii="Times New Roman" w:hAnsi="Times New Roman" w:cs="Times New Roman" w:eastAsiaTheme="minorEastAsia"/>
                <w:color w:val="000000"/>
                <w:sz w:val="18"/>
                <w:szCs w:val="18"/>
              </w:rPr>
              <w:t>固定资产</w:t>
            </w:r>
            <w:r>
              <w:rPr>
                <w:rFonts w:hint="default" w:ascii="Times New Roman" w:hAnsi="Times New Roman" w:cs="Times New Roman" w:eastAsiaTheme="minorEastAsia"/>
                <w:color w:val="000000"/>
                <w:sz w:val="18"/>
                <w:szCs w:val="18"/>
                <w:lang w:eastAsia="zh-CN"/>
              </w:rPr>
              <w:t>未实行卡片管理，扣</w:t>
            </w:r>
            <w:r>
              <w:rPr>
                <w:rFonts w:hint="default" w:ascii="Times New Roman" w:hAnsi="Times New Roman" w:cs="Times New Roman" w:eastAsiaTheme="minorEastAsia"/>
                <w:color w:val="000000"/>
                <w:sz w:val="18"/>
                <w:szCs w:val="18"/>
                <w:lang w:val="en-US" w:eastAsia="zh-CN"/>
              </w:rPr>
              <w:t>1分；</w:t>
            </w:r>
            <w:r>
              <w:rPr>
                <w:rFonts w:hint="default" w:ascii="Times New Roman" w:hAnsi="Times New Roman" w:cs="Times New Roman" w:eastAsiaTheme="minorEastAsia"/>
                <w:color w:val="000000"/>
                <w:sz w:val="18"/>
                <w:szCs w:val="18"/>
              </w:rPr>
              <w:t>个别资产未计入固定资产</w:t>
            </w:r>
            <w:r>
              <w:rPr>
                <w:rFonts w:hint="default" w:ascii="Times New Roman" w:hAnsi="Times New Roman" w:cs="Times New Roman" w:eastAsiaTheme="minorEastAsia"/>
                <w:color w:val="000000"/>
                <w:sz w:val="18"/>
                <w:szCs w:val="18"/>
                <w:lang w:eastAsia="zh-CN"/>
              </w:rPr>
              <w:t>，扣</w:t>
            </w:r>
            <w:r>
              <w:rPr>
                <w:rFonts w:hint="default" w:ascii="Times New Roman" w:hAnsi="Times New Roman" w:cs="Times New Roman" w:eastAsiaTheme="minorEastAsia"/>
                <w:color w:val="000000"/>
                <w:sz w:val="18"/>
                <w:szCs w:val="18"/>
                <w:lang w:val="en-US" w:eastAsia="zh-CN"/>
              </w:rPr>
              <w:t>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95"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eastAsiaTheme="minorEastAsia"/>
                <w:color w:val="000000"/>
                <w:sz w:val="18"/>
                <w:szCs w:val="18"/>
              </w:rPr>
            </w:pPr>
          </w:p>
        </w:tc>
        <w:tc>
          <w:tcPr>
            <w:tcW w:w="36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eastAsiaTheme="minorEastAsia"/>
                <w:color w:val="000000"/>
                <w:sz w:val="18"/>
                <w:szCs w:val="18"/>
              </w:rPr>
            </w:pPr>
          </w:p>
        </w:tc>
        <w:tc>
          <w:tcPr>
            <w:tcW w:w="523"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固定资产利用率</w:t>
            </w:r>
          </w:p>
        </w:tc>
        <w:tc>
          <w:tcPr>
            <w:tcW w:w="32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1</w:t>
            </w:r>
          </w:p>
        </w:tc>
        <w:tc>
          <w:tcPr>
            <w:tcW w:w="2053"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每低于100%一个百分点扣0.1分，扣完为止。</w:t>
            </w:r>
          </w:p>
        </w:tc>
        <w:tc>
          <w:tcPr>
            <w:tcW w:w="33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kern w:val="2"/>
                <w:sz w:val="18"/>
                <w:szCs w:val="18"/>
                <w:lang w:val="en-US" w:eastAsia="zh-CN" w:bidi="ar-SA"/>
              </w:rPr>
            </w:pPr>
            <w:r>
              <w:rPr>
                <w:rFonts w:hint="default" w:ascii="Times New Roman" w:hAnsi="Times New Roman" w:cs="Times New Roman" w:eastAsiaTheme="minorEastAsia"/>
                <w:color w:val="000000"/>
                <w:sz w:val="18"/>
                <w:szCs w:val="18"/>
              </w:rPr>
              <w:t>1</w:t>
            </w:r>
          </w:p>
        </w:tc>
        <w:tc>
          <w:tcPr>
            <w:tcW w:w="100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cs="Times New Roman" w:eastAsiaTheme="minorEastAsia"/>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95" w:type="pct"/>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产出</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w:t>
            </w:r>
            <w:r>
              <w:rPr>
                <w:rFonts w:hint="default" w:ascii="Times New Roman" w:hAnsi="Times New Roman" w:cs="Times New Roman" w:eastAsiaTheme="minorEastAsia"/>
                <w:color w:val="000000"/>
                <w:sz w:val="18"/>
                <w:szCs w:val="18"/>
                <w:lang w:val="en-US" w:eastAsia="zh-CN"/>
              </w:rPr>
              <w:t>30</w:t>
            </w:r>
            <w:r>
              <w:rPr>
                <w:rFonts w:hint="default" w:ascii="Times New Roman" w:hAnsi="Times New Roman" w:cs="Times New Roman" w:eastAsiaTheme="minorEastAsia"/>
                <w:color w:val="000000"/>
                <w:sz w:val="18"/>
                <w:szCs w:val="18"/>
              </w:rPr>
              <w:t>分）</w:t>
            </w:r>
          </w:p>
        </w:tc>
        <w:tc>
          <w:tcPr>
            <w:tcW w:w="361" w:type="pct"/>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职责履行（</w:t>
            </w:r>
            <w:r>
              <w:rPr>
                <w:rFonts w:hint="default" w:ascii="Times New Roman" w:hAnsi="Times New Roman" w:cs="Times New Roman" w:eastAsiaTheme="minorEastAsia"/>
                <w:color w:val="000000"/>
                <w:sz w:val="18"/>
                <w:szCs w:val="18"/>
                <w:lang w:val="en-US" w:eastAsia="zh-CN"/>
              </w:rPr>
              <w:t>30</w:t>
            </w:r>
            <w:r>
              <w:rPr>
                <w:rFonts w:hint="default" w:ascii="Times New Roman" w:hAnsi="Times New Roman" w:cs="Times New Roman" w:eastAsiaTheme="minorEastAsia"/>
                <w:color w:val="000000"/>
                <w:sz w:val="18"/>
                <w:szCs w:val="18"/>
              </w:rPr>
              <w:t>分）</w:t>
            </w:r>
          </w:p>
        </w:tc>
        <w:tc>
          <w:tcPr>
            <w:tcW w:w="523"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部门单位履职、运转</w:t>
            </w:r>
          </w:p>
        </w:tc>
        <w:tc>
          <w:tcPr>
            <w:tcW w:w="32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18"/>
                <w:szCs w:val="18"/>
                <w:lang w:eastAsia="zh-CN"/>
              </w:rPr>
            </w:pPr>
            <w:r>
              <w:rPr>
                <w:rFonts w:hint="default" w:ascii="Times New Roman" w:hAnsi="Times New Roman" w:cs="Times New Roman" w:eastAsiaTheme="minorEastAsia"/>
                <w:color w:val="000000"/>
                <w:sz w:val="18"/>
                <w:szCs w:val="18"/>
                <w:lang w:val="en-US" w:eastAsia="zh-CN"/>
              </w:rPr>
              <w:t>6</w:t>
            </w:r>
          </w:p>
        </w:tc>
        <w:tc>
          <w:tcPr>
            <w:tcW w:w="2053"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单位履职、运转正常，计</w:t>
            </w:r>
            <w:r>
              <w:rPr>
                <w:rFonts w:hint="default" w:ascii="Times New Roman" w:hAnsi="Times New Roman" w:cs="Times New Roman" w:eastAsiaTheme="minorEastAsia"/>
                <w:color w:val="000000"/>
                <w:sz w:val="18"/>
                <w:szCs w:val="18"/>
                <w:lang w:val="en-US" w:eastAsia="zh-CN"/>
              </w:rPr>
              <w:t>6</w:t>
            </w:r>
            <w:r>
              <w:rPr>
                <w:rFonts w:hint="default" w:ascii="Times New Roman" w:hAnsi="Times New Roman" w:cs="Times New Roman" w:eastAsiaTheme="minorEastAsia"/>
                <w:color w:val="000000"/>
                <w:sz w:val="18"/>
                <w:szCs w:val="18"/>
              </w:rPr>
              <w:t>分。</w:t>
            </w:r>
          </w:p>
        </w:tc>
        <w:tc>
          <w:tcPr>
            <w:tcW w:w="33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kern w:val="2"/>
                <w:sz w:val="18"/>
                <w:szCs w:val="18"/>
                <w:lang w:val="en-US" w:eastAsia="zh-CN" w:bidi="ar-SA"/>
              </w:rPr>
            </w:pPr>
            <w:r>
              <w:rPr>
                <w:rFonts w:hint="default" w:ascii="Times New Roman" w:hAnsi="Times New Roman" w:cs="Times New Roman" w:eastAsiaTheme="minorEastAsia"/>
                <w:color w:val="000000"/>
                <w:sz w:val="18"/>
                <w:szCs w:val="18"/>
                <w:lang w:val="en-US" w:eastAsia="zh-CN"/>
              </w:rPr>
              <w:t>6</w:t>
            </w:r>
          </w:p>
        </w:tc>
        <w:tc>
          <w:tcPr>
            <w:tcW w:w="100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cs="Times New Roman" w:eastAsiaTheme="minorEastAsia"/>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95"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eastAsiaTheme="minorEastAsia"/>
                <w:color w:val="000000"/>
                <w:sz w:val="18"/>
                <w:szCs w:val="18"/>
              </w:rPr>
            </w:pPr>
          </w:p>
        </w:tc>
        <w:tc>
          <w:tcPr>
            <w:tcW w:w="36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eastAsiaTheme="minorEastAsia"/>
                <w:color w:val="000000"/>
                <w:sz w:val="18"/>
                <w:szCs w:val="18"/>
              </w:rPr>
            </w:pPr>
          </w:p>
        </w:tc>
        <w:tc>
          <w:tcPr>
            <w:tcW w:w="523"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18"/>
                <w:szCs w:val="18"/>
                <w:lang w:val="en-US" w:eastAsia="zh-CN"/>
              </w:rPr>
            </w:pPr>
            <w:r>
              <w:rPr>
                <w:rFonts w:hint="default" w:ascii="Times New Roman" w:hAnsi="Times New Roman" w:cs="Times New Roman" w:eastAsiaTheme="minorEastAsia"/>
                <w:color w:val="000000"/>
                <w:sz w:val="18"/>
                <w:szCs w:val="18"/>
                <w:lang w:val="en-US" w:eastAsia="zh-CN"/>
              </w:rPr>
              <w:t>非洲猪瘟防控</w:t>
            </w:r>
          </w:p>
        </w:tc>
        <w:tc>
          <w:tcPr>
            <w:tcW w:w="32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18"/>
                <w:szCs w:val="18"/>
                <w:lang w:val="en-US" w:eastAsia="zh-CN"/>
              </w:rPr>
            </w:pPr>
            <w:r>
              <w:rPr>
                <w:rFonts w:hint="default" w:ascii="Times New Roman" w:hAnsi="Times New Roman" w:cs="Times New Roman" w:eastAsiaTheme="minorEastAsia"/>
                <w:color w:val="000000"/>
                <w:sz w:val="18"/>
                <w:szCs w:val="18"/>
                <w:lang w:val="en-US" w:eastAsia="zh-CN"/>
              </w:rPr>
              <w:t>5</w:t>
            </w:r>
          </w:p>
        </w:tc>
        <w:tc>
          <w:tcPr>
            <w:tcW w:w="2053"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lang w:val="en-US" w:eastAsia="zh-CN"/>
              </w:rPr>
              <w:t>开展“大消毒、大清洗”100次</w:t>
            </w:r>
            <w:r>
              <w:rPr>
                <w:rFonts w:hint="default" w:ascii="Times New Roman" w:hAnsi="Times New Roman" w:cs="Times New Roman" w:eastAsiaTheme="minorEastAsia"/>
                <w:color w:val="000000"/>
                <w:sz w:val="18"/>
                <w:szCs w:val="18"/>
              </w:rPr>
              <w:t>；开展非洲猪瘟排查</w:t>
            </w:r>
            <w:r>
              <w:rPr>
                <w:rFonts w:hint="default" w:ascii="Times New Roman" w:hAnsi="Times New Roman" w:cs="Times New Roman" w:eastAsiaTheme="minorEastAsia"/>
                <w:color w:val="000000"/>
                <w:sz w:val="18"/>
                <w:szCs w:val="18"/>
                <w:lang w:val="en-US" w:eastAsia="zh-CN"/>
              </w:rPr>
              <w:t>600次</w:t>
            </w:r>
            <w:r>
              <w:rPr>
                <w:rFonts w:hint="default" w:ascii="Times New Roman" w:hAnsi="Times New Roman" w:cs="Times New Roman" w:eastAsiaTheme="minorEastAsia"/>
                <w:color w:val="000000"/>
                <w:sz w:val="18"/>
                <w:szCs w:val="18"/>
                <w:lang w:eastAsia="zh-CN"/>
              </w:rPr>
              <w:t>；</w:t>
            </w:r>
            <w:r>
              <w:rPr>
                <w:rFonts w:hint="default" w:ascii="Times New Roman" w:hAnsi="Times New Roman" w:cs="Times New Roman" w:eastAsiaTheme="minorEastAsia"/>
                <w:color w:val="000000"/>
                <w:sz w:val="18"/>
                <w:szCs w:val="18"/>
                <w:lang w:val="en-US" w:eastAsia="zh-CN"/>
              </w:rPr>
              <w:t>工作</w:t>
            </w:r>
            <w:r>
              <w:rPr>
                <w:rFonts w:hint="default" w:ascii="Times New Roman" w:hAnsi="Times New Roman" w:cs="Times New Roman" w:eastAsiaTheme="minorEastAsia"/>
                <w:color w:val="000000"/>
                <w:sz w:val="18"/>
                <w:szCs w:val="18"/>
              </w:rPr>
              <w:t>完成率100%，得满分；未达到按实际完成情况得分。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指标分值=（实际完成额/计划完成额）×100%*指标标准分值。</w:t>
            </w:r>
          </w:p>
        </w:tc>
        <w:tc>
          <w:tcPr>
            <w:tcW w:w="33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kern w:val="2"/>
                <w:sz w:val="18"/>
                <w:szCs w:val="18"/>
                <w:lang w:val="en-US" w:eastAsia="zh-CN" w:bidi="ar-SA"/>
              </w:rPr>
            </w:pPr>
            <w:r>
              <w:rPr>
                <w:rFonts w:hint="default" w:ascii="Times New Roman" w:hAnsi="Times New Roman" w:cs="Times New Roman" w:eastAsiaTheme="minorEastAsia"/>
                <w:color w:val="000000"/>
                <w:sz w:val="18"/>
                <w:szCs w:val="18"/>
                <w:lang w:val="en-US" w:eastAsia="zh-CN"/>
              </w:rPr>
              <w:t>5</w:t>
            </w:r>
          </w:p>
        </w:tc>
        <w:tc>
          <w:tcPr>
            <w:tcW w:w="100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cs="Times New Roman" w:eastAsiaTheme="minorEastAsia"/>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5" w:hRule="atLeast"/>
          <w:jc w:val="center"/>
        </w:trPr>
        <w:tc>
          <w:tcPr>
            <w:tcW w:w="395"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eastAsiaTheme="minorEastAsia"/>
                <w:color w:val="000000"/>
                <w:sz w:val="18"/>
                <w:szCs w:val="18"/>
              </w:rPr>
            </w:pPr>
          </w:p>
        </w:tc>
        <w:tc>
          <w:tcPr>
            <w:tcW w:w="36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eastAsiaTheme="minorEastAsia"/>
                <w:color w:val="000000"/>
                <w:sz w:val="18"/>
                <w:szCs w:val="18"/>
              </w:rPr>
            </w:pPr>
          </w:p>
        </w:tc>
        <w:tc>
          <w:tcPr>
            <w:tcW w:w="523"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18"/>
                <w:szCs w:val="18"/>
                <w:lang w:val="en-US" w:eastAsia="zh-CN"/>
              </w:rPr>
            </w:pPr>
            <w:r>
              <w:rPr>
                <w:rFonts w:hint="default" w:ascii="Times New Roman" w:hAnsi="Times New Roman" w:cs="Times New Roman" w:eastAsiaTheme="minorEastAsia"/>
                <w:color w:val="000000"/>
                <w:sz w:val="18"/>
                <w:szCs w:val="18"/>
                <w:lang w:val="en-US" w:eastAsia="zh-CN"/>
              </w:rPr>
              <w:t>畜牧水产发展经费</w:t>
            </w:r>
          </w:p>
        </w:tc>
        <w:tc>
          <w:tcPr>
            <w:tcW w:w="32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18"/>
                <w:szCs w:val="18"/>
                <w:lang w:val="en-US" w:eastAsia="zh-CN"/>
              </w:rPr>
            </w:pPr>
            <w:r>
              <w:rPr>
                <w:rFonts w:hint="default" w:ascii="Times New Roman" w:hAnsi="Times New Roman" w:cs="Times New Roman" w:eastAsiaTheme="minorEastAsia"/>
                <w:color w:val="000000"/>
                <w:sz w:val="18"/>
                <w:szCs w:val="18"/>
                <w:lang w:val="en-US" w:eastAsia="zh-CN"/>
              </w:rPr>
              <w:t>5</w:t>
            </w:r>
          </w:p>
        </w:tc>
        <w:tc>
          <w:tcPr>
            <w:tcW w:w="2053"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lang w:val="en-US" w:eastAsia="zh-CN"/>
              </w:rPr>
              <w:t>生猪出栏任务4万头</w:t>
            </w:r>
            <w:r>
              <w:rPr>
                <w:rFonts w:hint="default" w:ascii="Times New Roman" w:hAnsi="Times New Roman" w:cs="Times New Roman" w:eastAsiaTheme="minorEastAsia"/>
                <w:color w:val="000000"/>
                <w:sz w:val="18"/>
                <w:szCs w:val="18"/>
                <w:lang w:eastAsia="zh-CN"/>
              </w:rPr>
              <w:t>；</w:t>
            </w:r>
            <w:r>
              <w:rPr>
                <w:rFonts w:hint="default" w:ascii="Times New Roman" w:hAnsi="Times New Roman" w:cs="Times New Roman" w:eastAsiaTheme="minorEastAsia"/>
                <w:color w:val="000000"/>
                <w:sz w:val="18"/>
                <w:szCs w:val="18"/>
              </w:rPr>
              <w:t>出栏牛0.12万</w:t>
            </w:r>
            <w:r>
              <w:rPr>
                <w:rFonts w:hint="default" w:ascii="Times New Roman" w:hAnsi="Times New Roman" w:cs="Times New Roman" w:eastAsiaTheme="minorEastAsia"/>
                <w:color w:val="000000"/>
                <w:sz w:val="18"/>
                <w:szCs w:val="18"/>
                <w:lang w:eastAsia="zh-CN"/>
              </w:rPr>
              <w:t>头；</w:t>
            </w:r>
            <w:r>
              <w:rPr>
                <w:rFonts w:hint="default" w:ascii="Times New Roman" w:hAnsi="Times New Roman" w:cs="Times New Roman" w:eastAsiaTheme="minorEastAsia"/>
                <w:color w:val="000000"/>
                <w:sz w:val="18"/>
                <w:szCs w:val="18"/>
              </w:rPr>
              <w:t>出栏羊0.6万只</w:t>
            </w:r>
            <w:r>
              <w:rPr>
                <w:rFonts w:hint="default" w:ascii="Times New Roman" w:hAnsi="Times New Roman" w:cs="Times New Roman" w:eastAsiaTheme="minorEastAsia"/>
                <w:color w:val="000000"/>
                <w:sz w:val="18"/>
                <w:szCs w:val="18"/>
                <w:lang w:eastAsia="zh-CN"/>
              </w:rPr>
              <w:t>；开展瘦肉精检测900批次</w:t>
            </w:r>
            <w:r>
              <w:rPr>
                <w:rFonts w:hint="default" w:ascii="Times New Roman" w:hAnsi="Times New Roman" w:cs="Times New Roman" w:eastAsiaTheme="minorEastAsia"/>
                <w:color w:val="000000"/>
                <w:sz w:val="18"/>
                <w:szCs w:val="18"/>
              </w:rPr>
              <w:t>。</w:t>
            </w:r>
            <w:r>
              <w:rPr>
                <w:rFonts w:hint="default" w:ascii="Times New Roman" w:hAnsi="Times New Roman" w:cs="Times New Roman" w:eastAsiaTheme="minorEastAsia"/>
                <w:color w:val="000000"/>
                <w:sz w:val="18"/>
                <w:szCs w:val="18"/>
                <w:lang w:val="en-US" w:eastAsia="zh-CN"/>
              </w:rPr>
              <w:t>工作</w:t>
            </w:r>
            <w:r>
              <w:rPr>
                <w:rFonts w:hint="default" w:ascii="Times New Roman" w:hAnsi="Times New Roman" w:cs="Times New Roman" w:eastAsiaTheme="minorEastAsia"/>
                <w:color w:val="000000"/>
                <w:sz w:val="18"/>
                <w:szCs w:val="18"/>
              </w:rPr>
              <w:t>完成率100%，得满分；未达到按实际完成情况得分。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指标分值=（实际完成额/计划完成额）×100%*指标标准分值。</w:t>
            </w:r>
          </w:p>
        </w:tc>
        <w:tc>
          <w:tcPr>
            <w:tcW w:w="33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kern w:val="2"/>
                <w:sz w:val="18"/>
                <w:szCs w:val="18"/>
                <w:lang w:val="en-US" w:eastAsia="zh-CN" w:bidi="ar-SA"/>
              </w:rPr>
            </w:pPr>
            <w:r>
              <w:rPr>
                <w:rFonts w:hint="default" w:ascii="Times New Roman" w:hAnsi="Times New Roman" w:cs="Times New Roman" w:eastAsiaTheme="minorEastAsia"/>
                <w:color w:val="000000"/>
                <w:sz w:val="18"/>
                <w:szCs w:val="18"/>
                <w:lang w:val="en-US" w:eastAsia="zh-CN"/>
              </w:rPr>
              <w:t>5</w:t>
            </w:r>
          </w:p>
        </w:tc>
        <w:tc>
          <w:tcPr>
            <w:tcW w:w="100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cs="Times New Roman" w:eastAsiaTheme="minorEastAsia"/>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95"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eastAsiaTheme="minorEastAsia"/>
                <w:color w:val="000000"/>
                <w:sz w:val="18"/>
                <w:szCs w:val="18"/>
              </w:rPr>
            </w:pPr>
          </w:p>
        </w:tc>
        <w:tc>
          <w:tcPr>
            <w:tcW w:w="36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eastAsiaTheme="minorEastAsia"/>
                <w:color w:val="000000"/>
                <w:sz w:val="18"/>
                <w:szCs w:val="18"/>
              </w:rPr>
            </w:pPr>
          </w:p>
        </w:tc>
        <w:tc>
          <w:tcPr>
            <w:tcW w:w="523"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18"/>
                <w:szCs w:val="18"/>
                <w:lang w:eastAsia="zh-CN"/>
              </w:rPr>
            </w:pPr>
            <w:r>
              <w:rPr>
                <w:rFonts w:hint="default" w:ascii="Times New Roman" w:hAnsi="Times New Roman" w:cs="Times New Roman" w:eastAsiaTheme="minorEastAsia"/>
                <w:color w:val="000000"/>
                <w:sz w:val="18"/>
                <w:szCs w:val="18"/>
                <w:lang w:val="en-US" w:eastAsia="zh-CN"/>
              </w:rPr>
              <w:t>重大疫情防控经费</w:t>
            </w:r>
          </w:p>
        </w:tc>
        <w:tc>
          <w:tcPr>
            <w:tcW w:w="32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18"/>
                <w:szCs w:val="18"/>
                <w:lang w:val="en-US" w:eastAsia="zh-CN"/>
              </w:rPr>
            </w:pPr>
            <w:r>
              <w:rPr>
                <w:rFonts w:hint="default" w:ascii="Times New Roman" w:hAnsi="Times New Roman" w:cs="Times New Roman" w:eastAsiaTheme="minorEastAsia"/>
                <w:color w:val="000000"/>
                <w:sz w:val="18"/>
                <w:szCs w:val="18"/>
                <w:lang w:val="en-US" w:eastAsia="zh-CN"/>
              </w:rPr>
              <w:t>5</w:t>
            </w:r>
          </w:p>
        </w:tc>
        <w:tc>
          <w:tcPr>
            <w:tcW w:w="2053"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lang w:val="en-US" w:eastAsia="zh-CN"/>
              </w:rPr>
              <w:t>全年动物产地检疫出证5000张、动物产品检疫出证3.2万张</w:t>
            </w:r>
            <w:r>
              <w:rPr>
                <w:rFonts w:hint="default" w:ascii="Times New Roman" w:hAnsi="Times New Roman" w:cs="Times New Roman" w:eastAsiaTheme="minorEastAsia"/>
                <w:color w:val="000000"/>
                <w:sz w:val="18"/>
                <w:szCs w:val="18"/>
                <w:lang w:eastAsia="zh-CN"/>
              </w:rPr>
              <w:t>；全年未发生</w:t>
            </w:r>
            <w:r>
              <w:rPr>
                <w:rFonts w:hint="default" w:ascii="Times New Roman" w:hAnsi="Times New Roman" w:cs="Times New Roman" w:eastAsiaTheme="minorEastAsia"/>
                <w:color w:val="000000"/>
                <w:sz w:val="18"/>
                <w:szCs w:val="18"/>
                <w:lang w:val="en-US" w:eastAsia="zh-CN"/>
              </w:rPr>
              <w:t>重大畜禽水产品质量安全事件与养殖业安全生产事故</w:t>
            </w:r>
            <w:r>
              <w:rPr>
                <w:rFonts w:hint="default" w:ascii="Times New Roman" w:hAnsi="Times New Roman" w:cs="Times New Roman" w:eastAsiaTheme="minorEastAsia"/>
                <w:color w:val="000000"/>
                <w:sz w:val="18"/>
                <w:szCs w:val="18"/>
              </w:rPr>
              <w:t>，得满分；未达到按实际完成情况得分</w:t>
            </w:r>
            <w:r>
              <w:rPr>
                <w:rFonts w:hint="default" w:ascii="Times New Roman" w:hAnsi="Times New Roman" w:cs="Times New Roman" w:eastAsiaTheme="minorEastAsia"/>
                <w:color w:val="000000"/>
                <w:sz w:val="18"/>
                <w:szCs w:val="18"/>
                <w:lang w:eastAsia="zh-CN"/>
              </w:rPr>
              <w:t>，</w:t>
            </w:r>
            <w:r>
              <w:rPr>
                <w:rFonts w:hint="default" w:ascii="Times New Roman" w:hAnsi="Times New Roman" w:cs="Times New Roman" w:eastAsiaTheme="minorEastAsia"/>
                <w:color w:val="000000"/>
                <w:sz w:val="18"/>
                <w:szCs w:val="18"/>
              </w:rPr>
              <w:t>指标分值=（实际完成额/计划完成额）×100%*指标标准分值。</w:t>
            </w:r>
          </w:p>
        </w:tc>
        <w:tc>
          <w:tcPr>
            <w:tcW w:w="33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kern w:val="2"/>
                <w:sz w:val="18"/>
                <w:szCs w:val="18"/>
                <w:lang w:val="en-US" w:eastAsia="zh-CN" w:bidi="ar-SA"/>
              </w:rPr>
            </w:pPr>
            <w:r>
              <w:rPr>
                <w:rFonts w:hint="default" w:ascii="Times New Roman" w:hAnsi="Times New Roman" w:cs="Times New Roman" w:eastAsiaTheme="minorEastAsia"/>
                <w:color w:val="000000"/>
                <w:sz w:val="18"/>
                <w:szCs w:val="18"/>
                <w:lang w:val="en-US" w:eastAsia="zh-CN"/>
              </w:rPr>
              <w:t>5</w:t>
            </w:r>
          </w:p>
        </w:tc>
        <w:tc>
          <w:tcPr>
            <w:tcW w:w="100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cs="Times New Roman" w:eastAsia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95"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eastAsiaTheme="minorEastAsia"/>
                <w:color w:val="000000"/>
                <w:sz w:val="18"/>
                <w:szCs w:val="18"/>
              </w:rPr>
            </w:pPr>
          </w:p>
        </w:tc>
        <w:tc>
          <w:tcPr>
            <w:tcW w:w="36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eastAsiaTheme="minorEastAsia"/>
                <w:color w:val="000000"/>
                <w:sz w:val="18"/>
                <w:szCs w:val="18"/>
              </w:rPr>
            </w:pPr>
          </w:p>
        </w:tc>
        <w:tc>
          <w:tcPr>
            <w:tcW w:w="523"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lang w:val="en-US" w:eastAsia="zh-CN"/>
              </w:rPr>
              <w:t>工作完成</w:t>
            </w:r>
            <w:r>
              <w:rPr>
                <w:rFonts w:hint="default" w:ascii="Times New Roman" w:hAnsi="Times New Roman" w:cs="Times New Roman" w:eastAsiaTheme="minorEastAsia"/>
                <w:color w:val="000000"/>
                <w:sz w:val="18"/>
                <w:szCs w:val="18"/>
              </w:rPr>
              <w:t>及时性</w:t>
            </w:r>
          </w:p>
        </w:tc>
        <w:tc>
          <w:tcPr>
            <w:tcW w:w="32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18"/>
                <w:szCs w:val="18"/>
                <w:lang w:val="en-US" w:eastAsia="zh-CN"/>
              </w:rPr>
            </w:pPr>
            <w:r>
              <w:rPr>
                <w:rFonts w:hint="default" w:ascii="Times New Roman" w:hAnsi="Times New Roman" w:cs="Times New Roman" w:eastAsiaTheme="minorEastAsia"/>
                <w:color w:val="000000"/>
                <w:sz w:val="18"/>
                <w:szCs w:val="18"/>
                <w:lang w:val="en-US" w:eastAsia="zh-CN"/>
              </w:rPr>
              <w:t>5</w:t>
            </w:r>
          </w:p>
        </w:tc>
        <w:tc>
          <w:tcPr>
            <w:tcW w:w="2053"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在计划时间内</w:t>
            </w:r>
            <w:r>
              <w:rPr>
                <w:rFonts w:hint="default" w:ascii="Times New Roman" w:hAnsi="Times New Roman" w:cs="Times New Roman" w:eastAsiaTheme="minorEastAsia"/>
                <w:color w:val="000000"/>
                <w:sz w:val="18"/>
                <w:szCs w:val="18"/>
                <w:lang w:val="en-US" w:eastAsia="zh-CN"/>
              </w:rPr>
              <w:t>完成工作</w:t>
            </w:r>
            <w:r>
              <w:rPr>
                <w:rFonts w:hint="default" w:ascii="Times New Roman" w:hAnsi="Times New Roman" w:cs="Times New Roman" w:eastAsiaTheme="minorEastAsia"/>
                <w:color w:val="000000"/>
                <w:sz w:val="18"/>
                <w:szCs w:val="18"/>
              </w:rPr>
              <w:t>，得4分，未按时</w:t>
            </w:r>
            <w:r>
              <w:rPr>
                <w:rFonts w:hint="default" w:ascii="Times New Roman" w:hAnsi="Times New Roman" w:cs="Times New Roman" w:eastAsiaTheme="minorEastAsia"/>
                <w:color w:val="000000"/>
                <w:sz w:val="18"/>
                <w:szCs w:val="18"/>
                <w:lang w:val="en-US" w:eastAsia="zh-CN"/>
              </w:rPr>
              <w:t>完成</w:t>
            </w:r>
            <w:r>
              <w:rPr>
                <w:rFonts w:hint="default" w:ascii="Times New Roman" w:hAnsi="Times New Roman" w:cs="Times New Roman" w:eastAsiaTheme="minorEastAsia"/>
                <w:color w:val="000000"/>
                <w:sz w:val="18"/>
                <w:szCs w:val="18"/>
              </w:rPr>
              <w:t>，根据</w:t>
            </w:r>
            <w:r>
              <w:rPr>
                <w:rFonts w:hint="default" w:ascii="Times New Roman" w:hAnsi="Times New Roman" w:cs="Times New Roman" w:eastAsiaTheme="minorEastAsia"/>
                <w:color w:val="000000"/>
                <w:sz w:val="18"/>
                <w:szCs w:val="18"/>
                <w:lang w:val="en-US" w:eastAsia="zh-CN"/>
              </w:rPr>
              <w:t>完成</w:t>
            </w:r>
            <w:r>
              <w:rPr>
                <w:rFonts w:hint="default" w:ascii="Times New Roman" w:hAnsi="Times New Roman" w:cs="Times New Roman" w:eastAsiaTheme="minorEastAsia"/>
                <w:color w:val="000000"/>
                <w:sz w:val="18"/>
                <w:szCs w:val="18"/>
              </w:rPr>
              <w:t>时间酌情扣分。</w:t>
            </w:r>
          </w:p>
        </w:tc>
        <w:tc>
          <w:tcPr>
            <w:tcW w:w="33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kern w:val="2"/>
                <w:sz w:val="18"/>
                <w:szCs w:val="18"/>
                <w:lang w:val="en-US" w:eastAsia="zh-CN" w:bidi="ar-SA"/>
              </w:rPr>
            </w:pPr>
            <w:r>
              <w:rPr>
                <w:rFonts w:hint="default" w:ascii="Times New Roman" w:hAnsi="Times New Roman" w:cs="Times New Roman" w:eastAsiaTheme="minorEastAsia"/>
                <w:color w:val="000000"/>
                <w:sz w:val="18"/>
                <w:szCs w:val="18"/>
                <w:lang w:val="en-US" w:eastAsia="zh-CN"/>
              </w:rPr>
              <w:t>5</w:t>
            </w:r>
          </w:p>
        </w:tc>
        <w:tc>
          <w:tcPr>
            <w:tcW w:w="100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cs="Times New Roman" w:eastAsiaTheme="minorEastAsia"/>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95"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eastAsiaTheme="minorEastAsia"/>
                <w:color w:val="000000"/>
                <w:sz w:val="18"/>
                <w:szCs w:val="18"/>
              </w:rPr>
            </w:pPr>
          </w:p>
        </w:tc>
        <w:tc>
          <w:tcPr>
            <w:tcW w:w="36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eastAsiaTheme="minorEastAsia"/>
                <w:color w:val="000000"/>
                <w:sz w:val="18"/>
                <w:szCs w:val="18"/>
              </w:rPr>
            </w:pPr>
          </w:p>
        </w:tc>
        <w:tc>
          <w:tcPr>
            <w:tcW w:w="523"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lang w:val="en-US" w:eastAsia="zh-CN"/>
              </w:rPr>
              <w:t>各项工作</w:t>
            </w:r>
            <w:r>
              <w:rPr>
                <w:rFonts w:hint="default" w:ascii="Times New Roman" w:hAnsi="Times New Roman" w:cs="Times New Roman" w:eastAsiaTheme="minorEastAsia"/>
                <w:color w:val="000000"/>
                <w:sz w:val="18"/>
                <w:szCs w:val="18"/>
              </w:rPr>
              <w:t>成本节约率</w:t>
            </w:r>
          </w:p>
        </w:tc>
        <w:tc>
          <w:tcPr>
            <w:tcW w:w="32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18"/>
                <w:szCs w:val="18"/>
                <w:lang w:val="en-US" w:eastAsia="zh-CN"/>
              </w:rPr>
            </w:pPr>
            <w:r>
              <w:rPr>
                <w:rFonts w:hint="default" w:ascii="Times New Roman" w:hAnsi="Times New Roman" w:cs="Times New Roman" w:eastAsiaTheme="minorEastAsia"/>
                <w:color w:val="000000"/>
                <w:sz w:val="18"/>
                <w:szCs w:val="18"/>
                <w:lang w:val="en-US" w:eastAsia="zh-CN"/>
              </w:rPr>
              <w:t>4</w:t>
            </w:r>
          </w:p>
        </w:tc>
        <w:tc>
          <w:tcPr>
            <w:tcW w:w="2053"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成本节约率=[（计划成本-实际成本）/计划成本]×100%。成本节约率10%（不含）以上，得4分；成本节约率5%（不含）-10%（含）得3分，成本节约率5%（含）以下得2分。</w:t>
            </w:r>
          </w:p>
        </w:tc>
        <w:tc>
          <w:tcPr>
            <w:tcW w:w="33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kern w:val="2"/>
                <w:sz w:val="18"/>
                <w:szCs w:val="18"/>
                <w:lang w:val="en-US" w:eastAsia="zh-CN" w:bidi="ar-SA"/>
              </w:rPr>
            </w:pPr>
            <w:r>
              <w:rPr>
                <w:rFonts w:hint="default" w:ascii="Times New Roman" w:hAnsi="Times New Roman" w:cs="Times New Roman" w:eastAsiaTheme="minorEastAsia"/>
                <w:color w:val="000000"/>
                <w:sz w:val="18"/>
                <w:szCs w:val="18"/>
                <w:lang w:val="en-US" w:eastAsia="zh-CN"/>
              </w:rPr>
              <w:t>4</w:t>
            </w:r>
          </w:p>
        </w:tc>
        <w:tc>
          <w:tcPr>
            <w:tcW w:w="100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cs="Times New Roman" w:eastAsiaTheme="minorEastAsia"/>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95" w:type="pct"/>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效果</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w:t>
            </w:r>
            <w:r>
              <w:rPr>
                <w:rFonts w:hint="default" w:ascii="Times New Roman" w:hAnsi="Times New Roman" w:cs="Times New Roman" w:eastAsiaTheme="minorEastAsia"/>
                <w:color w:val="000000"/>
                <w:sz w:val="18"/>
                <w:szCs w:val="18"/>
                <w:lang w:val="en-US" w:eastAsia="zh-CN"/>
              </w:rPr>
              <w:t>30</w:t>
            </w:r>
            <w:r>
              <w:rPr>
                <w:rFonts w:hint="default" w:ascii="Times New Roman" w:hAnsi="Times New Roman" w:cs="Times New Roman" w:eastAsiaTheme="minorEastAsia"/>
                <w:color w:val="000000"/>
                <w:sz w:val="18"/>
                <w:szCs w:val="18"/>
              </w:rPr>
              <w:t>分）</w:t>
            </w:r>
          </w:p>
        </w:tc>
        <w:tc>
          <w:tcPr>
            <w:tcW w:w="361" w:type="pct"/>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职责效益（</w:t>
            </w:r>
            <w:r>
              <w:rPr>
                <w:rFonts w:hint="default" w:ascii="Times New Roman" w:hAnsi="Times New Roman" w:cs="Times New Roman" w:eastAsiaTheme="minorEastAsia"/>
                <w:color w:val="000000"/>
                <w:sz w:val="18"/>
                <w:szCs w:val="18"/>
                <w:lang w:val="en-US" w:eastAsia="zh-CN"/>
              </w:rPr>
              <w:t>30</w:t>
            </w:r>
            <w:r>
              <w:rPr>
                <w:rFonts w:hint="default" w:ascii="Times New Roman" w:hAnsi="Times New Roman" w:cs="Times New Roman" w:eastAsiaTheme="minorEastAsia"/>
                <w:color w:val="000000"/>
                <w:sz w:val="18"/>
                <w:szCs w:val="18"/>
              </w:rPr>
              <w:t>分）</w:t>
            </w:r>
          </w:p>
        </w:tc>
        <w:tc>
          <w:tcPr>
            <w:tcW w:w="523"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可持续影响</w:t>
            </w:r>
          </w:p>
        </w:tc>
        <w:tc>
          <w:tcPr>
            <w:tcW w:w="32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18"/>
                <w:szCs w:val="18"/>
                <w:lang w:val="en-US" w:eastAsia="zh-CN"/>
              </w:rPr>
            </w:pPr>
            <w:r>
              <w:rPr>
                <w:rFonts w:hint="default" w:ascii="Times New Roman" w:hAnsi="Times New Roman" w:cs="Times New Roman" w:eastAsiaTheme="minorEastAsia"/>
                <w:color w:val="000000"/>
                <w:sz w:val="18"/>
                <w:szCs w:val="18"/>
                <w:lang w:val="en-US" w:eastAsia="zh-CN"/>
              </w:rPr>
              <w:t>10</w:t>
            </w:r>
          </w:p>
        </w:tc>
        <w:tc>
          <w:tcPr>
            <w:tcW w:w="2053"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lang w:val="en-US" w:eastAsia="zh-CN"/>
              </w:rPr>
              <w:t>考核单位工作的开展是否能降能节耗，制止资源浪费，有效利用资源，节约财政资金，提升服务质量，</w:t>
            </w:r>
            <w:r>
              <w:rPr>
                <w:rFonts w:hint="default" w:ascii="Times New Roman" w:hAnsi="Times New Roman" w:cs="Times New Roman" w:eastAsiaTheme="minorEastAsia"/>
                <w:color w:val="000000"/>
                <w:sz w:val="18"/>
                <w:szCs w:val="18"/>
              </w:rPr>
              <w:t>根据问卷调查统计结果，</w:t>
            </w:r>
            <w:r>
              <w:rPr>
                <w:rFonts w:hint="default" w:ascii="Times New Roman" w:hAnsi="Times New Roman" w:cs="Times New Roman" w:eastAsiaTheme="minorEastAsia"/>
                <w:color w:val="000000"/>
                <w:sz w:val="18"/>
                <w:szCs w:val="18"/>
                <w:lang w:val="en-US" w:eastAsia="zh-CN"/>
              </w:rPr>
              <w:t>结合单位工作开展情况</w:t>
            </w:r>
            <w:r>
              <w:rPr>
                <w:rFonts w:hint="default" w:ascii="Times New Roman" w:hAnsi="Times New Roman" w:cs="Times New Roman" w:eastAsiaTheme="minorEastAsia"/>
                <w:color w:val="000000"/>
                <w:sz w:val="18"/>
                <w:szCs w:val="18"/>
              </w:rPr>
              <w:t>，90%的</w:t>
            </w:r>
            <w:r>
              <w:rPr>
                <w:rFonts w:hint="default" w:ascii="Times New Roman" w:hAnsi="Times New Roman" w:cs="Times New Roman" w:eastAsiaTheme="minorEastAsia"/>
                <w:color w:val="000000"/>
                <w:sz w:val="18"/>
                <w:szCs w:val="18"/>
                <w:lang w:val="en-US" w:eastAsia="zh-CN"/>
              </w:rPr>
              <w:t>受益</w:t>
            </w:r>
            <w:r>
              <w:rPr>
                <w:rFonts w:hint="default" w:ascii="Times New Roman" w:hAnsi="Times New Roman" w:cs="Times New Roman" w:eastAsiaTheme="minorEastAsia"/>
                <w:color w:val="000000"/>
                <w:sz w:val="18"/>
                <w:szCs w:val="18"/>
              </w:rPr>
              <w:t>群众觉得效果显著得</w:t>
            </w:r>
            <w:r>
              <w:rPr>
                <w:rFonts w:hint="default" w:ascii="Times New Roman" w:hAnsi="Times New Roman" w:cs="Times New Roman" w:eastAsiaTheme="minorEastAsia"/>
                <w:color w:val="000000"/>
                <w:sz w:val="18"/>
                <w:szCs w:val="18"/>
                <w:lang w:val="en-US" w:eastAsia="zh-CN"/>
              </w:rPr>
              <w:t>10</w:t>
            </w:r>
            <w:r>
              <w:rPr>
                <w:rFonts w:hint="default" w:ascii="Times New Roman" w:hAnsi="Times New Roman" w:cs="Times New Roman" w:eastAsiaTheme="minorEastAsia"/>
                <w:color w:val="000000"/>
                <w:sz w:val="18"/>
                <w:szCs w:val="18"/>
              </w:rPr>
              <w:t>分。则每下降5%，扣1分，扣完为止。</w:t>
            </w:r>
          </w:p>
        </w:tc>
        <w:tc>
          <w:tcPr>
            <w:tcW w:w="33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kern w:val="2"/>
                <w:sz w:val="18"/>
                <w:szCs w:val="18"/>
                <w:lang w:val="en-US" w:eastAsia="zh-CN" w:bidi="ar-SA"/>
              </w:rPr>
            </w:pPr>
            <w:r>
              <w:rPr>
                <w:rFonts w:hint="default" w:ascii="Times New Roman" w:hAnsi="Times New Roman" w:cs="Times New Roman" w:eastAsiaTheme="minorEastAsia"/>
                <w:color w:val="000000"/>
                <w:sz w:val="18"/>
                <w:szCs w:val="18"/>
                <w:lang w:val="en-US" w:eastAsia="zh-CN"/>
              </w:rPr>
              <w:t>10</w:t>
            </w:r>
          </w:p>
        </w:tc>
        <w:tc>
          <w:tcPr>
            <w:tcW w:w="100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cs="Times New Roman" w:eastAsiaTheme="minorEastAsia"/>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95"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eastAsiaTheme="minorEastAsia"/>
                <w:color w:val="000000"/>
                <w:sz w:val="18"/>
                <w:szCs w:val="18"/>
              </w:rPr>
            </w:pPr>
          </w:p>
        </w:tc>
        <w:tc>
          <w:tcPr>
            <w:tcW w:w="36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eastAsiaTheme="minorEastAsia"/>
                <w:color w:val="000000"/>
                <w:sz w:val="18"/>
                <w:szCs w:val="18"/>
              </w:rPr>
            </w:pPr>
          </w:p>
        </w:tc>
        <w:tc>
          <w:tcPr>
            <w:tcW w:w="523"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社会效益</w:t>
            </w:r>
          </w:p>
        </w:tc>
        <w:tc>
          <w:tcPr>
            <w:tcW w:w="32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18"/>
                <w:szCs w:val="18"/>
                <w:lang w:val="en-US" w:eastAsia="zh-CN"/>
              </w:rPr>
            </w:pPr>
            <w:r>
              <w:rPr>
                <w:rFonts w:hint="default" w:ascii="Times New Roman" w:hAnsi="Times New Roman" w:cs="Times New Roman" w:eastAsiaTheme="minorEastAsia"/>
                <w:color w:val="000000"/>
                <w:sz w:val="18"/>
                <w:szCs w:val="18"/>
                <w:lang w:val="en-US" w:eastAsia="zh-CN"/>
              </w:rPr>
              <w:t>10</w:t>
            </w:r>
          </w:p>
        </w:tc>
        <w:tc>
          <w:tcPr>
            <w:tcW w:w="2053"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lang w:val="en-US" w:eastAsia="zh-CN"/>
              </w:rPr>
              <w:t>考核单位工作的开展是否能显著优化环境提升全区形象，</w:t>
            </w:r>
            <w:r>
              <w:rPr>
                <w:rFonts w:hint="default" w:ascii="Times New Roman" w:hAnsi="Times New Roman" w:cs="Times New Roman" w:eastAsiaTheme="minorEastAsia"/>
                <w:color w:val="000000"/>
                <w:sz w:val="18"/>
                <w:szCs w:val="18"/>
              </w:rPr>
              <w:t>根据问卷调查统计结果，</w:t>
            </w:r>
            <w:r>
              <w:rPr>
                <w:rFonts w:hint="default" w:ascii="Times New Roman" w:hAnsi="Times New Roman" w:cs="Times New Roman" w:eastAsiaTheme="minorEastAsia"/>
                <w:color w:val="000000"/>
                <w:sz w:val="18"/>
                <w:szCs w:val="18"/>
                <w:lang w:val="en-US" w:eastAsia="zh-CN"/>
              </w:rPr>
              <w:t>结合单位工作开展情况</w:t>
            </w:r>
            <w:r>
              <w:rPr>
                <w:rFonts w:hint="default" w:ascii="Times New Roman" w:hAnsi="Times New Roman" w:cs="Times New Roman" w:eastAsiaTheme="minorEastAsia"/>
                <w:color w:val="000000"/>
                <w:sz w:val="18"/>
                <w:szCs w:val="18"/>
              </w:rPr>
              <w:t>，90%的群众觉得效果显著得</w:t>
            </w:r>
            <w:r>
              <w:rPr>
                <w:rFonts w:hint="default" w:ascii="Times New Roman" w:hAnsi="Times New Roman" w:cs="Times New Roman" w:eastAsiaTheme="minorEastAsia"/>
                <w:color w:val="000000"/>
                <w:sz w:val="18"/>
                <w:szCs w:val="18"/>
                <w:lang w:val="en-US" w:eastAsia="zh-CN"/>
              </w:rPr>
              <w:t>10</w:t>
            </w:r>
            <w:r>
              <w:rPr>
                <w:rFonts w:hint="default" w:ascii="Times New Roman" w:hAnsi="Times New Roman" w:cs="Times New Roman" w:eastAsiaTheme="minorEastAsia"/>
                <w:color w:val="000000"/>
                <w:sz w:val="18"/>
                <w:szCs w:val="18"/>
              </w:rPr>
              <w:t>分。则每下降5%，扣1分，扣完为止。</w:t>
            </w:r>
          </w:p>
        </w:tc>
        <w:tc>
          <w:tcPr>
            <w:tcW w:w="33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kern w:val="2"/>
                <w:sz w:val="18"/>
                <w:szCs w:val="18"/>
                <w:lang w:val="en-US" w:eastAsia="zh-CN" w:bidi="ar-SA"/>
              </w:rPr>
            </w:pPr>
            <w:r>
              <w:rPr>
                <w:rFonts w:hint="default" w:ascii="Times New Roman" w:hAnsi="Times New Roman" w:cs="Times New Roman" w:eastAsiaTheme="minorEastAsia"/>
                <w:color w:val="000000"/>
                <w:sz w:val="18"/>
                <w:szCs w:val="18"/>
                <w:lang w:val="en-US" w:eastAsia="zh-CN"/>
              </w:rPr>
              <w:t>10</w:t>
            </w:r>
          </w:p>
        </w:tc>
        <w:tc>
          <w:tcPr>
            <w:tcW w:w="100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cs="Times New Roman" w:eastAsiaTheme="minorEastAsia"/>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95"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eastAsiaTheme="minorEastAsia"/>
                <w:color w:val="000000"/>
                <w:sz w:val="18"/>
                <w:szCs w:val="18"/>
              </w:rPr>
            </w:pPr>
          </w:p>
        </w:tc>
        <w:tc>
          <w:tcPr>
            <w:tcW w:w="36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eastAsiaTheme="minorEastAsia"/>
                <w:color w:val="000000"/>
                <w:sz w:val="18"/>
                <w:szCs w:val="18"/>
              </w:rPr>
            </w:pPr>
          </w:p>
        </w:tc>
        <w:tc>
          <w:tcPr>
            <w:tcW w:w="523"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单位职工</w:t>
            </w:r>
            <w:r>
              <w:rPr>
                <w:rFonts w:hint="default" w:ascii="Times New Roman" w:hAnsi="Times New Roman" w:cs="Times New Roman" w:eastAsiaTheme="minorEastAsia"/>
                <w:color w:val="000000"/>
                <w:sz w:val="18"/>
                <w:szCs w:val="18"/>
                <w:lang w:val="en-US" w:eastAsia="zh-CN"/>
              </w:rPr>
              <w:t>及受益群众</w:t>
            </w:r>
            <w:r>
              <w:rPr>
                <w:rFonts w:hint="default" w:ascii="Times New Roman" w:hAnsi="Times New Roman" w:cs="Times New Roman" w:eastAsiaTheme="minorEastAsia"/>
                <w:color w:val="000000"/>
                <w:sz w:val="18"/>
                <w:szCs w:val="18"/>
              </w:rPr>
              <w:t>满意度</w:t>
            </w:r>
          </w:p>
        </w:tc>
        <w:tc>
          <w:tcPr>
            <w:tcW w:w="32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18"/>
                <w:szCs w:val="18"/>
                <w:lang w:val="en-US" w:eastAsia="zh-CN"/>
              </w:rPr>
            </w:pPr>
            <w:r>
              <w:rPr>
                <w:rFonts w:hint="default" w:ascii="Times New Roman" w:hAnsi="Times New Roman" w:cs="Times New Roman" w:eastAsiaTheme="minorEastAsia"/>
                <w:color w:val="000000"/>
                <w:sz w:val="18"/>
                <w:szCs w:val="18"/>
                <w:lang w:val="en-US" w:eastAsia="zh-CN"/>
              </w:rPr>
              <w:t>10</w:t>
            </w:r>
          </w:p>
        </w:tc>
        <w:tc>
          <w:tcPr>
            <w:tcW w:w="2053"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以调查问卷为依据。</w:t>
            </w:r>
            <w:r>
              <w:rPr>
                <w:rFonts w:hint="default" w:ascii="Times New Roman" w:hAnsi="Times New Roman" w:cs="Times New Roman" w:eastAsiaTheme="minorEastAsia"/>
                <w:color w:val="000000"/>
                <w:sz w:val="18"/>
                <w:szCs w:val="18"/>
                <w:lang w:val="en-US" w:eastAsia="zh-CN"/>
              </w:rPr>
              <w:t>单位职工及受益对象</w:t>
            </w:r>
            <w:r>
              <w:rPr>
                <w:rFonts w:hint="default" w:ascii="Times New Roman" w:hAnsi="Times New Roman" w:cs="Times New Roman" w:eastAsiaTheme="minorEastAsia"/>
                <w:color w:val="000000"/>
                <w:sz w:val="18"/>
                <w:szCs w:val="18"/>
              </w:rPr>
              <w:t>满意度≥95%计</w:t>
            </w:r>
            <w:r>
              <w:rPr>
                <w:rFonts w:hint="eastAsia" w:cs="Times New Roman" w:eastAsiaTheme="minorEastAsia"/>
                <w:color w:val="000000"/>
                <w:sz w:val="18"/>
                <w:szCs w:val="18"/>
                <w:lang w:val="en-US" w:eastAsia="zh-CN"/>
              </w:rPr>
              <w:t>10</w:t>
            </w:r>
            <w:r>
              <w:rPr>
                <w:rFonts w:hint="default" w:ascii="Times New Roman" w:hAnsi="Times New Roman" w:cs="Times New Roman" w:eastAsiaTheme="minorEastAsia"/>
                <w:color w:val="000000"/>
                <w:sz w:val="18"/>
                <w:szCs w:val="18"/>
              </w:rPr>
              <w:t>分：每低5%扣1分。满意度＜75%计0分。</w:t>
            </w:r>
          </w:p>
        </w:tc>
        <w:tc>
          <w:tcPr>
            <w:tcW w:w="33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kern w:val="2"/>
                <w:sz w:val="18"/>
                <w:szCs w:val="18"/>
                <w:lang w:val="en-US" w:eastAsia="zh-CN" w:bidi="ar-SA"/>
              </w:rPr>
            </w:pPr>
            <w:r>
              <w:rPr>
                <w:rFonts w:hint="default" w:ascii="Times New Roman" w:hAnsi="Times New Roman" w:cs="Times New Roman" w:eastAsiaTheme="minorEastAsia"/>
                <w:color w:val="000000"/>
                <w:sz w:val="18"/>
                <w:szCs w:val="18"/>
                <w:lang w:val="en-US" w:eastAsia="zh-CN"/>
              </w:rPr>
              <w:t>10</w:t>
            </w:r>
          </w:p>
        </w:tc>
        <w:tc>
          <w:tcPr>
            <w:tcW w:w="100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cs="Times New Roman" w:eastAsiaTheme="minorEastAsia"/>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80" w:type="pct"/>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合计</w:t>
            </w:r>
          </w:p>
        </w:tc>
        <w:tc>
          <w:tcPr>
            <w:tcW w:w="32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100</w:t>
            </w:r>
          </w:p>
        </w:tc>
        <w:tc>
          <w:tcPr>
            <w:tcW w:w="2053"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　</w:t>
            </w:r>
          </w:p>
        </w:tc>
        <w:tc>
          <w:tcPr>
            <w:tcW w:w="33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18"/>
                <w:szCs w:val="18"/>
                <w:lang w:val="en-US" w:eastAsia="zh-CN"/>
              </w:rPr>
            </w:pPr>
            <w:r>
              <w:rPr>
                <w:rFonts w:hint="default" w:ascii="Times New Roman" w:hAnsi="Times New Roman" w:cs="Times New Roman" w:eastAsiaTheme="minorEastAsia"/>
                <w:color w:val="000000"/>
                <w:sz w:val="18"/>
                <w:szCs w:val="18"/>
                <w:lang w:val="en-US" w:eastAsia="zh-CN"/>
              </w:rPr>
              <w:t>90</w:t>
            </w:r>
          </w:p>
        </w:tc>
        <w:tc>
          <w:tcPr>
            <w:tcW w:w="100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18"/>
                <w:szCs w:val="18"/>
              </w:rPr>
            </w:pPr>
          </w:p>
        </w:tc>
      </w:tr>
    </w:tbl>
    <w:p>
      <w:pPr>
        <w:rPr>
          <w:rFonts w:hint="default" w:ascii="Times New Roman" w:hAnsi="Times New Roman" w:cs="Times New Roman"/>
        </w:rPr>
        <w:sectPr>
          <w:headerReference r:id="rId8" w:type="default"/>
          <w:footerReference r:id="rId9" w:type="default"/>
          <w:pgSz w:w="16838" w:h="11906" w:orient="landscape"/>
          <w:pgMar w:top="1389" w:right="986" w:bottom="1389" w:left="986" w:header="567"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ind w:left="0" w:leftChars="0" w:firstLine="0" w:firstLineChars="0"/>
        <w:jc w:val="both"/>
        <w:rPr>
          <w:rFonts w:hint="default" w:ascii="Times New Roman" w:hAnsi="Times New Roman" w:eastAsia="方正小标宋_GBK" w:cs="Times New Roman"/>
          <w:lang w:val="en-US" w:eastAsia="zh-CN"/>
        </w:rPr>
      </w:pPr>
      <w:r>
        <w:rPr>
          <w:rFonts w:hint="default" w:ascii="Times New Roman" w:hAnsi="Times New Roman" w:eastAsia="仿宋" w:cs="Times New Roman"/>
          <w:lang w:val="en-US" w:eastAsia="zh-CN"/>
        </w:rPr>
        <w:t xml:space="preserve">附件2：  </w:t>
      </w:r>
      <w:r>
        <w:rPr>
          <w:rFonts w:hint="default" w:ascii="Times New Roman" w:hAnsi="Times New Roman" w:eastAsia="方正小标宋_GBK" w:cs="Times New Roman"/>
          <w:lang w:val="en-US" w:eastAsia="zh-CN"/>
        </w:rPr>
        <w:t xml:space="preserve">    </w:t>
      </w:r>
    </w:p>
    <w:p>
      <w:pPr>
        <w:ind w:left="0" w:leftChars="0" w:firstLine="1920" w:firstLineChars="600"/>
        <w:jc w:val="both"/>
        <w:rPr>
          <w:rFonts w:hint="default" w:ascii="Times New Roman" w:hAnsi="Times New Roman" w:eastAsia="方正小标宋_GBK" w:cs="Times New Roman"/>
          <w:lang w:val="en-US" w:eastAsia="zh-CN"/>
        </w:rPr>
      </w:pPr>
      <w:r>
        <w:rPr>
          <w:rFonts w:hint="default" w:ascii="Times New Roman" w:hAnsi="Times New Roman" w:eastAsia="方正小标宋_GBK" w:cs="Times New Roman"/>
          <w:lang w:val="en-US" w:eastAsia="zh-CN"/>
        </w:rPr>
        <w:t>部门整体支出绩效评价基础数据表</w:t>
      </w:r>
    </w:p>
    <w:tbl>
      <w:tblPr>
        <w:tblStyle w:val="19"/>
        <w:tblW w:w="9111" w:type="dxa"/>
        <w:jc w:val="center"/>
        <w:tblLayout w:type="fixed"/>
        <w:tblCellMar>
          <w:top w:w="0" w:type="dxa"/>
          <w:left w:w="108" w:type="dxa"/>
          <w:bottom w:w="0" w:type="dxa"/>
          <w:right w:w="108" w:type="dxa"/>
        </w:tblCellMar>
      </w:tblPr>
      <w:tblGrid>
        <w:gridCol w:w="3354"/>
        <w:gridCol w:w="1709"/>
        <w:gridCol w:w="5"/>
        <w:gridCol w:w="5"/>
        <w:gridCol w:w="2319"/>
        <w:gridCol w:w="1719"/>
      </w:tblGrid>
      <w:tr>
        <w:tblPrEx>
          <w:tblCellMar>
            <w:top w:w="0" w:type="dxa"/>
            <w:left w:w="108" w:type="dxa"/>
            <w:bottom w:w="0" w:type="dxa"/>
            <w:right w:w="108" w:type="dxa"/>
          </w:tblCellMar>
        </w:tblPrEx>
        <w:trPr>
          <w:trHeight w:val="397"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财政供养人员情况</w:t>
            </w:r>
          </w:p>
        </w:tc>
        <w:tc>
          <w:tcPr>
            <w:tcW w:w="17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编制数</w:t>
            </w:r>
          </w:p>
        </w:tc>
        <w:tc>
          <w:tcPr>
            <w:tcW w:w="232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年末实际在职人数</w:t>
            </w:r>
          </w:p>
        </w:tc>
        <w:tc>
          <w:tcPr>
            <w:tcW w:w="171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控制率</w:t>
            </w:r>
          </w:p>
        </w:tc>
      </w:tr>
      <w:tr>
        <w:tblPrEx>
          <w:tblCellMar>
            <w:top w:w="0" w:type="dxa"/>
            <w:left w:w="108" w:type="dxa"/>
            <w:bottom w:w="0" w:type="dxa"/>
            <w:right w:w="108" w:type="dxa"/>
          </w:tblCellMar>
        </w:tblPrEx>
        <w:trPr>
          <w:trHeight w:val="397"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p>
        </w:tc>
        <w:tc>
          <w:tcPr>
            <w:tcW w:w="17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13</w:t>
            </w:r>
          </w:p>
        </w:tc>
        <w:tc>
          <w:tcPr>
            <w:tcW w:w="232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11</w:t>
            </w:r>
          </w:p>
        </w:tc>
        <w:tc>
          <w:tcPr>
            <w:tcW w:w="171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84.6%</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经费控制情况</w:t>
            </w:r>
          </w:p>
        </w:tc>
        <w:tc>
          <w:tcPr>
            <w:tcW w:w="1709"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当年决算数</w:t>
            </w:r>
          </w:p>
        </w:tc>
        <w:tc>
          <w:tcPr>
            <w:tcW w:w="2329" w:type="dxa"/>
            <w:gridSpan w:val="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当年预算数</w:t>
            </w:r>
          </w:p>
        </w:tc>
        <w:tc>
          <w:tcPr>
            <w:tcW w:w="1719"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上年决算数</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一、部门基本支出</w:t>
            </w:r>
          </w:p>
        </w:tc>
        <w:tc>
          <w:tcPr>
            <w:tcW w:w="1709"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256.38万</w:t>
            </w:r>
          </w:p>
        </w:tc>
        <w:tc>
          <w:tcPr>
            <w:tcW w:w="2329" w:type="dxa"/>
            <w:gridSpan w:val="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143.95万</w:t>
            </w:r>
          </w:p>
        </w:tc>
        <w:tc>
          <w:tcPr>
            <w:tcW w:w="1719"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318.13万</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    其中： 1、压缩一般性支出</w:t>
            </w:r>
          </w:p>
        </w:tc>
        <w:tc>
          <w:tcPr>
            <w:tcW w:w="1709"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p>
        </w:tc>
        <w:tc>
          <w:tcPr>
            <w:tcW w:w="2329" w:type="dxa"/>
            <w:gridSpan w:val="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p>
        </w:tc>
        <w:tc>
          <w:tcPr>
            <w:tcW w:w="1719"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    2、三公经费</w:t>
            </w:r>
          </w:p>
        </w:tc>
        <w:tc>
          <w:tcPr>
            <w:tcW w:w="1709"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p>
        </w:tc>
        <w:tc>
          <w:tcPr>
            <w:tcW w:w="2329" w:type="dxa"/>
            <w:gridSpan w:val="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p>
        </w:tc>
        <w:tc>
          <w:tcPr>
            <w:tcW w:w="1719"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    公务用车购置和维护经费</w:t>
            </w:r>
          </w:p>
        </w:tc>
        <w:tc>
          <w:tcPr>
            <w:tcW w:w="1709"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p>
        </w:tc>
        <w:tc>
          <w:tcPr>
            <w:tcW w:w="2329" w:type="dxa"/>
            <w:gridSpan w:val="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p>
        </w:tc>
        <w:tc>
          <w:tcPr>
            <w:tcW w:w="1719"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       其中：公车购置</w:t>
            </w:r>
          </w:p>
        </w:tc>
        <w:tc>
          <w:tcPr>
            <w:tcW w:w="1709"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p>
        </w:tc>
        <w:tc>
          <w:tcPr>
            <w:tcW w:w="2329" w:type="dxa"/>
            <w:gridSpan w:val="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p>
        </w:tc>
        <w:tc>
          <w:tcPr>
            <w:tcW w:w="1719"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             公车运行维护</w:t>
            </w:r>
          </w:p>
        </w:tc>
        <w:tc>
          <w:tcPr>
            <w:tcW w:w="1709"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p>
        </w:tc>
        <w:tc>
          <w:tcPr>
            <w:tcW w:w="2329" w:type="dxa"/>
            <w:gridSpan w:val="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p>
        </w:tc>
        <w:tc>
          <w:tcPr>
            <w:tcW w:w="1719"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    公务接待</w:t>
            </w:r>
          </w:p>
        </w:tc>
        <w:tc>
          <w:tcPr>
            <w:tcW w:w="1709"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p>
        </w:tc>
        <w:tc>
          <w:tcPr>
            <w:tcW w:w="2329" w:type="dxa"/>
            <w:gridSpan w:val="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p>
        </w:tc>
        <w:tc>
          <w:tcPr>
            <w:tcW w:w="1719"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    出国（境）经费</w:t>
            </w:r>
          </w:p>
        </w:tc>
        <w:tc>
          <w:tcPr>
            <w:tcW w:w="1709"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p>
        </w:tc>
        <w:tc>
          <w:tcPr>
            <w:tcW w:w="2329" w:type="dxa"/>
            <w:gridSpan w:val="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p>
        </w:tc>
        <w:tc>
          <w:tcPr>
            <w:tcW w:w="1719"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二、部门项目支出</w:t>
            </w:r>
          </w:p>
        </w:tc>
        <w:tc>
          <w:tcPr>
            <w:tcW w:w="1709"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92.69万</w:t>
            </w:r>
          </w:p>
        </w:tc>
        <w:tc>
          <w:tcPr>
            <w:tcW w:w="2329" w:type="dxa"/>
            <w:gridSpan w:val="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30万</w:t>
            </w:r>
          </w:p>
        </w:tc>
        <w:tc>
          <w:tcPr>
            <w:tcW w:w="1719"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126.45万</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  1、业务工作专项</w:t>
            </w:r>
          </w:p>
        </w:tc>
        <w:tc>
          <w:tcPr>
            <w:tcW w:w="1709"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p>
        </w:tc>
        <w:tc>
          <w:tcPr>
            <w:tcW w:w="2329" w:type="dxa"/>
            <w:gridSpan w:val="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p>
        </w:tc>
        <w:tc>
          <w:tcPr>
            <w:tcW w:w="1719"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文化旅游体育与传媒支出</w:t>
            </w:r>
          </w:p>
        </w:tc>
        <w:tc>
          <w:tcPr>
            <w:tcW w:w="1709"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p>
        </w:tc>
        <w:tc>
          <w:tcPr>
            <w:tcW w:w="2329" w:type="dxa"/>
            <w:gridSpan w:val="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p>
        </w:tc>
        <w:tc>
          <w:tcPr>
            <w:tcW w:w="1719"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节能环保支出</w:t>
            </w:r>
          </w:p>
        </w:tc>
        <w:tc>
          <w:tcPr>
            <w:tcW w:w="1709"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p>
        </w:tc>
        <w:tc>
          <w:tcPr>
            <w:tcW w:w="2329" w:type="dxa"/>
            <w:gridSpan w:val="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p>
        </w:tc>
        <w:tc>
          <w:tcPr>
            <w:tcW w:w="1719"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农林水支出</w:t>
            </w:r>
          </w:p>
        </w:tc>
        <w:tc>
          <w:tcPr>
            <w:tcW w:w="1709"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72.69万</w:t>
            </w:r>
          </w:p>
        </w:tc>
        <w:tc>
          <w:tcPr>
            <w:tcW w:w="2329" w:type="dxa"/>
            <w:gridSpan w:val="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p>
        </w:tc>
        <w:tc>
          <w:tcPr>
            <w:tcW w:w="1719"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商业服务业等支出</w:t>
            </w:r>
          </w:p>
        </w:tc>
        <w:tc>
          <w:tcPr>
            <w:tcW w:w="1709"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p>
        </w:tc>
        <w:tc>
          <w:tcPr>
            <w:tcW w:w="2329" w:type="dxa"/>
            <w:gridSpan w:val="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p>
        </w:tc>
        <w:tc>
          <w:tcPr>
            <w:tcW w:w="1719"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灾害防治及应急管理支出</w:t>
            </w:r>
          </w:p>
        </w:tc>
        <w:tc>
          <w:tcPr>
            <w:tcW w:w="1709"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p>
        </w:tc>
        <w:tc>
          <w:tcPr>
            <w:tcW w:w="2329" w:type="dxa"/>
            <w:gridSpan w:val="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p>
        </w:tc>
        <w:tc>
          <w:tcPr>
            <w:tcW w:w="1719"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其他支出</w:t>
            </w:r>
          </w:p>
        </w:tc>
        <w:tc>
          <w:tcPr>
            <w:tcW w:w="1709"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p>
        </w:tc>
        <w:tc>
          <w:tcPr>
            <w:tcW w:w="2329" w:type="dxa"/>
            <w:gridSpan w:val="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p>
        </w:tc>
        <w:tc>
          <w:tcPr>
            <w:tcW w:w="1719"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  2、运行维护专项</w:t>
            </w:r>
          </w:p>
        </w:tc>
        <w:tc>
          <w:tcPr>
            <w:tcW w:w="1709"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p>
        </w:tc>
        <w:tc>
          <w:tcPr>
            <w:tcW w:w="2329" w:type="dxa"/>
            <w:gridSpan w:val="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p>
        </w:tc>
        <w:tc>
          <w:tcPr>
            <w:tcW w:w="1719"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一般公共服务支出</w:t>
            </w:r>
          </w:p>
        </w:tc>
        <w:tc>
          <w:tcPr>
            <w:tcW w:w="1709"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20万</w:t>
            </w:r>
          </w:p>
        </w:tc>
        <w:tc>
          <w:tcPr>
            <w:tcW w:w="2329" w:type="dxa"/>
            <w:gridSpan w:val="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p>
        </w:tc>
        <w:tc>
          <w:tcPr>
            <w:tcW w:w="1719"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社会保障和就业支出</w:t>
            </w:r>
          </w:p>
        </w:tc>
        <w:tc>
          <w:tcPr>
            <w:tcW w:w="17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p>
        </w:tc>
        <w:tc>
          <w:tcPr>
            <w:tcW w:w="232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p>
        </w:tc>
        <w:tc>
          <w:tcPr>
            <w:tcW w:w="1719" w:type="dxa"/>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城乡社区支出</w:t>
            </w:r>
          </w:p>
        </w:tc>
        <w:tc>
          <w:tcPr>
            <w:tcW w:w="171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p>
        </w:tc>
        <w:tc>
          <w:tcPr>
            <w:tcW w:w="232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p>
        </w:tc>
        <w:tc>
          <w:tcPr>
            <w:tcW w:w="1719" w:type="dxa"/>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p>
        </w:tc>
      </w:tr>
      <w:tr>
        <w:tblPrEx>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政府采购金额</w:t>
            </w:r>
          </w:p>
        </w:tc>
        <w:tc>
          <w:tcPr>
            <w:tcW w:w="17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p>
        </w:tc>
        <w:tc>
          <w:tcPr>
            <w:tcW w:w="23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p>
        </w:tc>
        <w:tc>
          <w:tcPr>
            <w:tcW w:w="1719" w:type="dxa"/>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p>
        </w:tc>
      </w:tr>
      <w:tr>
        <w:tblPrEx>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厉行节约保障措施</w:t>
            </w:r>
          </w:p>
        </w:tc>
        <w:tc>
          <w:tcPr>
            <w:tcW w:w="5757" w:type="dxa"/>
            <w:gridSpan w:val="5"/>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ab/>
            </w:r>
            <w:r>
              <w:rPr>
                <w:rFonts w:hint="default" w:ascii="Times New Roman" w:hAnsi="Times New Roman" w:eastAsia="宋体" w:cs="Times New Roman"/>
                <w:sz w:val="21"/>
                <w:szCs w:val="21"/>
                <w:lang w:val="en-US" w:eastAsia="zh-CN"/>
              </w:rPr>
              <w:t>严格控制三公经费支出　　</w:t>
            </w:r>
          </w:p>
        </w:tc>
      </w:tr>
    </w:tbl>
    <w:p>
      <w:pPr>
        <w:ind w:left="0" w:leftChars="0" w:firstLine="0" w:firstLineChars="0"/>
        <w:jc w:val="both"/>
        <w:rPr>
          <w:rFonts w:hint="default" w:ascii="Times New Roman" w:hAnsi="Times New Roman" w:eastAsia="方正小标宋_GBK" w:cs="Times New Roman"/>
          <w:lang w:val="en-US" w:eastAsia="zh-CN"/>
        </w:rPr>
      </w:pPr>
    </w:p>
    <w:p>
      <w:pPr>
        <w:ind w:left="0" w:leftChars="0" w:firstLine="0" w:firstLineChars="0"/>
        <w:jc w:val="both"/>
        <w:rPr>
          <w:rFonts w:hint="default" w:ascii="Times New Roman" w:hAnsi="Times New Roman" w:eastAsia="方正小标宋_GBK" w:cs="Times New Roman"/>
          <w:lang w:val="en-US" w:eastAsia="zh-CN"/>
        </w:rPr>
      </w:pPr>
    </w:p>
    <w:p>
      <w:pPr>
        <w:ind w:left="0" w:leftChars="0" w:firstLine="0" w:firstLineChars="0"/>
        <w:jc w:val="both"/>
        <w:rPr>
          <w:rFonts w:hint="default" w:ascii="Times New Roman" w:hAnsi="Times New Roman" w:eastAsia="方正小标宋_GBK" w:cs="Times New Roman"/>
          <w:lang w:val="en-US" w:eastAsia="zh-CN"/>
        </w:rPr>
      </w:pPr>
    </w:p>
    <w:p>
      <w:pPr>
        <w:keepNext w:val="0"/>
        <w:keepLines w:val="0"/>
        <w:pageBreakBefore w:val="0"/>
        <w:widowControl/>
        <w:kinsoku/>
        <w:overflowPunct/>
        <w:topLinePunct w:val="0"/>
        <w:autoSpaceDE/>
        <w:autoSpaceDN/>
        <w:bidi w:val="0"/>
        <w:adjustRightInd/>
        <w:snapToGrid/>
        <w:spacing w:line="640" w:lineRule="exact"/>
        <w:ind w:left="0" w:leftChars="0" w:firstLine="0" w:firstLineChars="0"/>
        <w:jc w:val="both"/>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 xml:space="preserve">附件3： </w:t>
      </w:r>
    </w:p>
    <w:p>
      <w:pPr>
        <w:keepNext w:val="0"/>
        <w:keepLines w:val="0"/>
        <w:pageBreakBefore w:val="0"/>
        <w:widowControl/>
        <w:kinsoku/>
        <w:overflowPunct/>
        <w:topLinePunct w:val="0"/>
        <w:autoSpaceDE/>
        <w:autoSpaceDN/>
        <w:bidi w:val="0"/>
        <w:adjustRightInd/>
        <w:snapToGrid/>
        <w:spacing w:line="640" w:lineRule="exact"/>
        <w:jc w:val="center"/>
        <w:rPr>
          <w:rFonts w:hint="default" w:ascii="Times New Roman Regular" w:hAnsi="Times New Roman Regular" w:eastAsia="方正小标宋_GBK" w:cs="Times New Roman Regular"/>
          <w:color w:val="000000"/>
          <w:kern w:val="0"/>
          <w:sz w:val="32"/>
          <w:szCs w:val="32"/>
          <w:lang w:val="en-US" w:eastAsia="zh-CN"/>
        </w:rPr>
      </w:pPr>
      <w:r>
        <w:rPr>
          <w:rFonts w:hint="default" w:ascii="Times New Roman Regular" w:hAnsi="Times New Roman Regular" w:eastAsia="方正小标宋_GBK" w:cs="Times New Roman Regular"/>
          <w:color w:val="000000"/>
          <w:kern w:val="0"/>
          <w:sz w:val="32"/>
          <w:szCs w:val="32"/>
          <w:lang w:val="en-US" w:eastAsia="zh-CN"/>
        </w:rPr>
        <w:t>部门整体支出绩效自评表</w:t>
      </w:r>
    </w:p>
    <w:tbl>
      <w:tblPr>
        <w:tblStyle w:val="19"/>
        <w:tblW w:w="99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85" w:type="dxa"/>
          <w:bottom w:w="0" w:type="dxa"/>
          <w:right w:w="108" w:type="dxa"/>
        </w:tblCellMar>
      </w:tblPr>
      <w:tblGrid>
        <w:gridCol w:w="613"/>
        <w:gridCol w:w="902"/>
        <w:gridCol w:w="1052"/>
        <w:gridCol w:w="1009"/>
        <w:gridCol w:w="1699"/>
        <w:gridCol w:w="1525"/>
        <w:gridCol w:w="1470"/>
        <w:gridCol w:w="734"/>
        <w:gridCol w:w="9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5" w:type="dxa"/>
            <w:bottom w:w="0" w:type="dxa"/>
            <w:right w:w="108" w:type="dxa"/>
          </w:tblCellMar>
        </w:tblPrEx>
        <w:trPr>
          <w:trHeight w:val="397" w:hRule="atLeast"/>
          <w:jc w:val="center"/>
        </w:trPr>
        <w:tc>
          <w:tcPr>
            <w:tcW w:w="613" w:type="dxa"/>
            <w:vMerge w:val="restart"/>
            <w:tcBorders>
              <w:tl2br w:val="nil"/>
              <w:tr2bl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部门资金（万元）</w:t>
            </w:r>
          </w:p>
        </w:tc>
        <w:tc>
          <w:tcPr>
            <w:tcW w:w="2963"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p>
        </w:tc>
        <w:tc>
          <w:tcPr>
            <w:tcW w:w="16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全年预算数</w:t>
            </w:r>
          </w:p>
        </w:tc>
        <w:tc>
          <w:tcPr>
            <w:tcW w:w="15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全年执行数</w:t>
            </w:r>
          </w:p>
        </w:tc>
        <w:tc>
          <w:tcPr>
            <w:tcW w:w="14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预算执行率</w:t>
            </w:r>
          </w:p>
        </w:tc>
        <w:tc>
          <w:tcPr>
            <w:tcW w:w="73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分值</w:t>
            </w:r>
          </w:p>
        </w:tc>
        <w:tc>
          <w:tcPr>
            <w:tcW w:w="9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5" w:type="dxa"/>
            <w:bottom w:w="0" w:type="dxa"/>
            <w:right w:w="108" w:type="dxa"/>
          </w:tblCellMar>
        </w:tblPrEx>
        <w:trPr>
          <w:trHeight w:val="397" w:hRule="atLeast"/>
          <w:jc w:val="center"/>
        </w:trPr>
        <w:tc>
          <w:tcPr>
            <w:tcW w:w="613" w:type="dxa"/>
            <w:vMerge w:val="continue"/>
            <w:tcBorders>
              <w:tl2br w:val="nil"/>
              <w:tr2bl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p>
        </w:tc>
        <w:tc>
          <w:tcPr>
            <w:tcW w:w="2963"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年度资金总额</w:t>
            </w:r>
          </w:p>
        </w:tc>
        <w:tc>
          <w:tcPr>
            <w:tcW w:w="16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173.95万元</w:t>
            </w:r>
          </w:p>
        </w:tc>
        <w:tc>
          <w:tcPr>
            <w:tcW w:w="15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256.38万元</w:t>
            </w:r>
          </w:p>
        </w:tc>
        <w:tc>
          <w:tcPr>
            <w:tcW w:w="14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147.38%</w:t>
            </w:r>
          </w:p>
        </w:tc>
        <w:tc>
          <w:tcPr>
            <w:tcW w:w="73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10</w:t>
            </w:r>
          </w:p>
        </w:tc>
        <w:tc>
          <w:tcPr>
            <w:tcW w:w="9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5" w:type="dxa"/>
            <w:bottom w:w="0" w:type="dxa"/>
            <w:right w:w="108" w:type="dxa"/>
          </w:tblCellMar>
        </w:tblPrEx>
        <w:trPr>
          <w:trHeight w:val="397" w:hRule="atLeast"/>
          <w:jc w:val="center"/>
        </w:trPr>
        <w:tc>
          <w:tcPr>
            <w:tcW w:w="613" w:type="dxa"/>
            <w:vMerge w:val="continue"/>
            <w:tcBorders>
              <w:tl2br w:val="nil"/>
              <w:tr2bl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p>
        </w:tc>
        <w:tc>
          <w:tcPr>
            <w:tcW w:w="4662"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按收入性质分类</w:t>
            </w:r>
          </w:p>
        </w:tc>
        <w:tc>
          <w:tcPr>
            <w:tcW w:w="4662"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按支出性质分类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5" w:type="dxa"/>
            <w:bottom w:w="0" w:type="dxa"/>
            <w:right w:w="108" w:type="dxa"/>
          </w:tblCellMar>
        </w:tblPrEx>
        <w:trPr>
          <w:trHeight w:val="397" w:hRule="atLeast"/>
          <w:jc w:val="center"/>
        </w:trPr>
        <w:tc>
          <w:tcPr>
            <w:tcW w:w="613" w:type="dxa"/>
            <w:vMerge w:val="continue"/>
            <w:tcBorders>
              <w:tl2br w:val="nil"/>
              <w:tr2bl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p>
        </w:tc>
        <w:tc>
          <w:tcPr>
            <w:tcW w:w="2963"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一般公共预算拨款</w:t>
            </w:r>
          </w:p>
        </w:tc>
        <w:tc>
          <w:tcPr>
            <w:tcW w:w="16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344.06万元</w:t>
            </w:r>
          </w:p>
        </w:tc>
        <w:tc>
          <w:tcPr>
            <w:tcW w:w="2995"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基本支出</w:t>
            </w:r>
          </w:p>
        </w:tc>
        <w:tc>
          <w:tcPr>
            <w:tcW w:w="1667"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25.638万元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5" w:type="dxa"/>
            <w:bottom w:w="0" w:type="dxa"/>
            <w:right w:w="108" w:type="dxa"/>
          </w:tblCellMar>
        </w:tblPrEx>
        <w:trPr>
          <w:trHeight w:val="397" w:hRule="atLeast"/>
          <w:jc w:val="center"/>
        </w:trPr>
        <w:tc>
          <w:tcPr>
            <w:tcW w:w="613" w:type="dxa"/>
            <w:vMerge w:val="continue"/>
            <w:tcBorders>
              <w:tl2br w:val="nil"/>
              <w:tr2bl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p>
        </w:tc>
        <w:tc>
          <w:tcPr>
            <w:tcW w:w="2963"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政府性基金拨款</w:t>
            </w:r>
          </w:p>
        </w:tc>
        <w:tc>
          <w:tcPr>
            <w:tcW w:w="16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0</w:t>
            </w:r>
          </w:p>
        </w:tc>
        <w:tc>
          <w:tcPr>
            <w:tcW w:w="2995"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1.人员经费</w:t>
            </w:r>
          </w:p>
        </w:tc>
        <w:tc>
          <w:tcPr>
            <w:tcW w:w="1667"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177.56万元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5" w:type="dxa"/>
            <w:bottom w:w="0" w:type="dxa"/>
            <w:right w:w="108" w:type="dxa"/>
          </w:tblCellMar>
        </w:tblPrEx>
        <w:trPr>
          <w:trHeight w:val="397" w:hRule="atLeast"/>
          <w:jc w:val="center"/>
        </w:trPr>
        <w:tc>
          <w:tcPr>
            <w:tcW w:w="613" w:type="dxa"/>
            <w:vMerge w:val="continue"/>
            <w:tcBorders>
              <w:tl2br w:val="nil"/>
              <w:tr2bl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p>
        </w:tc>
        <w:tc>
          <w:tcPr>
            <w:tcW w:w="2963"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纳入管理的非税收入拨款</w:t>
            </w:r>
          </w:p>
        </w:tc>
        <w:tc>
          <w:tcPr>
            <w:tcW w:w="16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0</w:t>
            </w:r>
          </w:p>
        </w:tc>
        <w:tc>
          <w:tcPr>
            <w:tcW w:w="2995"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2.公用经费</w:t>
            </w:r>
          </w:p>
        </w:tc>
        <w:tc>
          <w:tcPr>
            <w:tcW w:w="1667"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74.97万元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5" w:type="dxa"/>
            <w:bottom w:w="0" w:type="dxa"/>
            <w:right w:w="108" w:type="dxa"/>
          </w:tblCellMar>
        </w:tblPrEx>
        <w:trPr>
          <w:trHeight w:val="397" w:hRule="atLeast"/>
          <w:jc w:val="center"/>
        </w:trPr>
        <w:tc>
          <w:tcPr>
            <w:tcW w:w="613" w:type="dxa"/>
            <w:vMerge w:val="continue"/>
            <w:tcBorders>
              <w:tl2br w:val="nil"/>
              <w:tr2bl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p>
        </w:tc>
        <w:tc>
          <w:tcPr>
            <w:tcW w:w="2963"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……拨款</w:t>
            </w:r>
          </w:p>
        </w:tc>
        <w:tc>
          <w:tcPr>
            <w:tcW w:w="16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0</w:t>
            </w:r>
          </w:p>
        </w:tc>
        <w:tc>
          <w:tcPr>
            <w:tcW w:w="2995"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其中：三公经费</w:t>
            </w:r>
          </w:p>
        </w:tc>
        <w:tc>
          <w:tcPr>
            <w:tcW w:w="1667"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5" w:type="dxa"/>
            <w:bottom w:w="0" w:type="dxa"/>
            <w:right w:w="108" w:type="dxa"/>
          </w:tblCellMar>
        </w:tblPrEx>
        <w:trPr>
          <w:trHeight w:val="397" w:hRule="atLeast"/>
          <w:jc w:val="center"/>
        </w:trPr>
        <w:tc>
          <w:tcPr>
            <w:tcW w:w="613" w:type="dxa"/>
            <w:vMerge w:val="continue"/>
            <w:tcBorders>
              <w:tl2br w:val="nil"/>
              <w:tr2bl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p>
        </w:tc>
        <w:tc>
          <w:tcPr>
            <w:tcW w:w="2963"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其他资金</w:t>
            </w:r>
          </w:p>
        </w:tc>
        <w:tc>
          <w:tcPr>
            <w:tcW w:w="16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0</w:t>
            </w:r>
          </w:p>
        </w:tc>
        <w:tc>
          <w:tcPr>
            <w:tcW w:w="2995"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项目支出</w:t>
            </w:r>
          </w:p>
        </w:tc>
        <w:tc>
          <w:tcPr>
            <w:tcW w:w="1667"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92.69万元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5" w:type="dxa"/>
            <w:bottom w:w="0" w:type="dxa"/>
            <w:right w:w="108" w:type="dxa"/>
          </w:tblCellMar>
        </w:tblPrEx>
        <w:trPr>
          <w:trHeight w:val="397" w:hRule="atLeast"/>
          <w:jc w:val="center"/>
        </w:trPr>
        <w:tc>
          <w:tcPr>
            <w:tcW w:w="613" w:type="dxa"/>
            <w:vMerge w:val="restart"/>
            <w:tcBorders>
              <w:tl2br w:val="nil"/>
              <w:tr2bl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年度总体目标</w:t>
            </w:r>
          </w:p>
        </w:tc>
        <w:tc>
          <w:tcPr>
            <w:tcW w:w="4662"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年初预期（设定）目标</w:t>
            </w:r>
          </w:p>
        </w:tc>
        <w:tc>
          <w:tcPr>
            <w:tcW w:w="4662"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全年实际完成情况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5" w:type="dxa"/>
            <w:bottom w:w="0" w:type="dxa"/>
            <w:right w:w="108" w:type="dxa"/>
          </w:tblCellMar>
        </w:tblPrEx>
        <w:trPr>
          <w:trHeight w:val="397" w:hRule="atLeast"/>
          <w:jc w:val="center"/>
        </w:trPr>
        <w:tc>
          <w:tcPr>
            <w:tcW w:w="613" w:type="dxa"/>
            <w:vMerge w:val="continue"/>
            <w:tcBorders>
              <w:tl2br w:val="nil"/>
              <w:tr2bl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p>
        </w:tc>
        <w:tc>
          <w:tcPr>
            <w:tcW w:w="4662"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在本年度收支预算内，确保完成以下整体目标：</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目标1：人员经费按照相关政策及时发放到位</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目标2：严格控制三公经费，确保机关正常运行</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目标3：做好社会保障工作</w:t>
            </w:r>
          </w:p>
        </w:tc>
        <w:tc>
          <w:tcPr>
            <w:tcW w:w="4662"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按照财政预算，严控三公经费，2022年本单位正常运行，人员相关经费按照政策及时发放到位。民生支出及时到位，本乡经济平稳发展。</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5" w:type="dxa"/>
            <w:bottom w:w="0" w:type="dxa"/>
            <w:right w:w="108" w:type="dxa"/>
          </w:tblCellMar>
        </w:tblPrEx>
        <w:trPr>
          <w:trHeight w:val="397" w:hRule="exact"/>
          <w:jc w:val="center"/>
        </w:trPr>
        <w:tc>
          <w:tcPr>
            <w:tcW w:w="613" w:type="dxa"/>
            <w:vMerge w:val="restart"/>
            <w:tcBorders>
              <w:tl2br w:val="nil"/>
              <w:tr2bl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绩效指标</w:t>
            </w:r>
          </w:p>
        </w:tc>
        <w:tc>
          <w:tcPr>
            <w:tcW w:w="90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一级</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指标</w:t>
            </w:r>
          </w:p>
        </w:tc>
        <w:tc>
          <w:tcPr>
            <w:tcW w:w="105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二级指标</w:t>
            </w:r>
          </w:p>
        </w:tc>
        <w:tc>
          <w:tcPr>
            <w:tcW w:w="2708"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三级指标</w:t>
            </w:r>
          </w:p>
        </w:tc>
        <w:tc>
          <w:tcPr>
            <w:tcW w:w="15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年度指标值</w:t>
            </w:r>
          </w:p>
        </w:tc>
        <w:tc>
          <w:tcPr>
            <w:tcW w:w="14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实际完成值</w:t>
            </w:r>
          </w:p>
        </w:tc>
        <w:tc>
          <w:tcPr>
            <w:tcW w:w="73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分值</w:t>
            </w:r>
          </w:p>
        </w:tc>
        <w:tc>
          <w:tcPr>
            <w:tcW w:w="9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5" w:type="dxa"/>
            <w:bottom w:w="0" w:type="dxa"/>
            <w:right w:w="108" w:type="dxa"/>
          </w:tblCellMar>
        </w:tblPrEx>
        <w:trPr>
          <w:trHeight w:val="397" w:hRule="exact"/>
          <w:jc w:val="center"/>
        </w:trPr>
        <w:tc>
          <w:tcPr>
            <w:tcW w:w="61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p>
        </w:tc>
        <w:tc>
          <w:tcPr>
            <w:tcW w:w="90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产出</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指标</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（50分）</w:t>
            </w:r>
          </w:p>
        </w:tc>
        <w:tc>
          <w:tcPr>
            <w:tcW w:w="105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数量指标</w:t>
            </w:r>
          </w:p>
        </w:tc>
        <w:tc>
          <w:tcPr>
            <w:tcW w:w="2708"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动物防疫数、检疫数</w:t>
            </w:r>
          </w:p>
        </w:tc>
        <w:tc>
          <w:tcPr>
            <w:tcW w:w="15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100%</w:t>
            </w:r>
          </w:p>
        </w:tc>
        <w:tc>
          <w:tcPr>
            <w:tcW w:w="14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100%</w:t>
            </w:r>
          </w:p>
        </w:tc>
        <w:tc>
          <w:tcPr>
            <w:tcW w:w="73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10</w:t>
            </w:r>
          </w:p>
        </w:tc>
        <w:tc>
          <w:tcPr>
            <w:tcW w:w="9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5" w:type="dxa"/>
            <w:bottom w:w="0" w:type="dxa"/>
            <w:right w:w="108" w:type="dxa"/>
          </w:tblCellMar>
        </w:tblPrEx>
        <w:trPr>
          <w:trHeight w:val="397" w:hRule="exact"/>
          <w:jc w:val="center"/>
        </w:trPr>
        <w:tc>
          <w:tcPr>
            <w:tcW w:w="61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p>
        </w:tc>
        <w:tc>
          <w:tcPr>
            <w:tcW w:w="90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p>
        </w:tc>
        <w:tc>
          <w:tcPr>
            <w:tcW w:w="105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p>
        </w:tc>
        <w:tc>
          <w:tcPr>
            <w:tcW w:w="2708"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畜禽水产品质量安全</w:t>
            </w:r>
          </w:p>
        </w:tc>
        <w:tc>
          <w:tcPr>
            <w:tcW w:w="15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100%</w:t>
            </w:r>
          </w:p>
        </w:tc>
        <w:tc>
          <w:tcPr>
            <w:tcW w:w="14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100%</w:t>
            </w:r>
          </w:p>
        </w:tc>
        <w:tc>
          <w:tcPr>
            <w:tcW w:w="73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10</w:t>
            </w:r>
          </w:p>
        </w:tc>
        <w:tc>
          <w:tcPr>
            <w:tcW w:w="9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5" w:type="dxa"/>
            <w:bottom w:w="0" w:type="dxa"/>
            <w:right w:w="108" w:type="dxa"/>
          </w:tblCellMar>
        </w:tblPrEx>
        <w:trPr>
          <w:trHeight w:val="397" w:hRule="exact"/>
          <w:jc w:val="center"/>
        </w:trPr>
        <w:tc>
          <w:tcPr>
            <w:tcW w:w="61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p>
        </w:tc>
        <w:tc>
          <w:tcPr>
            <w:tcW w:w="90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p>
        </w:tc>
        <w:tc>
          <w:tcPr>
            <w:tcW w:w="105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质量指标</w:t>
            </w:r>
          </w:p>
        </w:tc>
        <w:tc>
          <w:tcPr>
            <w:tcW w:w="2708"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惠民惠农资金发放到位</w:t>
            </w:r>
          </w:p>
        </w:tc>
        <w:tc>
          <w:tcPr>
            <w:tcW w:w="15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100%</w:t>
            </w:r>
          </w:p>
        </w:tc>
        <w:tc>
          <w:tcPr>
            <w:tcW w:w="14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100%</w:t>
            </w:r>
          </w:p>
        </w:tc>
        <w:tc>
          <w:tcPr>
            <w:tcW w:w="73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5</w:t>
            </w:r>
          </w:p>
        </w:tc>
        <w:tc>
          <w:tcPr>
            <w:tcW w:w="9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5" w:type="dxa"/>
            <w:bottom w:w="0" w:type="dxa"/>
            <w:right w:w="108" w:type="dxa"/>
          </w:tblCellMar>
        </w:tblPrEx>
        <w:trPr>
          <w:trHeight w:val="397" w:hRule="exact"/>
          <w:jc w:val="center"/>
        </w:trPr>
        <w:tc>
          <w:tcPr>
            <w:tcW w:w="61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p>
        </w:tc>
        <w:tc>
          <w:tcPr>
            <w:tcW w:w="90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p>
        </w:tc>
        <w:tc>
          <w:tcPr>
            <w:tcW w:w="105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p>
        </w:tc>
        <w:tc>
          <w:tcPr>
            <w:tcW w:w="2708"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工资津贴发放率</w:t>
            </w:r>
          </w:p>
        </w:tc>
        <w:tc>
          <w:tcPr>
            <w:tcW w:w="15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100%</w:t>
            </w:r>
          </w:p>
        </w:tc>
        <w:tc>
          <w:tcPr>
            <w:tcW w:w="14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100%</w:t>
            </w:r>
          </w:p>
        </w:tc>
        <w:tc>
          <w:tcPr>
            <w:tcW w:w="73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8</w:t>
            </w:r>
          </w:p>
        </w:tc>
        <w:tc>
          <w:tcPr>
            <w:tcW w:w="9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5" w:type="dxa"/>
            <w:bottom w:w="0" w:type="dxa"/>
            <w:right w:w="108" w:type="dxa"/>
          </w:tblCellMar>
        </w:tblPrEx>
        <w:trPr>
          <w:trHeight w:val="397" w:hRule="exact"/>
          <w:jc w:val="center"/>
        </w:trPr>
        <w:tc>
          <w:tcPr>
            <w:tcW w:w="61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p>
        </w:tc>
        <w:tc>
          <w:tcPr>
            <w:tcW w:w="90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p>
        </w:tc>
        <w:tc>
          <w:tcPr>
            <w:tcW w:w="105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时效指标</w:t>
            </w:r>
          </w:p>
        </w:tc>
        <w:tc>
          <w:tcPr>
            <w:tcW w:w="2708"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重点工作办结率</w:t>
            </w:r>
          </w:p>
        </w:tc>
        <w:tc>
          <w:tcPr>
            <w:tcW w:w="15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按时办结100%</w:t>
            </w:r>
          </w:p>
        </w:tc>
        <w:tc>
          <w:tcPr>
            <w:tcW w:w="14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按时办结100%</w:t>
            </w:r>
          </w:p>
        </w:tc>
        <w:tc>
          <w:tcPr>
            <w:tcW w:w="73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10</w:t>
            </w:r>
          </w:p>
        </w:tc>
        <w:tc>
          <w:tcPr>
            <w:tcW w:w="9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5" w:type="dxa"/>
            <w:bottom w:w="0" w:type="dxa"/>
            <w:right w:w="108" w:type="dxa"/>
          </w:tblCellMar>
        </w:tblPrEx>
        <w:trPr>
          <w:trHeight w:val="397" w:hRule="exact"/>
          <w:jc w:val="center"/>
        </w:trPr>
        <w:tc>
          <w:tcPr>
            <w:tcW w:w="61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p>
        </w:tc>
        <w:tc>
          <w:tcPr>
            <w:tcW w:w="90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p>
        </w:tc>
        <w:tc>
          <w:tcPr>
            <w:tcW w:w="105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成本指标</w:t>
            </w:r>
          </w:p>
        </w:tc>
        <w:tc>
          <w:tcPr>
            <w:tcW w:w="2708"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各项业务经费不超出预算，超支审批</w:t>
            </w:r>
          </w:p>
        </w:tc>
        <w:tc>
          <w:tcPr>
            <w:tcW w:w="15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100%</w:t>
            </w:r>
          </w:p>
        </w:tc>
        <w:tc>
          <w:tcPr>
            <w:tcW w:w="14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100%</w:t>
            </w:r>
          </w:p>
        </w:tc>
        <w:tc>
          <w:tcPr>
            <w:tcW w:w="73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7</w:t>
            </w:r>
          </w:p>
        </w:tc>
        <w:tc>
          <w:tcPr>
            <w:tcW w:w="9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5" w:type="dxa"/>
            <w:bottom w:w="0" w:type="dxa"/>
            <w:right w:w="108" w:type="dxa"/>
          </w:tblCellMar>
        </w:tblPrEx>
        <w:trPr>
          <w:trHeight w:val="397" w:hRule="exact"/>
          <w:jc w:val="center"/>
        </w:trPr>
        <w:tc>
          <w:tcPr>
            <w:tcW w:w="613"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绩效指标</w:t>
            </w:r>
          </w:p>
        </w:tc>
        <w:tc>
          <w:tcPr>
            <w:tcW w:w="90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效益</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指标</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（30分）</w:t>
            </w:r>
          </w:p>
        </w:tc>
        <w:tc>
          <w:tcPr>
            <w:tcW w:w="105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经济效益指标</w:t>
            </w:r>
          </w:p>
        </w:tc>
        <w:tc>
          <w:tcPr>
            <w:tcW w:w="2708"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动物疫情发生数</w:t>
            </w:r>
          </w:p>
        </w:tc>
        <w:tc>
          <w:tcPr>
            <w:tcW w:w="15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0</w:t>
            </w:r>
          </w:p>
        </w:tc>
        <w:tc>
          <w:tcPr>
            <w:tcW w:w="14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0</w:t>
            </w:r>
          </w:p>
        </w:tc>
        <w:tc>
          <w:tcPr>
            <w:tcW w:w="73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4</w:t>
            </w:r>
          </w:p>
        </w:tc>
        <w:tc>
          <w:tcPr>
            <w:tcW w:w="9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5" w:type="dxa"/>
            <w:bottom w:w="0" w:type="dxa"/>
            <w:right w:w="108" w:type="dxa"/>
          </w:tblCellMar>
        </w:tblPrEx>
        <w:trPr>
          <w:trHeight w:val="397" w:hRule="exact"/>
          <w:jc w:val="center"/>
        </w:trPr>
        <w:tc>
          <w:tcPr>
            <w:tcW w:w="61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p>
        </w:tc>
        <w:tc>
          <w:tcPr>
            <w:tcW w:w="90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p>
        </w:tc>
        <w:tc>
          <w:tcPr>
            <w:tcW w:w="105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p>
        </w:tc>
        <w:tc>
          <w:tcPr>
            <w:tcW w:w="2708"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生猪出栏量</w:t>
            </w:r>
          </w:p>
        </w:tc>
        <w:tc>
          <w:tcPr>
            <w:tcW w:w="15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较去年有所提高</w:t>
            </w:r>
          </w:p>
        </w:tc>
        <w:tc>
          <w:tcPr>
            <w:tcW w:w="14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有所提高</w:t>
            </w:r>
          </w:p>
        </w:tc>
        <w:tc>
          <w:tcPr>
            <w:tcW w:w="73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5</w:t>
            </w:r>
          </w:p>
        </w:tc>
        <w:tc>
          <w:tcPr>
            <w:tcW w:w="9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5" w:type="dxa"/>
            <w:bottom w:w="0" w:type="dxa"/>
            <w:right w:w="108" w:type="dxa"/>
          </w:tblCellMar>
        </w:tblPrEx>
        <w:trPr>
          <w:trHeight w:val="397" w:hRule="exact"/>
          <w:jc w:val="center"/>
        </w:trPr>
        <w:tc>
          <w:tcPr>
            <w:tcW w:w="61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p>
        </w:tc>
        <w:tc>
          <w:tcPr>
            <w:tcW w:w="90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p>
        </w:tc>
        <w:tc>
          <w:tcPr>
            <w:tcW w:w="105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社会效益指标</w:t>
            </w:r>
          </w:p>
        </w:tc>
        <w:tc>
          <w:tcPr>
            <w:tcW w:w="2708"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保障猪肉供应</w:t>
            </w:r>
          </w:p>
        </w:tc>
        <w:tc>
          <w:tcPr>
            <w:tcW w:w="15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供应平稳</w:t>
            </w:r>
          </w:p>
        </w:tc>
        <w:tc>
          <w:tcPr>
            <w:tcW w:w="14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供应平稳</w:t>
            </w:r>
          </w:p>
        </w:tc>
        <w:tc>
          <w:tcPr>
            <w:tcW w:w="73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5</w:t>
            </w:r>
          </w:p>
        </w:tc>
        <w:tc>
          <w:tcPr>
            <w:tcW w:w="9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5" w:type="dxa"/>
            <w:bottom w:w="0" w:type="dxa"/>
            <w:right w:w="108" w:type="dxa"/>
          </w:tblCellMar>
        </w:tblPrEx>
        <w:trPr>
          <w:trHeight w:val="397" w:hRule="exact"/>
          <w:jc w:val="center"/>
        </w:trPr>
        <w:tc>
          <w:tcPr>
            <w:tcW w:w="61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p>
        </w:tc>
        <w:tc>
          <w:tcPr>
            <w:tcW w:w="90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p>
        </w:tc>
        <w:tc>
          <w:tcPr>
            <w:tcW w:w="105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p>
        </w:tc>
        <w:tc>
          <w:tcPr>
            <w:tcW w:w="2708"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环境生物消杀</w:t>
            </w:r>
          </w:p>
        </w:tc>
        <w:tc>
          <w:tcPr>
            <w:tcW w:w="15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一年两次</w:t>
            </w:r>
          </w:p>
        </w:tc>
        <w:tc>
          <w:tcPr>
            <w:tcW w:w="14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2次</w:t>
            </w:r>
          </w:p>
        </w:tc>
        <w:tc>
          <w:tcPr>
            <w:tcW w:w="73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4</w:t>
            </w:r>
          </w:p>
        </w:tc>
        <w:tc>
          <w:tcPr>
            <w:tcW w:w="9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5" w:type="dxa"/>
            <w:bottom w:w="0" w:type="dxa"/>
            <w:right w:w="108" w:type="dxa"/>
          </w:tblCellMar>
        </w:tblPrEx>
        <w:trPr>
          <w:trHeight w:val="397" w:hRule="exact"/>
          <w:jc w:val="center"/>
        </w:trPr>
        <w:tc>
          <w:tcPr>
            <w:tcW w:w="61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p>
        </w:tc>
        <w:tc>
          <w:tcPr>
            <w:tcW w:w="90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p>
        </w:tc>
        <w:tc>
          <w:tcPr>
            <w:tcW w:w="105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p>
        </w:tc>
        <w:tc>
          <w:tcPr>
            <w:tcW w:w="2708"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长江禁捕退捕平稳有序</w:t>
            </w:r>
          </w:p>
        </w:tc>
        <w:tc>
          <w:tcPr>
            <w:tcW w:w="15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中国渔政没有举报案件</w:t>
            </w:r>
          </w:p>
        </w:tc>
        <w:tc>
          <w:tcPr>
            <w:tcW w:w="14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无举报案件</w:t>
            </w:r>
          </w:p>
        </w:tc>
        <w:tc>
          <w:tcPr>
            <w:tcW w:w="73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4</w:t>
            </w:r>
          </w:p>
        </w:tc>
        <w:tc>
          <w:tcPr>
            <w:tcW w:w="9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5" w:type="dxa"/>
            <w:bottom w:w="0" w:type="dxa"/>
            <w:right w:w="108" w:type="dxa"/>
          </w:tblCellMar>
        </w:tblPrEx>
        <w:trPr>
          <w:trHeight w:val="397" w:hRule="exact"/>
          <w:jc w:val="center"/>
        </w:trPr>
        <w:tc>
          <w:tcPr>
            <w:tcW w:w="61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p>
        </w:tc>
        <w:tc>
          <w:tcPr>
            <w:tcW w:w="90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p>
        </w:tc>
        <w:tc>
          <w:tcPr>
            <w:tcW w:w="105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生态效益指标</w:t>
            </w:r>
          </w:p>
        </w:tc>
        <w:tc>
          <w:tcPr>
            <w:tcW w:w="2708"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养殖环境破坏水土、长江禁捕退捕</w:t>
            </w:r>
          </w:p>
        </w:tc>
        <w:tc>
          <w:tcPr>
            <w:tcW w:w="15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当年没有案件</w:t>
            </w:r>
          </w:p>
        </w:tc>
        <w:tc>
          <w:tcPr>
            <w:tcW w:w="14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无案件</w:t>
            </w:r>
          </w:p>
        </w:tc>
        <w:tc>
          <w:tcPr>
            <w:tcW w:w="73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4</w:t>
            </w:r>
          </w:p>
        </w:tc>
        <w:tc>
          <w:tcPr>
            <w:tcW w:w="9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5" w:type="dxa"/>
            <w:bottom w:w="0" w:type="dxa"/>
            <w:right w:w="108" w:type="dxa"/>
          </w:tblCellMar>
        </w:tblPrEx>
        <w:trPr>
          <w:trHeight w:val="397" w:hRule="exact"/>
          <w:jc w:val="center"/>
        </w:trPr>
        <w:tc>
          <w:tcPr>
            <w:tcW w:w="61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p>
        </w:tc>
        <w:tc>
          <w:tcPr>
            <w:tcW w:w="90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p>
        </w:tc>
        <w:tc>
          <w:tcPr>
            <w:tcW w:w="105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可持续影响指标</w:t>
            </w:r>
          </w:p>
        </w:tc>
        <w:tc>
          <w:tcPr>
            <w:tcW w:w="2708"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养殖业平稳有序发展</w:t>
            </w:r>
          </w:p>
        </w:tc>
        <w:tc>
          <w:tcPr>
            <w:tcW w:w="15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可持续</w:t>
            </w:r>
          </w:p>
        </w:tc>
        <w:tc>
          <w:tcPr>
            <w:tcW w:w="14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可持续</w:t>
            </w:r>
          </w:p>
        </w:tc>
        <w:tc>
          <w:tcPr>
            <w:tcW w:w="73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4</w:t>
            </w:r>
          </w:p>
        </w:tc>
        <w:tc>
          <w:tcPr>
            <w:tcW w:w="9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5" w:type="dxa"/>
            <w:bottom w:w="0" w:type="dxa"/>
            <w:right w:w="108" w:type="dxa"/>
          </w:tblCellMar>
        </w:tblPrEx>
        <w:trPr>
          <w:trHeight w:val="397" w:hRule="exact"/>
          <w:jc w:val="center"/>
        </w:trPr>
        <w:tc>
          <w:tcPr>
            <w:tcW w:w="61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p>
        </w:tc>
        <w:tc>
          <w:tcPr>
            <w:tcW w:w="90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满意度</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指标</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（10分）</w:t>
            </w:r>
          </w:p>
        </w:tc>
        <w:tc>
          <w:tcPr>
            <w:tcW w:w="105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社会公众或服务对象满意度指标</w:t>
            </w:r>
          </w:p>
        </w:tc>
        <w:tc>
          <w:tcPr>
            <w:tcW w:w="2708"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干部职工满意度</w:t>
            </w:r>
          </w:p>
        </w:tc>
        <w:tc>
          <w:tcPr>
            <w:tcW w:w="15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满意度</w:t>
            </w:r>
          </w:p>
        </w:tc>
        <w:tc>
          <w:tcPr>
            <w:tcW w:w="14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满意</w:t>
            </w:r>
          </w:p>
        </w:tc>
        <w:tc>
          <w:tcPr>
            <w:tcW w:w="73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5</w:t>
            </w:r>
          </w:p>
        </w:tc>
        <w:tc>
          <w:tcPr>
            <w:tcW w:w="9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5" w:type="dxa"/>
            <w:bottom w:w="0" w:type="dxa"/>
            <w:right w:w="108" w:type="dxa"/>
          </w:tblCellMar>
        </w:tblPrEx>
        <w:trPr>
          <w:trHeight w:val="559" w:hRule="exact"/>
          <w:jc w:val="center"/>
        </w:trPr>
        <w:tc>
          <w:tcPr>
            <w:tcW w:w="61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p>
        </w:tc>
        <w:tc>
          <w:tcPr>
            <w:tcW w:w="90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p>
        </w:tc>
        <w:tc>
          <w:tcPr>
            <w:tcW w:w="105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p>
        </w:tc>
        <w:tc>
          <w:tcPr>
            <w:tcW w:w="2708"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社会公众或服务对象满意度</w:t>
            </w:r>
          </w:p>
        </w:tc>
        <w:tc>
          <w:tcPr>
            <w:tcW w:w="15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满意度</w:t>
            </w:r>
          </w:p>
        </w:tc>
        <w:tc>
          <w:tcPr>
            <w:tcW w:w="14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满意</w:t>
            </w:r>
          </w:p>
        </w:tc>
        <w:tc>
          <w:tcPr>
            <w:tcW w:w="73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5</w:t>
            </w:r>
          </w:p>
        </w:tc>
        <w:tc>
          <w:tcPr>
            <w:tcW w:w="9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5</w:t>
            </w:r>
          </w:p>
        </w:tc>
      </w:tr>
    </w:tbl>
    <w:p>
      <w:pPr>
        <w:keepNext w:val="0"/>
        <w:keepLines w:val="0"/>
        <w:pageBreakBefore w:val="0"/>
        <w:widowControl/>
        <w:kinsoku/>
        <w:overflowPunct/>
        <w:topLinePunct w:val="0"/>
        <w:autoSpaceDE/>
        <w:autoSpaceDN/>
        <w:bidi w:val="0"/>
        <w:adjustRightInd/>
        <w:snapToGrid/>
        <w:spacing w:line="640" w:lineRule="exact"/>
        <w:ind w:left="0" w:leftChars="0" w:firstLine="0" w:firstLineChars="0"/>
        <w:jc w:val="both"/>
        <w:rPr>
          <w:rFonts w:hint="default" w:ascii="Times New Roman" w:hAnsi="Times New Roman" w:eastAsia="方正小标宋_GBK" w:cs="Times New Roman"/>
          <w:lang w:val="en-US" w:eastAsia="zh-CN"/>
        </w:rPr>
      </w:pPr>
    </w:p>
    <w:p>
      <w:pPr>
        <w:keepNext w:val="0"/>
        <w:keepLines w:val="0"/>
        <w:pageBreakBefore w:val="0"/>
        <w:widowControl/>
        <w:kinsoku/>
        <w:overflowPunct/>
        <w:topLinePunct w:val="0"/>
        <w:autoSpaceDE/>
        <w:autoSpaceDN/>
        <w:bidi w:val="0"/>
        <w:adjustRightInd/>
        <w:snapToGrid/>
        <w:spacing w:line="640" w:lineRule="exact"/>
        <w:ind w:left="0" w:leftChars="0" w:firstLine="0" w:firstLineChars="0"/>
        <w:jc w:val="both"/>
        <w:rPr>
          <w:rFonts w:hint="default" w:ascii="Times New Roman" w:hAnsi="Times New Roman" w:eastAsia="仿宋" w:cs="Times New Roman"/>
          <w:color w:val="000000"/>
          <w:kern w:val="0"/>
          <w:sz w:val="36"/>
          <w:szCs w:val="36"/>
          <w:lang w:val="en-US" w:eastAsia="zh-CN"/>
        </w:rPr>
      </w:pPr>
      <w:r>
        <w:rPr>
          <w:rFonts w:hint="default" w:ascii="Times New Roman" w:hAnsi="Times New Roman" w:eastAsia="仿宋" w:cs="Times New Roman"/>
          <w:lang w:val="en-US" w:eastAsia="zh-CN"/>
        </w:rPr>
        <w:t>附件4-1：</w:t>
      </w:r>
    </w:p>
    <w:p>
      <w:pPr>
        <w:keepNext w:val="0"/>
        <w:keepLines w:val="0"/>
        <w:pageBreakBefore w:val="0"/>
        <w:widowControl/>
        <w:kinsoku/>
        <w:overflowPunct/>
        <w:topLinePunct w:val="0"/>
        <w:autoSpaceDE/>
        <w:autoSpaceDN/>
        <w:bidi w:val="0"/>
        <w:adjustRightInd/>
        <w:snapToGrid/>
        <w:spacing w:line="640" w:lineRule="exact"/>
        <w:ind w:firstLine="1800" w:firstLineChars="500"/>
        <w:jc w:val="both"/>
        <w:rPr>
          <w:rFonts w:hint="eastAsia" w:ascii="Times New Roman Regular" w:hAnsi="Times New Roman Regular" w:eastAsia="方正小标宋_GBK" w:cs="Times New Roman Regular"/>
          <w:color w:val="000000"/>
          <w:kern w:val="0"/>
          <w:sz w:val="36"/>
          <w:szCs w:val="36"/>
          <w:lang w:val="en-US" w:eastAsia="zh-CN"/>
        </w:rPr>
      </w:pPr>
      <w:r>
        <w:rPr>
          <w:rFonts w:hint="eastAsia" w:ascii="Times New Roman Regular" w:hAnsi="Times New Roman Regular" w:eastAsia="方正小标宋_GBK" w:cs="Times New Roman Regular"/>
          <w:color w:val="000000"/>
          <w:kern w:val="0"/>
          <w:sz w:val="36"/>
          <w:szCs w:val="36"/>
          <w:lang w:val="en-US" w:eastAsia="zh-CN"/>
        </w:rPr>
        <w:t>2022</w:t>
      </w:r>
      <w:r>
        <w:rPr>
          <w:rFonts w:hint="default" w:ascii="Times New Roman Regular" w:hAnsi="Times New Roman Regular" w:eastAsia="方正小标宋_GBK" w:cs="Times New Roman Regular"/>
          <w:color w:val="000000"/>
          <w:kern w:val="0"/>
          <w:sz w:val="36"/>
          <w:szCs w:val="36"/>
          <w:lang w:val="en-US" w:eastAsia="zh-CN"/>
        </w:rPr>
        <w:t>年度项目支出绩效自评表</w:t>
      </w:r>
    </w:p>
    <w:tbl>
      <w:tblPr>
        <w:tblStyle w:val="19"/>
        <w:tblW w:w="9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78"/>
        <w:gridCol w:w="1078"/>
        <w:gridCol w:w="1079"/>
        <w:gridCol w:w="1222"/>
        <w:gridCol w:w="1133"/>
        <w:gridCol w:w="1132"/>
        <w:gridCol w:w="827"/>
        <w:gridCol w:w="872"/>
        <w:gridCol w:w="14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项目支</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出名称</w:t>
            </w:r>
          </w:p>
        </w:tc>
        <w:tc>
          <w:tcPr>
            <w:tcW w:w="8761" w:type="dxa"/>
            <w:gridSpan w:val="8"/>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养殖场资源化利用的奖补资金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主管部门</w:t>
            </w:r>
          </w:p>
        </w:tc>
        <w:tc>
          <w:tcPr>
            <w:tcW w:w="4512"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北塔区畜牧水产事务中心</w:t>
            </w:r>
          </w:p>
        </w:tc>
        <w:tc>
          <w:tcPr>
            <w:tcW w:w="113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实施单位</w:t>
            </w:r>
          </w:p>
        </w:tc>
        <w:tc>
          <w:tcPr>
            <w:tcW w:w="3117"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华达养殖场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78"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项目资金</w:t>
            </w:r>
            <w:r>
              <w:rPr>
                <w:rFonts w:hint="default" w:ascii="Times New Roman" w:hAnsi="Times New Roman" w:eastAsia="宋体" w:cs="Times New Roman"/>
                <w:sz w:val="21"/>
                <w:szCs w:val="21"/>
                <w:lang w:val="en-US" w:eastAsia="zh-CN"/>
              </w:rPr>
              <w:br w:type="textWrapping"/>
            </w:r>
            <w:r>
              <w:rPr>
                <w:rFonts w:hint="default" w:ascii="Times New Roman" w:hAnsi="Times New Roman" w:eastAsia="宋体" w:cs="Times New Roman"/>
                <w:sz w:val="21"/>
                <w:szCs w:val="21"/>
                <w:lang w:val="en-US" w:eastAsia="zh-CN"/>
              </w:rPr>
              <w:t>（万元）</w:t>
            </w:r>
          </w:p>
        </w:tc>
        <w:tc>
          <w:tcPr>
            <w:tcW w:w="2157"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122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年初</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预算数</w:t>
            </w:r>
          </w:p>
        </w:tc>
        <w:tc>
          <w:tcPr>
            <w:tcW w:w="113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全年</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预算数</w:t>
            </w:r>
          </w:p>
        </w:tc>
        <w:tc>
          <w:tcPr>
            <w:tcW w:w="113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全年</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执行数</w:t>
            </w:r>
          </w:p>
        </w:tc>
        <w:tc>
          <w:tcPr>
            <w:tcW w:w="82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分值</w:t>
            </w:r>
          </w:p>
        </w:tc>
        <w:tc>
          <w:tcPr>
            <w:tcW w:w="87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执行率</w:t>
            </w: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7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2157"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年度资金总额</w:t>
            </w:r>
          </w:p>
        </w:tc>
        <w:tc>
          <w:tcPr>
            <w:tcW w:w="122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20万</w:t>
            </w:r>
          </w:p>
        </w:tc>
        <w:tc>
          <w:tcPr>
            <w:tcW w:w="113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20万</w:t>
            </w:r>
          </w:p>
        </w:tc>
        <w:tc>
          <w:tcPr>
            <w:tcW w:w="113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82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10</w:t>
            </w:r>
          </w:p>
        </w:tc>
        <w:tc>
          <w:tcPr>
            <w:tcW w:w="87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100%</w:t>
            </w: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07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2157"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其中：当年财政拨款</w:t>
            </w:r>
          </w:p>
        </w:tc>
        <w:tc>
          <w:tcPr>
            <w:tcW w:w="122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113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113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82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87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07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2157"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上年结转资金</w:t>
            </w:r>
          </w:p>
        </w:tc>
        <w:tc>
          <w:tcPr>
            <w:tcW w:w="122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113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113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82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87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07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2157"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其他资金</w:t>
            </w:r>
          </w:p>
        </w:tc>
        <w:tc>
          <w:tcPr>
            <w:tcW w:w="122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113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113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82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87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78"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年度总体目标</w:t>
            </w:r>
          </w:p>
        </w:tc>
        <w:tc>
          <w:tcPr>
            <w:tcW w:w="4512"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预期目标</w:t>
            </w:r>
          </w:p>
        </w:tc>
        <w:tc>
          <w:tcPr>
            <w:tcW w:w="4249"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7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4512"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养殖场粪污系统升级</w:t>
            </w:r>
          </w:p>
        </w:tc>
        <w:tc>
          <w:tcPr>
            <w:tcW w:w="4249"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完成升级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78"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绩</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效</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指</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标</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10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一级指标</w:t>
            </w:r>
          </w:p>
        </w:tc>
        <w:tc>
          <w:tcPr>
            <w:tcW w:w="107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二级指标</w:t>
            </w:r>
          </w:p>
        </w:tc>
        <w:tc>
          <w:tcPr>
            <w:tcW w:w="122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三级指标</w:t>
            </w:r>
          </w:p>
        </w:tc>
        <w:tc>
          <w:tcPr>
            <w:tcW w:w="113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年度</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指标值</w:t>
            </w:r>
          </w:p>
        </w:tc>
        <w:tc>
          <w:tcPr>
            <w:tcW w:w="113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实际</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完成值</w:t>
            </w:r>
          </w:p>
        </w:tc>
        <w:tc>
          <w:tcPr>
            <w:tcW w:w="82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分值</w:t>
            </w:r>
          </w:p>
        </w:tc>
        <w:tc>
          <w:tcPr>
            <w:tcW w:w="87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得分</w:t>
            </w: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偏差原因</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分析及</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7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1078"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产出指标</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(50分)</w:t>
            </w:r>
          </w:p>
        </w:tc>
        <w:tc>
          <w:tcPr>
            <w:tcW w:w="107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数量指标</w:t>
            </w:r>
          </w:p>
        </w:tc>
        <w:tc>
          <w:tcPr>
            <w:tcW w:w="122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资源化利用升级</w:t>
            </w:r>
          </w:p>
        </w:tc>
        <w:tc>
          <w:tcPr>
            <w:tcW w:w="113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100%</w:t>
            </w:r>
          </w:p>
        </w:tc>
        <w:tc>
          <w:tcPr>
            <w:tcW w:w="113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100%</w:t>
            </w:r>
          </w:p>
        </w:tc>
        <w:tc>
          <w:tcPr>
            <w:tcW w:w="82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10</w:t>
            </w:r>
          </w:p>
        </w:tc>
        <w:tc>
          <w:tcPr>
            <w:tcW w:w="87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7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107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107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质量指标</w:t>
            </w:r>
          </w:p>
        </w:tc>
        <w:tc>
          <w:tcPr>
            <w:tcW w:w="122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优化设备</w:t>
            </w:r>
          </w:p>
        </w:tc>
        <w:tc>
          <w:tcPr>
            <w:tcW w:w="113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有所改善</w:t>
            </w:r>
          </w:p>
        </w:tc>
        <w:tc>
          <w:tcPr>
            <w:tcW w:w="113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有所改善</w:t>
            </w:r>
          </w:p>
        </w:tc>
        <w:tc>
          <w:tcPr>
            <w:tcW w:w="82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15</w:t>
            </w:r>
          </w:p>
        </w:tc>
        <w:tc>
          <w:tcPr>
            <w:tcW w:w="87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7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107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107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时效指标</w:t>
            </w:r>
          </w:p>
        </w:tc>
        <w:tc>
          <w:tcPr>
            <w:tcW w:w="122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按期完工</w:t>
            </w:r>
          </w:p>
        </w:tc>
        <w:tc>
          <w:tcPr>
            <w:tcW w:w="113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按期完工</w:t>
            </w:r>
          </w:p>
        </w:tc>
        <w:tc>
          <w:tcPr>
            <w:tcW w:w="113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按期完工</w:t>
            </w:r>
          </w:p>
        </w:tc>
        <w:tc>
          <w:tcPr>
            <w:tcW w:w="82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15</w:t>
            </w:r>
          </w:p>
        </w:tc>
        <w:tc>
          <w:tcPr>
            <w:tcW w:w="87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7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107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107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成本指标</w:t>
            </w:r>
          </w:p>
        </w:tc>
        <w:tc>
          <w:tcPr>
            <w:tcW w:w="122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控制费用</w:t>
            </w:r>
          </w:p>
        </w:tc>
        <w:tc>
          <w:tcPr>
            <w:tcW w:w="113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不超总额</w:t>
            </w:r>
          </w:p>
        </w:tc>
        <w:tc>
          <w:tcPr>
            <w:tcW w:w="113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不超总额</w:t>
            </w:r>
          </w:p>
        </w:tc>
        <w:tc>
          <w:tcPr>
            <w:tcW w:w="82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10</w:t>
            </w:r>
          </w:p>
        </w:tc>
        <w:tc>
          <w:tcPr>
            <w:tcW w:w="87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7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1078"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效益指标</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（30分）</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107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经济效</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益指标</w:t>
            </w:r>
          </w:p>
        </w:tc>
        <w:tc>
          <w:tcPr>
            <w:tcW w:w="122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提高粪污处理</w:t>
            </w:r>
          </w:p>
        </w:tc>
        <w:tc>
          <w:tcPr>
            <w:tcW w:w="113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有所提升</w:t>
            </w:r>
          </w:p>
        </w:tc>
        <w:tc>
          <w:tcPr>
            <w:tcW w:w="113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有所提升</w:t>
            </w:r>
          </w:p>
        </w:tc>
        <w:tc>
          <w:tcPr>
            <w:tcW w:w="82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8</w:t>
            </w:r>
          </w:p>
        </w:tc>
        <w:tc>
          <w:tcPr>
            <w:tcW w:w="87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7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107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107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社会效</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益指标</w:t>
            </w:r>
          </w:p>
        </w:tc>
        <w:tc>
          <w:tcPr>
            <w:tcW w:w="122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保护周边环境</w:t>
            </w:r>
          </w:p>
        </w:tc>
        <w:tc>
          <w:tcPr>
            <w:tcW w:w="113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保护环境</w:t>
            </w:r>
          </w:p>
        </w:tc>
        <w:tc>
          <w:tcPr>
            <w:tcW w:w="113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保护环境</w:t>
            </w:r>
          </w:p>
        </w:tc>
        <w:tc>
          <w:tcPr>
            <w:tcW w:w="82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8</w:t>
            </w:r>
          </w:p>
        </w:tc>
        <w:tc>
          <w:tcPr>
            <w:tcW w:w="87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7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107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107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生态效</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益指标</w:t>
            </w:r>
          </w:p>
        </w:tc>
        <w:tc>
          <w:tcPr>
            <w:tcW w:w="122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保护生态环境</w:t>
            </w:r>
          </w:p>
        </w:tc>
        <w:tc>
          <w:tcPr>
            <w:tcW w:w="113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不破坏环境</w:t>
            </w:r>
          </w:p>
        </w:tc>
        <w:tc>
          <w:tcPr>
            <w:tcW w:w="113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不破坏环境</w:t>
            </w:r>
          </w:p>
        </w:tc>
        <w:tc>
          <w:tcPr>
            <w:tcW w:w="82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7</w:t>
            </w:r>
          </w:p>
        </w:tc>
        <w:tc>
          <w:tcPr>
            <w:tcW w:w="87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7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107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107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可持续影响指标</w:t>
            </w:r>
          </w:p>
        </w:tc>
        <w:tc>
          <w:tcPr>
            <w:tcW w:w="122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持续使用</w:t>
            </w:r>
          </w:p>
        </w:tc>
        <w:tc>
          <w:tcPr>
            <w:tcW w:w="113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是否可持续</w:t>
            </w:r>
          </w:p>
        </w:tc>
        <w:tc>
          <w:tcPr>
            <w:tcW w:w="113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是否可持续</w:t>
            </w:r>
          </w:p>
        </w:tc>
        <w:tc>
          <w:tcPr>
            <w:tcW w:w="82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7</w:t>
            </w:r>
          </w:p>
        </w:tc>
        <w:tc>
          <w:tcPr>
            <w:tcW w:w="87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07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10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满意度指标（10分）</w:t>
            </w:r>
          </w:p>
        </w:tc>
        <w:tc>
          <w:tcPr>
            <w:tcW w:w="107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服务对象满意度指标</w:t>
            </w:r>
          </w:p>
        </w:tc>
        <w:tc>
          <w:tcPr>
            <w:tcW w:w="122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满意评价</w:t>
            </w:r>
          </w:p>
        </w:tc>
        <w:tc>
          <w:tcPr>
            <w:tcW w:w="113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满意</w:t>
            </w:r>
          </w:p>
        </w:tc>
        <w:tc>
          <w:tcPr>
            <w:tcW w:w="113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满意</w:t>
            </w:r>
          </w:p>
        </w:tc>
        <w:tc>
          <w:tcPr>
            <w:tcW w:w="82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10</w:t>
            </w:r>
          </w:p>
        </w:tc>
        <w:tc>
          <w:tcPr>
            <w:tcW w:w="87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722" w:type="dxa"/>
            <w:gridSpan w:val="6"/>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总分</w:t>
            </w:r>
          </w:p>
        </w:tc>
        <w:tc>
          <w:tcPr>
            <w:tcW w:w="82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100</w:t>
            </w:r>
          </w:p>
        </w:tc>
        <w:tc>
          <w:tcPr>
            <w:tcW w:w="87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r>
    </w:tbl>
    <w:p>
      <w:pPr>
        <w:keepNext w:val="0"/>
        <w:keepLines w:val="0"/>
        <w:pageBreakBefore w:val="0"/>
        <w:widowControl/>
        <w:kinsoku/>
        <w:overflowPunct/>
        <w:topLinePunct w:val="0"/>
        <w:autoSpaceDE/>
        <w:autoSpaceDN/>
        <w:bidi w:val="0"/>
        <w:adjustRightInd/>
        <w:snapToGrid/>
        <w:spacing w:line="640" w:lineRule="exact"/>
        <w:jc w:val="center"/>
        <w:rPr>
          <w:rFonts w:hint="eastAsia" w:ascii="Times New Roman Regular" w:hAnsi="Times New Roman Regular" w:eastAsia="方正小标宋_GBK" w:cs="Times New Roman Regular"/>
          <w:color w:val="000000"/>
          <w:kern w:val="0"/>
          <w:sz w:val="36"/>
          <w:szCs w:val="36"/>
          <w:lang w:val="en-US" w:eastAsia="zh-CN"/>
        </w:rPr>
      </w:pPr>
    </w:p>
    <w:p>
      <w:pPr>
        <w:keepNext w:val="0"/>
        <w:keepLines w:val="0"/>
        <w:pageBreakBefore w:val="0"/>
        <w:widowControl/>
        <w:kinsoku/>
        <w:overflowPunct/>
        <w:topLinePunct w:val="0"/>
        <w:autoSpaceDE/>
        <w:autoSpaceDN/>
        <w:bidi w:val="0"/>
        <w:adjustRightInd/>
        <w:snapToGrid/>
        <w:spacing w:line="640" w:lineRule="exact"/>
        <w:ind w:left="0" w:leftChars="0" w:firstLine="0" w:firstLineChars="0"/>
        <w:jc w:val="both"/>
        <w:rPr>
          <w:rFonts w:hint="default" w:ascii="Times New Roman" w:hAnsi="Times New Roman" w:eastAsia="仿宋" w:cs="Times New Roman"/>
          <w:color w:val="000000"/>
          <w:kern w:val="0"/>
          <w:sz w:val="36"/>
          <w:szCs w:val="36"/>
          <w:lang w:val="en-US" w:eastAsia="zh-CN"/>
        </w:rPr>
      </w:pPr>
      <w:r>
        <w:rPr>
          <w:rFonts w:hint="default" w:ascii="Times New Roman" w:hAnsi="Times New Roman" w:eastAsia="仿宋" w:cs="Times New Roman"/>
          <w:lang w:val="en-US" w:eastAsia="zh-CN"/>
        </w:rPr>
        <w:t>附件4-2：</w:t>
      </w:r>
    </w:p>
    <w:p>
      <w:pPr>
        <w:keepNext w:val="0"/>
        <w:keepLines w:val="0"/>
        <w:pageBreakBefore w:val="0"/>
        <w:widowControl/>
        <w:kinsoku/>
        <w:overflowPunct/>
        <w:topLinePunct w:val="0"/>
        <w:autoSpaceDE/>
        <w:autoSpaceDN/>
        <w:bidi w:val="0"/>
        <w:adjustRightInd/>
        <w:snapToGrid/>
        <w:spacing w:line="640" w:lineRule="exact"/>
        <w:ind w:firstLine="1800" w:firstLineChars="500"/>
        <w:jc w:val="both"/>
        <w:rPr>
          <w:rFonts w:hint="eastAsia" w:ascii="Times New Roman Regular" w:hAnsi="Times New Roman Regular" w:eastAsia="方正小标宋_GBK" w:cs="Times New Roman Regular"/>
          <w:highlight w:val="yellow"/>
          <w:lang w:eastAsia="zh-CN"/>
        </w:rPr>
      </w:pPr>
      <w:r>
        <w:rPr>
          <w:rFonts w:hint="eastAsia" w:ascii="Times New Roman Regular" w:hAnsi="Times New Roman Regular" w:eastAsia="方正小标宋_GBK" w:cs="Times New Roman Regular"/>
          <w:color w:val="000000"/>
          <w:kern w:val="0"/>
          <w:sz w:val="36"/>
          <w:szCs w:val="36"/>
          <w:lang w:val="en-US" w:eastAsia="zh-CN"/>
        </w:rPr>
        <w:t>2022</w:t>
      </w:r>
      <w:r>
        <w:rPr>
          <w:rFonts w:hint="default" w:ascii="Times New Roman Regular" w:hAnsi="Times New Roman Regular" w:eastAsia="方正小标宋_GBK" w:cs="Times New Roman Regular"/>
          <w:color w:val="000000"/>
          <w:kern w:val="0"/>
          <w:sz w:val="36"/>
          <w:szCs w:val="36"/>
        </w:rPr>
        <w:t>年度项目支出绩效自评表</w:t>
      </w:r>
    </w:p>
    <w:tbl>
      <w:tblPr>
        <w:tblStyle w:val="19"/>
        <w:tblW w:w="9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78"/>
        <w:gridCol w:w="1078"/>
        <w:gridCol w:w="1079"/>
        <w:gridCol w:w="1222"/>
        <w:gridCol w:w="1133"/>
        <w:gridCol w:w="1132"/>
        <w:gridCol w:w="827"/>
        <w:gridCol w:w="872"/>
        <w:gridCol w:w="14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项目支</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出名称</w:t>
            </w:r>
          </w:p>
        </w:tc>
        <w:tc>
          <w:tcPr>
            <w:tcW w:w="8761" w:type="dxa"/>
            <w:gridSpan w:val="8"/>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养殖环节无害化处理经费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主管部门</w:t>
            </w:r>
          </w:p>
        </w:tc>
        <w:tc>
          <w:tcPr>
            <w:tcW w:w="4512"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北塔区畜牧水产事务中心</w:t>
            </w:r>
          </w:p>
        </w:tc>
        <w:tc>
          <w:tcPr>
            <w:tcW w:w="113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实施单位</w:t>
            </w:r>
          </w:p>
        </w:tc>
        <w:tc>
          <w:tcPr>
            <w:tcW w:w="3117"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邵阳市百奥迈斯生物科技有限公司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78"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项目资金</w:t>
            </w:r>
            <w:r>
              <w:rPr>
                <w:rFonts w:hint="default" w:ascii="Times New Roman" w:hAnsi="Times New Roman" w:eastAsia="宋体" w:cs="Times New Roman"/>
                <w:sz w:val="18"/>
                <w:szCs w:val="18"/>
                <w:lang w:val="en-US" w:eastAsia="zh-CN"/>
              </w:rPr>
              <w:br w:type="textWrapping"/>
            </w:r>
            <w:r>
              <w:rPr>
                <w:rFonts w:hint="default" w:ascii="Times New Roman" w:hAnsi="Times New Roman" w:eastAsia="宋体" w:cs="Times New Roman"/>
                <w:sz w:val="18"/>
                <w:szCs w:val="18"/>
                <w:lang w:val="en-US" w:eastAsia="zh-CN"/>
              </w:rPr>
              <w:t>（万元）</w:t>
            </w:r>
          </w:p>
        </w:tc>
        <w:tc>
          <w:tcPr>
            <w:tcW w:w="2157"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p>
        </w:tc>
        <w:tc>
          <w:tcPr>
            <w:tcW w:w="122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年初</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预算数</w:t>
            </w:r>
          </w:p>
        </w:tc>
        <w:tc>
          <w:tcPr>
            <w:tcW w:w="113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全年</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预算数</w:t>
            </w:r>
          </w:p>
        </w:tc>
        <w:tc>
          <w:tcPr>
            <w:tcW w:w="113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全年</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执行数</w:t>
            </w:r>
          </w:p>
        </w:tc>
        <w:tc>
          <w:tcPr>
            <w:tcW w:w="82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分值</w:t>
            </w:r>
          </w:p>
        </w:tc>
        <w:tc>
          <w:tcPr>
            <w:tcW w:w="87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执行率</w:t>
            </w: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7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p>
        </w:tc>
        <w:tc>
          <w:tcPr>
            <w:tcW w:w="2157"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年度资金总额</w:t>
            </w:r>
          </w:p>
        </w:tc>
        <w:tc>
          <w:tcPr>
            <w:tcW w:w="122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26万</w:t>
            </w:r>
          </w:p>
        </w:tc>
        <w:tc>
          <w:tcPr>
            <w:tcW w:w="113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26万</w:t>
            </w:r>
          </w:p>
        </w:tc>
        <w:tc>
          <w:tcPr>
            <w:tcW w:w="113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26万</w:t>
            </w:r>
          </w:p>
        </w:tc>
        <w:tc>
          <w:tcPr>
            <w:tcW w:w="82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10</w:t>
            </w:r>
          </w:p>
        </w:tc>
        <w:tc>
          <w:tcPr>
            <w:tcW w:w="87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100%</w:t>
            </w: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07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p>
        </w:tc>
        <w:tc>
          <w:tcPr>
            <w:tcW w:w="2157"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其中：当年财政拨款</w:t>
            </w:r>
          </w:p>
        </w:tc>
        <w:tc>
          <w:tcPr>
            <w:tcW w:w="122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p>
        </w:tc>
        <w:tc>
          <w:tcPr>
            <w:tcW w:w="113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p>
        </w:tc>
        <w:tc>
          <w:tcPr>
            <w:tcW w:w="113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p>
        </w:tc>
        <w:tc>
          <w:tcPr>
            <w:tcW w:w="82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p>
        </w:tc>
        <w:tc>
          <w:tcPr>
            <w:tcW w:w="87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07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p>
        </w:tc>
        <w:tc>
          <w:tcPr>
            <w:tcW w:w="2157"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上年结转资金</w:t>
            </w:r>
          </w:p>
        </w:tc>
        <w:tc>
          <w:tcPr>
            <w:tcW w:w="122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p>
        </w:tc>
        <w:tc>
          <w:tcPr>
            <w:tcW w:w="113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p>
        </w:tc>
        <w:tc>
          <w:tcPr>
            <w:tcW w:w="113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p>
        </w:tc>
        <w:tc>
          <w:tcPr>
            <w:tcW w:w="82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p>
        </w:tc>
        <w:tc>
          <w:tcPr>
            <w:tcW w:w="87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07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p>
        </w:tc>
        <w:tc>
          <w:tcPr>
            <w:tcW w:w="2157"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其他资金</w:t>
            </w:r>
          </w:p>
        </w:tc>
        <w:tc>
          <w:tcPr>
            <w:tcW w:w="122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p>
        </w:tc>
        <w:tc>
          <w:tcPr>
            <w:tcW w:w="113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p>
        </w:tc>
        <w:tc>
          <w:tcPr>
            <w:tcW w:w="113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p>
        </w:tc>
        <w:tc>
          <w:tcPr>
            <w:tcW w:w="82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p>
        </w:tc>
        <w:tc>
          <w:tcPr>
            <w:tcW w:w="87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78"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年度总体目标</w:t>
            </w:r>
          </w:p>
        </w:tc>
        <w:tc>
          <w:tcPr>
            <w:tcW w:w="4512"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预期目标</w:t>
            </w:r>
          </w:p>
        </w:tc>
        <w:tc>
          <w:tcPr>
            <w:tcW w:w="4249"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7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p>
        </w:tc>
        <w:tc>
          <w:tcPr>
            <w:tcW w:w="4512"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处理辖区内病死动物</w:t>
            </w:r>
          </w:p>
        </w:tc>
        <w:tc>
          <w:tcPr>
            <w:tcW w:w="4249"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处理辖区内病死动物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78"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绩</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效</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指</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标</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p>
        </w:tc>
        <w:tc>
          <w:tcPr>
            <w:tcW w:w="10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一级指标</w:t>
            </w:r>
          </w:p>
        </w:tc>
        <w:tc>
          <w:tcPr>
            <w:tcW w:w="107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二级指标</w:t>
            </w:r>
          </w:p>
        </w:tc>
        <w:tc>
          <w:tcPr>
            <w:tcW w:w="122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三级指标</w:t>
            </w:r>
          </w:p>
        </w:tc>
        <w:tc>
          <w:tcPr>
            <w:tcW w:w="113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年度</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指标值</w:t>
            </w:r>
          </w:p>
        </w:tc>
        <w:tc>
          <w:tcPr>
            <w:tcW w:w="113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实际</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完成值</w:t>
            </w:r>
          </w:p>
        </w:tc>
        <w:tc>
          <w:tcPr>
            <w:tcW w:w="82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分值</w:t>
            </w:r>
          </w:p>
        </w:tc>
        <w:tc>
          <w:tcPr>
            <w:tcW w:w="87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得分</w:t>
            </w: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偏差原因</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分析及</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7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p>
        </w:tc>
        <w:tc>
          <w:tcPr>
            <w:tcW w:w="1078"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产出指标</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(50分)</w:t>
            </w:r>
          </w:p>
        </w:tc>
        <w:tc>
          <w:tcPr>
            <w:tcW w:w="107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数量指标</w:t>
            </w:r>
          </w:p>
        </w:tc>
        <w:tc>
          <w:tcPr>
            <w:tcW w:w="122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及时收集病死畜禽</w:t>
            </w:r>
          </w:p>
        </w:tc>
        <w:tc>
          <w:tcPr>
            <w:tcW w:w="113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100%</w:t>
            </w:r>
          </w:p>
        </w:tc>
        <w:tc>
          <w:tcPr>
            <w:tcW w:w="113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100%</w:t>
            </w:r>
          </w:p>
        </w:tc>
        <w:tc>
          <w:tcPr>
            <w:tcW w:w="82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10</w:t>
            </w:r>
          </w:p>
        </w:tc>
        <w:tc>
          <w:tcPr>
            <w:tcW w:w="87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7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p>
        </w:tc>
        <w:tc>
          <w:tcPr>
            <w:tcW w:w="107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p>
        </w:tc>
        <w:tc>
          <w:tcPr>
            <w:tcW w:w="107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质量指标</w:t>
            </w:r>
          </w:p>
        </w:tc>
        <w:tc>
          <w:tcPr>
            <w:tcW w:w="122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妥善处理</w:t>
            </w:r>
          </w:p>
        </w:tc>
        <w:tc>
          <w:tcPr>
            <w:tcW w:w="113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妥善处理</w:t>
            </w:r>
          </w:p>
        </w:tc>
        <w:tc>
          <w:tcPr>
            <w:tcW w:w="113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妥善处理</w:t>
            </w:r>
          </w:p>
        </w:tc>
        <w:tc>
          <w:tcPr>
            <w:tcW w:w="82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15</w:t>
            </w:r>
          </w:p>
        </w:tc>
        <w:tc>
          <w:tcPr>
            <w:tcW w:w="87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7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p>
        </w:tc>
        <w:tc>
          <w:tcPr>
            <w:tcW w:w="107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p>
        </w:tc>
        <w:tc>
          <w:tcPr>
            <w:tcW w:w="107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时效指标</w:t>
            </w:r>
          </w:p>
        </w:tc>
        <w:tc>
          <w:tcPr>
            <w:tcW w:w="122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及时收集</w:t>
            </w:r>
          </w:p>
        </w:tc>
        <w:tc>
          <w:tcPr>
            <w:tcW w:w="113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及时性</w:t>
            </w:r>
          </w:p>
        </w:tc>
        <w:tc>
          <w:tcPr>
            <w:tcW w:w="113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按及时性</w:t>
            </w:r>
          </w:p>
        </w:tc>
        <w:tc>
          <w:tcPr>
            <w:tcW w:w="82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15</w:t>
            </w:r>
          </w:p>
        </w:tc>
        <w:tc>
          <w:tcPr>
            <w:tcW w:w="87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7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p>
        </w:tc>
        <w:tc>
          <w:tcPr>
            <w:tcW w:w="107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p>
        </w:tc>
        <w:tc>
          <w:tcPr>
            <w:tcW w:w="107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成本指标</w:t>
            </w:r>
          </w:p>
        </w:tc>
        <w:tc>
          <w:tcPr>
            <w:tcW w:w="122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控制费用</w:t>
            </w:r>
          </w:p>
        </w:tc>
        <w:tc>
          <w:tcPr>
            <w:tcW w:w="113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不超总额</w:t>
            </w:r>
          </w:p>
        </w:tc>
        <w:tc>
          <w:tcPr>
            <w:tcW w:w="113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不超总额</w:t>
            </w:r>
          </w:p>
        </w:tc>
        <w:tc>
          <w:tcPr>
            <w:tcW w:w="82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10</w:t>
            </w:r>
          </w:p>
        </w:tc>
        <w:tc>
          <w:tcPr>
            <w:tcW w:w="87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7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p>
        </w:tc>
        <w:tc>
          <w:tcPr>
            <w:tcW w:w="1078"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效益指标</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（30分）</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p>
        </w:tc>
        <w:tc>
          <w:tcPr>
            <w:tcW w:w="107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经济效</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益指标</w:t>
            </w:r>
          </w:p>
        </w:tc>
        <w:tc>
          <w:tcPr>
            <w:tcW w:w="122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不导致大疫情</w:t>
            </w:r>
          </w:p>
        </w:tc>
        <w:tc>
          <w:tcPr>
            <w:tcW w:w="113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没发生疫情</w:t>
            </w:r>
          </w:p>
        </w:tc>
        <w:tc>
          <w:tcPr>
            <w:tcW w:w="113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没发生疫情</w:t>
            </w:r>
          </w:p>
        </w:tc>
        <w:tc>
          <w:tcPr>
            <w:tcW w:w="82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8</w:t>
            </w:r>
          </w:p>
        </w:tc>
        <w:tc>
          <w:tcPr>
            <w:tcW w:w="87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7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p>
        </w:tc>
        <w:tc>
          <w:tcPr>
            <w:tcW w:w="107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p>
        </w:tc>
        <w:tc>
          <w:tcPr>
            <w:tcW w:w="107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社会效</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益指标</w:t>
            </w:r>
          </w:p>
        </w:tc>
        <w:tc>
          <w:tcPr>
            <w:tcW w:w="122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不影响居民生活</w:t>
            </w:r>
          </w:p>
        </w:tc>
        <w:tc>
          <w:tcPr>
            <w:tcW w:w="113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改善居民生活环境</w:t>
            </w:r>
          </w:p>
        </w:tc>
        <w:tc>
          <w:tcPr>
            <w:tcW w:w="113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改善居民生活环境</w:t>
            </w:r>
          </w:p>
        </w:tc>
        <w:tc>
          <w:tcPr>
            <w:tcW w:w="82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8</w:t>
            </w:r>
          </w:p>
        </w:tc>
        <w:tc>
          <w:tcPr>
            <w:tcW w:w="87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7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p>
        </w:tc>
        <w:tc>
          <w:tcPr>
            <w:tcW w:w="107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p>
        </w:tc>
        <w:tc>
          <w:tcPr>
            <w:tcW w:w="107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生态效</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益指标</w:t>
            </w:r>
          </w:p>
        </w:tc>
        <w:tc>
          <w:tcPr>
            <w:tcW w:w="122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保护生态环境</w:t>
            </w:r>
          </w:p>
        </w:tc>
        <w:tc>
          <w:tcPr>
            <w:tcW w:w="113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不破坏环境</w:t>
            </w:r>
          </w:p>
        </w:tc>
        <w:tc>
          <w:tcPr>
            <w:tcW w:w="113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不破坏环境</w:t>
            </w:r>
          </w:p>
        </w:tc>
        <w:tc>
          <w:tcPr>
            <w:tcW w:w="82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7</w:t>
            </w:r>
          </w:p>
        </w:tc>
        <w:tc>
          <w:tcPr>
            <w:tcW w:w="87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7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p>
        </w:tc>
        <w:tc>
          <w:tcPr>
            <w:tcW w:w="107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18"/>
                <w:szCs w:val="18"/>
                <w:lang w:val="en-US" w:eastAsia="zh-CN"/>
              </w:rPr>
            </w:pPr>
          </w:p>
        </w:tc>
        <w:tc>
          <w:tcPr>
            <w:tcW w:w="107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可持续影响指标</w:t>
            </w:r>
          </w:p>
        </w:tc>
        <w:tc>
          <w:tcPr>
            <w:tcW w:w="122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持续使用</w:t>
            </w:r>
          </w:p>
        </w:tc>
        <w:tc>
          <w:tcPr>
            <w:tcW w:w="113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是否可持续</w:t>
            </w:r>
          </w:p>
        </w:tc>
        <w:tc>
          <w:tcPr>
            <w:tcW w:w="113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是否可持续</w:t>
            </w:r>
          </w:p>
        </w:tc>
        <w:tc>
          <w:tcPr>
            <w:tcW w:w="82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7</w:t>
            </w:r>
          </w:p>
        </w:tc>
        <w:tc>
          <w:tcPr>
            <w:tcW w:w="87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exact"/>
          <w:jc w:val="center"/>
        </w:trPr>
        <w:tc>
          <w:tcPr>
            <w:tcW w:w="107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p>
        </w:tc>
        <w:tc>
          <w:tcPr>
            <w:tcW w:w="10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满意度</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指标</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（10分）</w:t>
            </w:r>
          </w:p>
        </w:tc>
        <w:tc>
          <w:tcPr>
            <w:tcW w:w="107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服务对象满意度指标</w:t>
            </w:r>
          </w:p>
        </w:tc>
        <w:tc>
          <w:tcPr>
            <w:tcW w:w="122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满意评价</w:t>
            </w:r>
          </w:p>
        </w:tc>
        <w:tc>
          <w:tcPr>
            <w:tcW w:w="113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满意</w:t>
            </w:r>
          </w:p>
        </w:tc>
        <w:tc>
          <w:tcPr>
            <w:tcW w:w="113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满意</w:t>
            </w:r>
          </w:p>
        </w:tc>
        <w:tc>
          <w:tcPr>
            <w:tcW w:w="82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10</w:t>
            </w:r>
          </w:p>
        </w:tc>
        <w:tc>
          <w:tcPr>
            <w:tcW w:w="87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722" w:type="dxa"/>
            <w:gridSpan w:val="6"/>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总分</w:t>
            </w:r>
          </w:p>
        </w:tc>
        <w:tc>
          <w:tcPr>
            <w:tcW w:w="82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100</w:t>
            </w:r>
          </w:p>
        </w:tc>
        <w:tc>
          <w:tcPr>
            <w:tcW w:w="87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18"/>
                <w:szCs w:val="18"/>
                <w:lang w:val="en-US" w:eastAsia="zh-CN"/>
              </w:rPr>
            </w:pPr>
          </w:p>
        </w:tc>
      </w:tr>
    </w:tbl>
    <w:p>
      <w:pPr>
        <w:keepNext w:val="0"/>
        <w:keepLines w:val="0"/>
        <w:pageBreakBefore w:val="0"/>
        <w:widowControl/>
        <w:kinsoku/>
        <w:overflowPunct/>
        <w:topLinePunct w:val="0"/>
        <w:autoSpaceDE/>
        <w:autoSpaceDN/>
        <w:bidi w:val="0"/>
        <w:adjustRightInd/>
        <w:snapToGrid/>
        <w:spacing w:line="640" w:lineRule="exact"/>
        <w:ind w:left="0" w:leftChars="0" w:firstLine="0" w:firstLineChars="0"/>
        <w:jc w:val="both"/>
        <w:rPr>
          <w:rFonts w:hint="eastAsia" w:ascii="Times New Roman Regular" w:hAnsi="Times New Roman Regular" w:eastAsia="方正小标宋_GBK" w:cs="Times New Roman Regular"/>
          <w:color w:val="000000"/>
          <w:kern w:val="0"/>
          <w:sz w:val="36"/>
          <w:szCs w:val="36"/>
          <w:lang w:val="en-US" w:eastAsia="zh-CN"/>
        </w:rPr>
      </w:pPr>
    </w:p>
    <w:p>
      <w:pPr>
        <w:keepNext w:val="0"/>
        <w:keepLines w:val="0"/>
        <w:pageBreakBefore w:val="0"/>
        <w:widowControl/>
        <w:kinsoku/>
        <w:overflowPunct/>
        <w:topLinePunct w:val="0"/>
        <w:autoSpaceDE/>
        <w:autoSpaceDN/>
        <w:bidi w:val="0"/>
        <w:adjustRightInd/>
        <w:snapToGrid/>
        <w:spacing w:line="640" w:lineRule="exact"/>
        <w:ind w:left="0" w:leftChars="0" w:firstLine="0" w:firstLineChars="0"/>
        <w:jc w:val="both"/>
        <w:rPr>
          <w:rFonts w:hint="default" w:ascii="Times New Roman" w:hAnsi="Times New Roman" w:eastAsia="仿宋" w:cs="Times New Roman"/>
          <w:color w:val="000000"/>
          <w:kern w:val="0"/>
          <w:sz w:val="36"/>
          <w:szCs w:val="36"/>
          <w:lang w:val="en-US" w:eastAsia="zh-CN"/>
        </w:rPr>
      </w:pPr>
      <w:r>
        <w:rPr>
          <w:rFonts w:hint="default" w:ascii="Times New Roman" w:hAnsi="Times New Roman" w:eastAsia="仿宋" w:cs="Times New Roman"/>
          <w:lang w:val="en-US" w:eastAsia="zh-CN"/>
        </w:rPr>
        <w:t>附件4-3：</w:t>
      </w:r>
    </w:p>
    <w:p>
      <w:pPr>
        <w:keepNext w:val="0"/>
        <w:keepLines w:val="0"/>
        <w:pageBreakBefore w:val="0"/>
        <w:widowControl/>
        <w:kinsoku/>
        <w:overflowPunct/>
        <w:topLinePunct w:val="0"/>
        <w:autoSpaceDE/>
        <w:autoSpaceDN/>
        <w:bidi w:val="0"/>
        <w:adjustRightInd/>
        <w:snapToGrid/>
        <w:spacing w:line="640" w:lineRule="exact"/>
        <w:jc w:val="center"/>
        <w:rPr>
          <w:rFonts w:hint="eastAsia" w:ascii="Times New Roman Regular" w:hAnsi="Times New Roman Regular" w:eastAsia="方正小标宋_GBK" w:cs="Times New Roman Regular"/>
          <w:highlight w:val="yellow"/>
          <w:lang w:eastAsia="zh-CN"/>
        </w:rPr>
      </w:pPr>
      <w:r>
        <w:rPr>
          <w:rFonts w:hint="eastAsia" w:ascii="Times New Roman Regular" w:hAnsi="Times New Roman Regular" w:eastAsia="方正小标宋_GBK" w:cs="Times New Roman Regular"/>
          <w:color w:val="000000"/>
          <w:kern w:val="0"/>
          <w:sz w:val="36"/>
          <w:szCs w:val="36"/>
          <w:lang w:val="en-US" w:eastAsia="zh-CN"/>
        </w:rPr>
        <w:t>2022</w:t>
      </w:r>
      <w:r>
        <w:rPr>
          <w:rFonts w:hint="default" w:ascii="Times New Roman Regular" w:hAnsi="Times New Roman Regular" w:eastAsia="方正小标宋_GBK" w:cs="Times New Roman Regular"/>
          <w:color w:val="000000"/>
          <w:kern w:val="0"/>
          <w:sz w:val="36"/>
          <w:szCs w:val="36"/>
        </w:rPr>
        <w:t>年度项目支出绩效自评表</w:t>
      </w:r>
    </w:p>
    <w:tbl>
      <w:tblPr>
        <w:tblStyle w:val="19"/>
        <w:tblW w:w="9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78"/>
        <w:gridCol w:w="1078"/>
        <w:gridCol w:w="1079"/>
        <w:gridCol w:w="1222"/>
        <w:gridCol w:w="1133"/>
        <w:gridCol w:w="1132"/>
        <w:gridCol w:w="827"/>
        <w:gridCol w:w="872"/>
        <w:gridCol w:w="14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项目支</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出名称</w:t>
            </w:r>
          </w:p>
        </w:tc>
        <w:tc>
          <w:tcPr>
            <w:tcW w:w="8761" w:type="dxa"/>
            <w:gridSpan w:val="8"/>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长江禁捕退捕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主管部门</w:t>
            </w:r>
          </w:p>
        </w:tc>
        <w:tc>
          <w:tcPr>
            <w:tcW w:w="4512"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北塔区人民政府</w:t>
            </w:r>
          </w:p>
        </w:tc>
        <w:tc>
          <w:tcPr>
            <w:tcW w:w="113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实施单位</w:t>
            </w:r>
          </w:p>
        </w:tc>
        <w:tc>
          <w:tcPr>
            <w:tcW w:w="3117"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北塔区畜牧水产事务中心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78"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项目资金</w:t>
            </w:r>
            <w:r>
              <w:rPr>
                <w:rFonts w:hint="default" w:ascii="Times New Roman" w:hAnsi="Times New Roman" w:eastAsia="宋体" w:cs="Times New Roman"/>
                <w:sz w:val="21"/>
                <w:szCs w:val="21"/>
                <w:lang w:val="en-US" w:eastAsia="zh-CN"/>
              </w:rPr>
              <w:br w:type="textWrapping"/>
            </w:r>
            <w:r>
              <w:rPr>
                <w:rFonts w:hint="default" w:ascii="Times New Roman" w:hAnsi="Times New Roman" w:eastAsia="宋体" w:cs="Times New Roman"/>
                <w:sz w:val="21"/>
                <w:szCs w:val="21"/>
                <w:lang w:val="en-US" w:eastAsia="zh-CN"/>
              </w:rPr>
              <w:t>（万元）</w:t>
            </w:r>
          </w:p>
        </w:tc>
        <w:tc>
          <w:tcPr>
            <w:tcW w:w="2157"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w:t>
            </w:r>
          </w:p>
        </w:tc>
        <w:tc>
          <w:tcPr>
            <w:tcW w:w="122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年初</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预算数</w:t>
            </w:r>
          </w:p>
        </w:tc>
        <w:tc>
          <w:tcPr>
            <w:tcW w:w="113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全年</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预算数</w:t>
            </w:r>
          </w:p>
        </w:tc>
        <w:tc>
          <w:tcPr>
            <w:tcW w:w="113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全年</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执行数</w:t>
            </w:r>
          </w:p>
        </w:tc>
        <w:tc>
          <w:tcPr>
            <w:tcW w:w="82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分值</w:t>
            </w:r>
          </w:p>
        </w:tc>
        <w:tc>
          <w:tcPr>
            <w:tcW w:w="87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执行率</w:t>
            </w: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7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p>
        </w:tc>
        <w:tc>
          <w:tcPr>
            <w:tcW w:w="2157"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年度资金总额　</w:t>
            </w:r>
          </w:p>
        </w:tc>
        <w:tc>
          <w:tcPr>
            <w:tcW w:w="122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46.69万</w:t>
            </w:r>
          </w:p>
        </w:tc>
        <w:tc>
          <w:tcPr>
            <w:tcW w:w="113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46.69万</w:t>
            </w:r>
          </w:p>
        </w:tc>
        <w:tc>
          <w:tcPr>
            <w:tcW w:w="113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46.69万</w:t>
            </w:r>
          </w:p>
        </w:tc>
        <w:tc>
          <w:tcPr>
            <w:tcW w:w="82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10</w:t>
            </w:r>
          </w:p>
        </w:tc>
        <w:tc>
          <w:tcPr>
            <w:tcW w:w="87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100%</w:t>
            </w: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07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p>
        </w:tc>
        <w:tc>
          <w:tcPr>
            <w:tcW w:w="2157"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其中：当年财政拨款　</w:t>
            </w:r>
          </w:p>
        </w:tc>
        <w:tc>
          <w:tcPr>
            <w:tcW w:w="122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w:t>
            </w:r>
          </w:p>
        </w:tc>
        <w:tc>
          <w:tcPr>
            <w:tcW w:w="113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w:t>
            </w:r>
          </w:p>
        </w:tc>
        <w:tc>
          <w:tcPr>
            <w:tcW w:w="113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w:t>
            </w:r>
          </w:p>
        </w:tc>
        <w:tc>
          <w:tcPr>
            <w:tcW w:w="82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w:t>
            </w:r>
          </w:p>
        </w:tc>
        <w:tc>
          <w:tcPr>
            <w:tcW w:w="87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w:t>
            </w: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exact"/>
          <w:jc w:val="center"/>
        </w:trPr>
        <w:tc>
          <w:tcPr>
            <w:tcW w:w="107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p>
        </w:tc>
        <w:tc>
          <w:tcPr>
            <w:tcW w:w="2157"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上年结转资金　</w:t>
            </w:r>
          </w:p>
        </w:tc>
        <w:tc>
          <w:tcPr>
            <w:tcW w:w="122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w:t>
            </w:r>
          </w:p>
        </w:tc>
        <w:tc>
          <w:tcPr>
            <w:tcW w:w="113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w:t>
            </w:r>
          </w:p>
        </w:tc>
        <w:tc>
          <w:tcPr>
            <w:tcW w:w="113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w:t>
            </w:r>
          </w:p>
        </w:tc>
        <w:tc>
          <w:tcPr>
            <w:tcW w:w="82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w:t>
            </w:r>
          </w:p>
        </w:tc>
        <w:tc>
          <w:tcPr>
            <w:tcW w:w="87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w:t>
            </w: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07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p>
        </w:tc>
        <w:tc>
          <w:tcPr>
            <w:tcW w:w="2157"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其他资金</w:t>
            </w:r>
          </w:p>
        </w:tc>
        <w:tc>
          <w:tcPr>
            <w:tcW w:w="122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w:t>
            </w:r>
          </w:p>
        </w:tc>
        <w:tc>
          <w:tcPr>
            <w:tcW w:w="113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w:t>
            </w:r>
          </w:p>
        </w:tc>
        <w:tc>
          <w:tcPr>
            <w:tcW w:w="113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w:t>
            </w:r>
          </w:p>
        </w:tc>
        <w:tc>
          <w:tcPr>
            <w:tcW w:w="82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w:t>
            </w:r>
          </w:p>
        </w:tc>
        <w:tc>
          <w:tcPr>
            <w:tcW w:w="87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w:t>
            </w: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78"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年度总体目标</w:t>
            </w:r>
          </w:p>
        </w:tc>
        <w:tc>
          <w:tcPr>
            <w:tcW w:w="4512"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预期目标</w:t>
            </w:r>
          </w:p>
        </w:tc>
        <w:tc>
          <w:tcPr>
            <w:tcW w:w="4249"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实际完成情况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7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p>
        </w:tc>
        <w:tc>
          <w:tcPr>
            <w:tcW w:w="4512"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完成禁捕退捕各项工作</w:t>
            </w:r>
          </w:p>
        </w:tc>
        <w:tc>
          <w:tcPr>
            <w:tcW w:w="4249"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完成禁捕退捕各项工作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78"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绩</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效</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指</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标</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p>
        </w:tc>
        <w:tc>
          <w:tcPr>
            <w:tcW w:w="10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一级指标</w:t>
            </w:r>
          </w:p>
        </w:tc>
        <w:tc>
          <w:tcPr>
            <w:tcW w:w="107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二级指标</w:t>
            </w:r>
          </w:p>
        </w:tc>
        <w:tc>
          <w:tcPr>
            <w:tcW w:w="122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三级指标</w:t>
            </w:r>
          </w:p>
        </w:tc>
        <w:tc>
          <w:tcPr>
            <w:tcW w:w="113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年度</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指标值</w:t>
            </w:r>
          </w:p>
        </w:tc>
        <w:tc>
          <w:tcPr>
            <w:tcW w:w="113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实际</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完成值</w:t>
            </w:r>
          </w:p>
        </w:tc>
        <w:tc>
          <w:tcPr>
            <w:tcW w:w="82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分值</w:t>
            </w:r>
          </w:p>
        </w:tc>
        <w:tc>
          <w:tcPr>
            <w:tcW w:w="87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得分</w:t>
            </w: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偏差原因</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分析及</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7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p>
        </w:tc>
        <w:tc>
          <w:tcPr>
            <w:tcW w:w="1078"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产出指标</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(50分)</w:t>
            </w:r>
          </w:p>
        </w:tc>
        <w:tc>
          <w:tcPr>
            <w:tcW w:w="107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数量指标</w:t>
            </w:r>
          </w:p>
        </w:tc>
        <w:tc>
          <w:tcPr>
            <w:tcW w:w="122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完成禁捕退捕工作</w:t>
            </w:r>
          </w:p>
        </w:tc>
        <w:tc>
          <w:tcPr>
            <w:tcW w:w="113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100%</w:t>
            </w:r>
          </w:p>
        </w:tc>
        <w:tc>
          <w:tcPr>
            <w:tcW w:w="113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100%</w:t>
            </w:r>
          </w:p>
        </w:tc>
        <w:tc>
          <w:tcPr>
            <w:tcW w:w="82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10</w:t>
            </w:r>
          </w:p>
        </w:tc>
        <w:tc>
          <w:tcPr>
            <w:tcW w:w="87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w:t>
            </w: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7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p>
        </w:tc>
        <w:tc>
          <w:tcPr>
            <w:tcW w:w="107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p>
        </w:tc>
        <w:tc>
          <w:tcPr>
            <w:tcW w:w="107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质量指标</w:t>
            </w:r>
          </w:p>
        </w:tc>
        <w:tc>
          <w:tcPr>
            <w:tcW w:w="122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完成禁捕退捕工作</w:t>
            </w:r>
          </w:p>
        </w:tc>
        <w:tc>
          <w:tcPr>
            <w:tcW w:w="113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100%</w:t>
            </w:r>
          </w:p>
        </w:tc>
        <w:tc>
          <w:tcPr>
            <w:tcW w:w="113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100%</w:t>
            </w:r>
          </w:p>
        </w:tc>
        <w:tc>
          <w:tcPr>
            <w:tcW w:w="82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15</w:t>
            </w:r>
          </w:p>
        </w:tc>
        <w:tc>
          <w:tcPr>
            <w:tcW w:w="87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w:t>
            </w: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7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p>
        </w:tc>
        <w:tc>
          <w:tcPr>
            <w:tcW w:w="107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p>
        </w:tc>
        <w:tc>
          <w:tcPr>
            <w:tcW w:w="107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时效指标</w:t>
            </w:r>
          </w:p>
        </w:tc>
        <w:tc>
          <w:tcPr>
            <w:tcW w:w="122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完成禁捕退捕工作</w:t>
            </w:r>
          </w:p>
        </w:tc>
        <w:tc>
          <w:tcPr>
            <w:tcW w:w="113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100%</w:t>
            </w:r>
          </w:p>
        </w:tc>
        <w:tc>
          <w:tcPr>
            <w:tcW w:w="113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100%</w:t>
            </w:r>
          </w:p>
        </w:tc>
        <w:tc>
          <w:tcPr>
            <w:tcW w:w="82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15</w:t>
            </w:r>
          </w:p>
        </w:tc>
        <w:tc>
          <w:tcPr>
            <w:tcW w:w="87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w:t>
            </w: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7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p>
        </w:tc>
        <w:tc>
          <w:tcPr>
            <w:tcW w:w="107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p>
        </w:tc>
        <w:tc>
          <w:tcPr>
            <w:tcW w:w="107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成本指标</w:t>
            </w:r>
          </w:p>
        </w:tc>
        <w:tc>
          <w:tcPr>
            <w:tcW w:w="122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完成禁捕退捕工作</w:t>
            </w:r>
          </w:p>
        </w:tc>
        <w:tc>
          <w:tcPr>
            <w:tcW w:w="113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100%</w:t>
            </w:r>
          </w:p>
        </w:tc>
        <w:tc>
          <w:tcPr>
            <w:tcW w:w="113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100%</w:t>
            </w:r>
          </w:p>
        </w:tc>
        <w:tc>
          <w:tcPr>
            <w:tcW w:w="82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10</w:t>
            </w:r>
          </w:p>
        </w:tc>
        <w:tc>
          <w:tcPr>
            <w:tcW w:w="87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w:t>
            </w: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7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p>
        </w:tc>
        <w:tc>
          <w:tcPr>
            <w:tcW w:w="1078"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效益指标</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（30分）</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w:t>
            </w:r>
          </w:p>
        </w:tc>
        <w:tc>
          <w:tcPr>
            <w:tcW w:w="107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经济效</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益指标</w:t>
            </w:r>
          </w:p>
        </w:tc>
        <w:tc>
          <w:tcPr>
            <w:tcW w:w="122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完成禁捕退捕工作</w:t>
            </w:r>
          </w:p>
        </w:tc>
        <w:tc>
          <w:tcPr>
            <w:tcW w:w="113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100%</w:t>
            </w:r>
          </w:p>
        </w:tc>
        <w:tc>
          <w:tcPr>
            <w:tcW w:w="113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100%</w:t>
            </w:r>
          </w:p>
        </w:tc>
        <w:tc>
          <w:tcPr>
            <w:tcW w:w="82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8</w:t>
            </w:r>
          </w:p>
        </w:tc>
        <w:tc>
          <w:tcPr>
            <w:tcW w:w="87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w:t>
            </w: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7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p>
        </w:tc>
        <w:tc>
          <w:tcPr>
            <w:tcW w:w="107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p>
        </w:tc>
        <w:tc>
          <w:tcPr>
            <w:tcW w:w="107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社会效</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益指标</w:t>
            </w:r>
          </w:p>
        </w:tc>
        <w:tc>
          <w:tcPr>
            <w:tcW w:w="122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完成禁捕退捕工作</w:t>
            </w:r>
          </w:p>
        </w:tc>
        <w:tc>
          <w:tcPr>
            <w:tcW w:w="113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100%</w:t>
            </w:r>
          </w:p>
        </w:tc>
        <w:tc>
          <w:tcPr>
            <w:tcW w:w="113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100%</w:t>
            </w:r>
          </w:p>
        </w:tc>
        <w:tc>
          <w:tcPr>
            <w:tcW w:w="82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8</w:t>
            </w:r>
          </w:p>
        </w:tc>
        <w:tc>
          <w:tcPr>
            <w:tcW w:w="87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w:t>
            </w: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atLeast"/>
          <w:jc w:val="center"/>
        </w:trPr>
        <w:tc>
          <w:tcPr>
            <w:tcW w:w="107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p>
        </w:tc>
        <w:tc>
          <w:tcPr>
            <w:tcW w:w="107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p>
        </w:tc>
        <w:tc>
          <w:tcPr>
            <w:tcW w:w="107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生态效</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益指标</w:t>
            </w:r>
          </w:p>
        </w:tc>
        <w:tc>
          <w:tcPr>
            <w:tcW w:w="122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完成禁捕退捕工作</w:t>
            </w:r>
          </w:p>
        </w:tc>
        <w:tc>
          <w:tcPr>
            <w:tcW w:w="113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100%</w:t>
            </w:r>
          </w:p>
        </w:tc>
        <w:tc>
          <w:tcPr>
            <w:tcW w:w="113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100%</w:t>
            </w:r>
          </w:p>
        </w:tc>
        <w:tc>
          <w:tcPr>
            <w:tcW w:w="82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7</w:t>
            </w:r>
          </w:p>
        </w:tc>
        <w:tc>
          <w:tcPr>
            <w:tcW w:w="87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w:t>
            </w: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7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p>
        </w:tc>
        <w:tc>
          <w:tcPr>
            <w:tcW w:w="107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p>
        </w:tc>
        <w:tc>
          <w:tcPr>
            <w:tcW w:w="107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可持续影响指标</w:t>
            </w:r>
          </w:p>
        </w:tc>
        <w:tc>
          <w:tcPr>
            <w:tcW w:w="122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完成禁捕退捕工作</w:t>
            </w:r>
          </w:p>
        </w:tc>
        <w:tc>
          <w:tcPr>
            <w:tcW w:w="113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100%</w:t>
            </w:r>
          </w:p>
        </w:tc>
        <w:tc>
          <w:tcPr>
            <w:tcW w:w="113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100%</w:t>
            </w:r>
          </w:p>
        </w:tc>
        <w:tc>
          <w:tcPr>
            <w:tcW w:w="82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7</w:t>
            </w:r>
          </w:p>
        </w:tc>
        <w:tc>
          <w:tcPr>
            <w:tcW w:w="87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w:t>
            </w: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3" w:hRule="exact"/>
          <w:jc w:val="center"/>
        </w:trPr>
        <w:tc>
          <w:tcPr>
            <w:tcW w:w="107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p>
        </w:tc>
        <w:tc>
          <w:tcPr>
            <w:tcW w:w="10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满意度</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指标</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（10分）</w:t>
            </w:r>
          </w:p>
        </w:tc>
        <w:tc>
          <w:tcPr>
            <w:tcW w:w="107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服务对象满意度指标</w:t>
            </w:r>
          </w:p>
        </w:tc>
        <w:tc>
          <w:tcPr>
            <w:tcW w:w="122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满意评价</w:t>
            </w:r>
          </w:p>
        </w:tc>
        <w:tc>
          <w:tcPr>
            <w:tcW w:w="113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满意</w:t>
            </w:r>
          </w:p>
        </w:tc>
        <w:tc>
          <w:tcPr>
            <w:tcW w:w="113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满意</w:t>
            </w:r>
          </w:p>
        </w:tc>
        <w:tc>
          <w:tcPr>
            <w:tcW w:w="82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10</w:t>
            </w:r>
          </w:p>
        </w:tc>
        <w:tc>
          <w:tcPr>
            <w:tcW w:w="87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w:t>
            </w: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atLeast"/>
          <w:jc w:val="center"/>
        </w:trPr>
        <w:tc>
          <w:tcPr>
            <w:tcW w:w="6722" w:type="dxa"/>
            <w:gridSpan w:val="6"/>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总分</w:t>
            </w:r>
          </w:p>
        </w:tc>
        <w:tc>
          <w:tcPr>
            <w:tcW w:w="82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100</w:t>
            </w:r>
          </w:p>
        </w:tc>
        <w:tc>
          <w:tcPr>
            <w:tcW w:w="87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w:t>
            </w: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w:t>
            </w:r>
          </w:p>
        </w:tc>
      </w:tr>
    </w:tbl>
    <w:p>
      <w:pPr>
        <w:pStyle w:val="8"/>
        <w:keepNext/>
        <w:keepLines/>
        <w:pageBreakBefore w:val="0"/>
        <w:widowControl w:val="0"/>
        <w:kinsoku/>
        <w:wordWrap/>
        <w:overflowPunct/>
        <w:topLinePunct w:val="0"/>
        <w:autoSpaceDE/>
        <w:autoSpaceDN/>
        <w:bidi w:val="0"/>
        <w:adjustRightInd/>
        <w:snapToGrid/>
        <w:spacing w:before="0" w:after="0" w:line="20" w:lineRule="atLeast"/>
        <w:ind w:left="0" w:leftChars="0" w:firstLine="0" w:firstLineChars="0"/>
        <w:jc w:val="both"/>
        <w:textAlignment w:val="auto"/>
        <w:rPr>
          <w:rFonts w:hint="default"/>
        </w:rPr>
      </w:pPr>
    </w:p>
    <w:sectPr>
      <w:headerReference r:id="rId10" w:type="default"/>
      <w:footerReference r:id="rId11" w:type="default"/>
      <w:pgSz w:w="11906" w:h="16838"/>
      <w:pgMar w:top="1440" w:right="1800" w:bottom="1440" w:left="1800" w:header="680" w:footer="850"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方正大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Times New Roman Regular">
    <w:altName w:val="Times New Roman"/>
    <w:panose1 w:val="02020603050405020304"/>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default"/>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keepNext w:val="0"/>
      <w:keepLines w:val="0"/>
      <w:pageBreakBefore w:val="0"/>
      <w:widowControl w:val="0"/>
      <w:pBdr>
        <w:bottom w:val="thickThinLargeGap" w:color="auto" w:sz="4" w:space="1"/>
      </w:pBdr>
      <w:tabs>
        <w:tab w:val="left" w:pos="420"/>
        <w:tab w:val="right" w:pos="9746"/>
      </w:tabs>
      <w:kinsoku/>
      <w:wordWrap/>
      <w:overflowPunct/>
      <w:topLinePunct w:val="0"/>
      <w:bidi w:val="0"/>
      <w:adjustRightInd/>
      <w:snapToGrid w:val="0"/>
      <w:ind w:firstLine="0" w:firstLineChars="0"/>
      <w:jc w:val="left"/>
      <w:textAlignment w:val="auto"/>
      <w:rPr>
        <w:rFonts w:hint="default"/>
        <w:sz w:val="21"/>
        <w:szCs w:val="21"/>
        <w:lang w:val="en-US"/>
      </w:rPr>
    </w:pPr>
    <w:r>
      <w:rPr>
        <w:rFonts w:hint="eastAsia" w:ascii="楷体" w:hAnsi="楷体" w:eastAsia="楷体" w:cs="楷体"/>
        <w:b/>
        <w:bCs/>
        <w:i/>
        <w:iCs/>
        <w:sz w:val="21"/>
        <w:szCs w:val="21"/>
        <w:lang w:val="en-US" w:eastAsia="zh-CN"/>
      </w:rPr>
      <w:drawing>
        <wp:inline distT="0" distB="0" distL="114300" distR="114300">
          <wp:extent cx="213995" cy="215900"/>
          <wp:effectExtent l="0" t="0" r="14605" b="12700"/>
          <wp:docPr id="2"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pic:cNvPicPr>
                    <a:picLocks noChangeAspect="1"/>
                  </pic:cNvPicPr>
                </pic:nvPicPr>
                <pic:blipFill>
                  <a:blip r:embed="rId1"/>
                  <a:stretch>
                    <a:fillRect/>
                  </a:stretch>
                </pic:blipFill>
                <pic:spPr>
                  <a:xfrm>
                    <a:off x="0" y="0"/>
                    <a:ext cx="213995" cy="215900"/>
                  </a:xfrm>
                  <a:prstGeom prst="rect">
                    <a:avLst/>
                  </a:prstGeom>
                  <a:noFill/>
                  <a:ln>
                    <a:noFill/>
                  </a:ln>
                </pic:spPr>
              </pic:pic>
            </a:graphicData>
          </a:graphic>
        </wp:inline>
      </w:drawing>
    </w:r>
    <w:r>
      <w:rPr>
        <w:rFonts w:hint="eastAsia" w:ascii="楷体" w:hAnsi="楷体" w:eastAsia="楷体" w:cs="楷体"/>
        <w:b/>
        <w:bCs/>
        <w:i/>
        <w:iCs/>
        <w:sz w:val="21"/>
        <w:szCs w:val="21"/>
        <w:lang w:val="en-US" w:eastAsia="zh-CN"/>
      </w:rPr>
      <w:t xml:space="preserve"> </w:t>
    </w:r>
    <w:r>
      <w:rPr>
        <w:rFonts w:hint="eastAsia" w:ascii="宋体" w:hAnsi="宋体" w:eastAsia="宋体" w:cs="宋体"/>
        <w:b/>
        <w:bCs/>
        <w:i w:val="0"/>
        <w:iCs w:val="0"/>
        <w:sz w:val="16"/>
        <w:szCs w:val="16"/>
        <w:lang w:val="en-US" w:eastAsia="zh-CN"/>
      </w:rPr>
      <w:t>湖南财正会计师事务所（普通合伙）     邵阳市北塔区畜牧水产事务中心</w:t>
    </w:r>
    <w:r>
      <w:rPr>
        <w:rFonts w:hint="default" w:ascii="Times New Roman" w:hAnsi="Times New Roman" w:eastAsia="宋体" w:cs="Times New Roman"/>
        <w:b w:val="0"/>
        <w:bCs w:val="0"/>
        <w:i w:val="0"/>
        <w:iCs w:val="0"/>
        <w:sz w:val="16"/>
        <w:szCs w:val="16"/>
        <w:lang w:val="en-US" w:eastAsia="zh-CN"/>
      </w:rPr>
      <w:t>2022</w:t>
    </w:r>
    <w:r>
      <w:rPr>
        <w:rFonts w:hint="eastAsia" w:ascii="宋体" w:hAnsi="宋体" w:eastAsia="宋体" w:cs="宋体"/>
        <w:b/>
        <w:bCs/>
        <w:i w:val="0"/>
        <w:iCs w:val="0"/>
        <w:sz w:val="16"/>
        <w:szCs w:val="16"/>
        <w:lang w:val="en-US" w:eastAsia="zh-CN"/>
      </w:rPr>
      <w:t>年度部门整体支出绩效评价报告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thickThinLargeGap" w:color="auto" w:sz="4" w:space="1"/>
      </w:pBdr>
      <w:tabs>
        <w:tab w:val="left" w:pos="420"/>
        <w:tab w:val="right" w:pos="9746"/>
      </w:tabs>
      <w:jc w:val="left"/>
      <w:rPr>
        <w:rFonts w:hint="default"/>
        <w:sz w:val="21"/>
        <w:szCs w:val="21"/>
        <w:lang w:val="en-US"/>
      </w:rPr>
    </w:pPr>
    <w:r>
      <w:rPr>
        <w:rFonts w:hint="eastAsia" w:ascii="楷体" w:hAnsi="楷体" w:eastAsia="楷体" w:cs="楷体"/>
        <w:b/>
        <w:bCs/>
        <w:i/>
        <w:iCs/>
        <w:sz w:val="21"/>
        <w:szCs w:val="21"/>
        <w:lang w:val="en-US" w:eastAsia="zh-CN"/>
      </w:rPr>
      <w:drawing>
        <wp:inline distT="0" distB="0" distL="114300" distR="114300">
          <wp:extent cx="213995" cy="215900"/>
          <wp:effectExtent l="0" t="0" r="5080" b="3175"/>
          <wp:docPr id="9"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logo"/>
                  <pic:cNvPicPr>
                    <a:picLocks noChangeAspect="1"/>
                  </pic:cNvPicPr>
                </pic:nvPicPr>
                <pic:blipFill>
                  <a:blip r:embed="rId1"/>
                  <a:stretch>
                    <a:fillRect/>
                  </a:stretch>
                </pic:blipFill>
                <pic:spPr>
                  <a:xfrm>
                    <a:off x="0" y="0"/>
                    <a:ext cx="213995" cy="215900"/>
                  </a:xfrm>
                  <a:prstGeom prst="rect">
                    <a:avLst/>
                  </a:prstGeom>
                  <a:noFill/>
                  <a:ln>
                    <a:noFill/>
                  </a:ln>
                </pic:spPr>
              </pic:pic>
            </a:graphicData>
          </a:graphic>
        </wp:inline>
      </w:drawing>
    </w:r>
    <w:r>
      <w:rPr>
        <w:rFonts w:hint="eastAsia" w:ascii="楷体" w:hAnsi="楷体" w:eastAsia="楷体" w:cs="楷体"/>
        <w:b/>
        <w:bCs/>
        <w:i/>
        <w:iCs/>
        <w:sz w:val="21"/>
        <w:szCs w:val="21"/>
        <w:lang w:val="en-US" w:eastAsia="zh-CN"/>
      </w:rPr>
      <w:t xml:space="preserve"> </w:t>
    </w:r>
    <w:r>
      <w:rPr>
        <w:rFonts w:hint="eastAsia" w:ascii="宋体" w:hAnsi="宋体" w:eastAsia="宋体" w:cs="宋体"/>
        <w:b/>
        <w:bCs/>
        <w:i w:val="0"/>
        <w:iCs w:val="0"/>
        <w:sz w:val="16"/>
        <w:szCs w:val="16"/>
        <w:lang w:val="en-US" w:eastAsia="zh-CN"/>
      </w:rPr>
      <w:t>湖南财正会计师事务所（普通合伙）                                                                                  邵阳市北塔区畜牧水产事务中心</w:t>
    </w:r>
    <w:r>
      <w:rPr>
        <w:rFonts w:hint="default" w:ascii="Times New Roman" w:hAnsi="Times New Roman" w:eastAsia="宋体" w:cs="Times New Roman"/>
        <w:b w:val="0"/>
        <w:bCs w:val="0"/>
        <w:i w:val="0"/>
        <w:iCs w:val="0"/>
        <w:sz w:val="16"/>
        <w:szCs w:val="16"/>
        <w:lang w:val="en-US" w:eastAsia="zh-CN"/>
      </w:rPr>
      <w:t>2022</w:t>
    </w:r>
    <w:r>
      <w:rPr>
        <w:rFonts w:hint="eastAsia" w:ascii="宋体" w:hAnsi="宋体" w:eastAsia="宋体" w:cs="宋体"/>
        <w:b/>
        <w:bCs/>
        <w:i w:val="0"/>
        <w:iCs w:val="0"/>
        <w:sz w:val="16"/>
        <w:szCs w:val="16"/>
        <w:lang w:val="en-US" w:eastAsia="zh-CN"/>
      </w:rPr>
      <w:t>年度部门整体支出绩效评价报告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keepNext w:val="0"/>
      <w:keepLines w:val="0"/>
      <w:pageBreakBefore w:val="0"/>
      <w:widowControl w:val="0"/>
      <w:pBdr>
        <w:bottom w:val="thickThinLargeGap" w:color="auto" w:sz="4" w:space="1"/>
      </w:pBdr>
      <w:tabs>
        <w:tab w:val="left" w:pos="420"/>
        <w:tab w:val="right" w:pos="9746"/>
      </w:tabs>
      <w:kinsoku/>
      <w:wordWrap/>
      <w:overflowPunct/>
      <w:topLinePunct w:val="0"/>
      <w:bidi w:val="0"/>
      <w:adjustRightInd/>
      <w:snapToGrid w:val="0"/>
      <w:ind w:firstLine="0" w:firstLineChars="0"/>
      <w:jc w:val="left"/>
      <w:textAlignment w:val="auto"/>
      <w:rPr>
        <w:rFonts w:hint="default"/>
        <w:sz w:val="21"/>
        <w:szCs w:val="21"/>
        <w:lang w:val="en-US"/>
      </w:rPr>
    </w:pPr>
    <w:r>
      <w:rPr>
        <w:rFonts w:hint="eastAsia" w:ascii="楷体" w:hAnsi="楷体" w:eastAsia="楷体" w:cs="楷体"/>
        <w:b/>
        <w:bCs/>
        <w:i/>
        <w:iCs/>
        <w:sz w:val="21"/>
        <w:szCs w:val="21"/>
        <w:lang w:val="en-US" w:eastAsia="zh-CN"/>
      </w:rPr>
      <w:drawing>
        <wp:inline distT="0" distB="0" distL="114300" distR="114300">
          <wp:extent cx="213995" cy="215900"/>
          <wp:effectExtent l="0" t="0" r="5080" b="3175"/>
          <wp:docPr id="8"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logo"/>
                  <pic:cNvPicPr>
                    <a:picLocks noChangeAspect="1"/>
                  </pic:cNvPicPr>
                </pic:nvPicPr>
                <pic:blipFill>
                  <a:blip r:embed="rId1"/>
                  <a:stretch>
                    <a:fillRect/>
                  </a:stretch>
                </pic:blipFill>
                <pic:spPr>
                  <a:xfrm>
                    <a:off x="0" y="0"/>
                    <a:ext cx="213995" cy="215900"/>
                  </a:xfrm>
                  <a:prstGeom prst="rect">
                    <a:avLst/>
                  </a:prstGeom>
                  <a:noFill/>
                  <a:ln>
                    <a:noFill/>
                  </a:ln>
                </pic:spPr>
              </pic:pic>
            </a:graphicData>
          </a:graphic>
        </wp:inline>
      </w:drawing>
    </w:r>
    <w:r>
      <w:rPr>
        <w:rFonts w:hint="eastAsia" w:ascii="楷体" w:hAnsi="楷体" w:eastAsia="楷体" w:cs="楷体"/>
        <w:b/>
        <w:bCs/>
        <w:i/>
        <w:iCs/>
        <w:sz w:val="21"/>
        <w:szCs w:val="21"/>
        <w:lang w:val="en-US" w:eastAsia="zh-CN"/>
      </w:rPr>
      <w:t xml:space="preserve"> </w:t>
    </w:r>
    <w:r>
      <w:rPr>
        <w:rFonts w:hint="eastAsia" w:ascii="宋体" w:hAnsi="宋体" w:eastAsia="宋体" w:cs="宋体"/>
        <w:b/>
        <w:bCs/>
        <w:i w:val="0"/>
        <w:iCs w:val="0"/>
        <w:sz w:val="16"/>
        <w:szCs w:val="16"/>
        <w:lang w:val="en-US" w:eastAsia="zh-CN"/>
      </w:rPr>
      <w:t>湖南财正会计师事务所（普通合伙）     邵阳市北塔区畜牧水产事务中心</w:t>
    </w:r>
    <w:r>
      <w:rPr>
        <w:rFonts w:hint="default" w:ascii="Times New Roman" w:hAnsi="Times New Roman" w:eastAsia="宋体" w:cs="Times New Roman"/>
        <w:b w:val="0"/>
        <w:bCs w:val="0"/>
        <w:i w:val="0"/>
        <w:iCs w:val="0"/>
        <w:sz w:val="16"/>
        <w:szCs w:val="16"/>
        <w:lang w:val="en-US" w:eastAsia="zh-CN"/>
      </w:rPr>
      <w:t>2022</w:t>
    </w:r>
    <w:r>
      <w:rPr>
        <w:rFonts w:hint="eastAsia" w:ascii="宋体" w:hAnsi="宋体" w:eastAsia="宋体" w:cs="宋体"/>
        <w:b/>
        <w:bCs/>
        <w:i w:val="0"/>
        <w:iCs w:val="0"/>
        <w:sz w:val="16"/>
        <w:szCs w:val="16"/>
        <w:lang w:val="en-US" w:eastAsia="zh-CN"/>
      </w:rPr>
      <w:t>年度部门整体支出绩效评价报告</w:t>
    </w:r>
  </w:p>
  <w:p>
    <w:pPr>
      <w:pStyle w:val="12"/>
      <w:pBdr>
        <w:bottom w:val="none" w:color="auto" w:sz="0" w:space="1"/>
      </w:pBdr>
      <w:tabs>
        <w:tab w:val="left" w:pos="420"/>
        <w:tab w:val="right" w:pos="9746"/>
      </w:tabs>
      <w:ind w:left="0" w:leftChars="0" w:firstLine="0" w:firstLineChars="0"/>
      <w:jc w:val="left"/>
      <w:rPr>
        <w:rFonts w:hint="default"/>
        <w:sz w:val="21"/>
        <w:szCs w:val="21"/>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wZmM1NmQ5MmM2YjMyZmMwZTU5NWJjNzEzM2VlNGQifQ=="/>
  </w:docVars>
  <w:rsids>
    <w:rsidRoot w:val="7DB93AD6"/>
    <w:rsid w:val="00311A5F"/>
    <w:rsid w:val="021653B1"/>
    <w:rsid w:val="065B7836"/>
    <w:rsid w:val="06620BC5"/>
    <w:rsid w:val="073F2CB4"/>
    <w:rsid w:val="08B82D1E"/>
    <w:rsid w:val="092706CD"/>
    <w:rsid w:val="0A4F1460"/>
    <w:rsid w:val="0AFD710E"/>
    <w:rsid w:val="0B0C22DF"/>
    <w:rsid w:val="0C300E1D"/>
    <w:rsid w:val="0D705BC3"/>
    <w:rsid w:val="0DDA3736"/>
    <w:rsid w:val="0F2A6A4C"/>
    <w:rsid w:val="0F914696"/>
    <w:rsid w:val="0FC63F72"/>
    <w:rsid w:val="11EE77B0"/>
    <w:rsid w:val="11FF705B"/>
    <w:rsid w:val="12810624"/>
    <w:rsid w:val="13053004"/>
    <w:rsid w:val="16751EAC"/>
    <w:rsid w:val="18786026"/>
    <w:rsid w:val="19BC1F42"/>
    <w:rsid w:val="1C046A55"/>
    <w:rsid w:val="1C890801"/>
    <w:rsid w:val="1D7C1C6E"/>
    <w:rsid w:val="1EC2624D"/>
    <w:rsid w:val="22EC1AEA"/>
    <w:rsid w:val="26BE379D"/>
    <w:rsid w:val="2ABE399F"/>
    <w:rsid w:val="2DFB6268"/>
    <w:rsid w:val="36203B2D"/>
    <w:rsid w:val="36CC7811"/>
    <w:rsid w:val="376143FD"/>
    <w:rsid w:val="3A217E73"/>
    <w:rsid w:val="3B89687F"/>
    <w:rsid w:val="3D4D74CC"/>
    <w:rsid w:val="432F3601"/>
    <w:rsid w:val="44277BF4"/>
    <w:rsid w:val="476870E2"/>
    <w:rsid w:val="47B42327"/>
    <w:rsid w:val="497A134E"/>
    <w:rsid w:val="49E1317B"/>
    <w:rsid w:val="4A9A146D"/>
    <w:rsid w:val="4EF652AE"/>
    <w:rsid w:val="510065DD"/>
    <w:rsid w:val="512C665E"/>
    <w:rsid w:val="53AC01AC"/>
    <w:rsid w:val="556F3D31"/>
    <w:rsid w:val="55AE4859"/>
    <w:rsid w:val="56252405"/>
    <w:rsid w:val="5C1B251D"/>
    <w:rsid w:val="5DB03045"/>
    <w:rsid w:val="5FA61619"/>
    <w:rsid w:val="653D52B2"/>
    <w:rsid w:val="66CD6B09"/>
    <w:rsid w:val="66EF6A80"/>
    <w:rsid w:val="671E7365"/>
    <w:rsid w:val="6885769C"/>
    <w:rsid w:val="68EC14C9"/>
    <w:rsid w:val="6922313D"/>
    <w:rsid w:val="699833FF"/>
    <w:rsid w:val="6A22716C"/>
    <w:rsid w:val="6DA22A9E"/>
    <w:rsid w:val="7327251D"/>
    <w:rsid w:val="739F35DC"/>
    <w:rsid w:val="74597C2E"/>
    <w:rsid w:val="75B570E6"/>
    <w:rsid w:val="79C6797A"/>
    <w:rsid w:val="7BD83B2F"/>
    <w:rsid w:val="7DB93AD6"/>
    <w:rsid w:val="7F9D4E73"/>
    <w:rsid w:val="7FEC64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420" w:firstLineChars="200"/>
      <w:jc w:val="both"/>
    </w:pPr>
    <w:rPr>
      <w:rFonts w:ascii="Times New Roman" w:hAnsi="Times New Roman" w:eastAsia="仿宋" w:cstheme="minorBidi"/>
      <w:kern w:val="2"/>
      <w:sz w:val="32"/>
      <w:szCs w:val="24"/>
      <w:lang w:val="en-US" w:eastAsia="zh-CN" w:bidi="ar-SA"/>
    </w:rPr>
  </w:style>
  <w:style w:type="paragraph" w:styleId="3">
    <w:name w:val="heading 1"/>
    <w:basedOn w:val="4"/>
    <w:next w:val="4"/>
    <w:link w:val="25"/>
    <w:qFormat/>
    <w:uiPriority w:val="0"/>
    <w:pPr>
      <w:keepNext/>
      <w:keepLines/>
      <w:spacing w:beforeLines="0" w:beforeAutospacing="0" w:afterLines="0" w:afterAutospacing="0" w:line="600" w:lineRule="exact"/>
      <w:ind w:firstLine="420" w:firstLineChars="200"/>
      <w:outlineLvl w:val="0"/>
    </w:pPr>
    <w:rPr>
      <w:rFonts w:eastAsia="黑体" w:asciiTheme="minorAscii" w:hAnsiTheme="minorAscii"/>
      <w:b/>
      <w:kern w:val="44"/>
      <w:sz w:val="32"/>
    </w:rPr>
  </w:style>
  <w:style w:type="paragraph" w:styleId="6">
    <w:name w:val="heading 2"/>
    <w:basedOn w:val="1"/>
    <w:next w:val="1"/>
    <w:unhideWhenUsed/>
    <w:qFormat/>
    <w:uiPriority w:val="0"/>
    <w:pPr>
      <w:keepNext/>
      <w:keepLines/>
      <w:spacing w:beforeLines="0" w:beforeAutospacing="0" w:afterLines="0" w:afterAutospacing="0" w:line="600" w:lineRule="exact"/>
      <w:ind w:firstLine="420" w:firstLineChars="200"/>
      <w:outlineLvl w:val="1"/>
    </w:pPr>
    <w:rPr>
      <w:rFonts w:ascii="Arial" w:hAnsi="Arial" w:eastAsia="楷体"/>
      <w:b/>
      <w:sz w:val="32"/>
    </w:rPr>
  </w:style>
  <w:style w:type="paragraph" w:styleId="7">
    <w:name w:val="heading 3"/>
    <w:basedOn w:val="1"/>
    <w:next w:val="1"/>
    <w:link w:val="26"/>
    <w:unhideWhenUsed/>
    <w:qFormat/>
    <w:uiPriority w:val="0"/>
    <w:pPr>
      <w:keepNext/>
      <w:keepLines/>
      <w:spacing w:beforeLines="0" w:beforeAutospacing="0" w:afterLines="0" w:afterAutospacing="0" w:line="600" w:lineRule="exact"/>
      <w:ind w:firstLine="420" w:firstLineChars="200"/>
      <w:outlineLvl w:val="2"/>
    </w:pPr>
    <w:rPr>
      <w:rFonts w:eastAsia="仿宋" w:asciiTheme="minorAscii" w:hAnsiTheme="minorAscii"/>
      <w:b/>
      <w:sz w:val="32"/>
    </w:rPr>
  </w:style>
  <w:style w:type="paragraph" w:styleId="8">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Normal Indent"/>
    <w:basedOn w:val="1"/>
    <w:autoRedefine/>
    <w:unhideWhenUsed/>
    <w:qFormat/>
    <w:uiPriority w:val="99"/>
    <w:pPr>
      <w:ind w:firstLine="420" w:firstLineChars="200"/>
    </w:pPr>
  </w:style>
  <w:style w:type="paragraph" w:styleId="4">
    <w:name w:val="Body Text First Indent"/>
    <w:basedOn w:val="5"/>
    <w:autoRedefine/>
    <w:qFormat/>
    <w:uiPriority w:val="0"/>
    <w:pPr>
      <w:adjustRightInd w:val="0"/>
      <w:snapToGrid w:val="0"/>
      <w:spacing w:beforeLines="50" w:after="0" w:line="360" w:lineRule="auto"/>
      <w:ind w:firstLine="200" w:firstLineChars="200"/>
    </w:pPr>
    <w:rPr>
      <w:rFonts w:ascii="Times New Roman" w:hAnsi="Times New Roman"/>
      <w:sz w:val="24"/>
      <w:szCs w:val="24"/>
    </w:rPr>
  </w:style>
  <w:style w:type="paragraph" w:styleId="5">
    <w:name w:val="Body Text"/>
    <w:basedOn w:val="1"/>
    <w:autoRedefine/>
    <w:unhideWhenUsed/>
    <w:qFormat/>
    <w:uiPriority w:val="99"/>
    <w:pPr>
      <w:spacing w:after="120"/>
    </w:pPr>
  </w:style>
  <w:style w:type="paragraph" w:styleId="9">
    <w:name w:val="annotation text"/>
    <w:basedOn w:val="1"/>
    <w:qFormat/>
    <w:uiPriority w:val="0"/>
    <w:pPr>
      <w:jc w:val="left"/>
    </w:pPr>
  </w:style>
  <w:style w:type="paragraph" w:styleId="10">
    <w:name w:val="Body Text Indent 2"/>
    <w:basedOn w:val="1"/>
    <w:next w:val="11"/>
    <w:autoRedefine/>
    <w:unhideWhenUsed/>
    <w:qFormat/>
    <w:uiPriority w:val="99"/>
    <w:pPr>
      <w:spacing w:after="120" w:line="480" w:lineRule="auto"/>
      <w:ind w:left="420" w:leftChars="200"/>
    </w:pPr>
  </w:style>
  <w:style w:type="paragraph" w:customStyle="1" w:styleId="11">
    <w:name w:val="p0"/>
    <w:next w:val="12"/>
    <w:autoRedefine/>
    <w:qFormat/>
    <w:uiPriority w:val="0"/>
    <w:pPr>
      <w:spacing w:line="365" w:lineRule="atLeast"/>
      <w:ind w:left="1"/>
    </w:pPr>
    <w:rPr>
      <w:rFonts w:ascii="Times New Roman" w:hAnsi="Times New Roman" w:eastAsia="宋体" w:cs="Times New Roman"/>
      <w:sz w:val="24"/>
      <w:lang w:val="en-US" w:eastAsia="zh-CN" w:bidi="ar-SA"/>
    </w:rPr>
  </w:style>
  <w:style w:type="paragraph" w:styleId="12">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footer"/>
    <w:basedOn w:val="1"/>
    <w:qFormat/>
    <w:uiPriority w:val="0"/>
    <w:pPr>
      <w:tabs>
        <w:tab w:val="center" w:pos="4153"/>
        <w:tab w:val="right" w:pos="8306"/>
      </w:tabs>
      <w:snapToGrid w:val="0"/>
      <w:jc w:val="left"/>
    </w:pPr>
    <w:rPr>
      <w:sz w:val="18"/>
    </w:rPr>
  </w:style>
  <w:style w:type="paragraph" w:styleId="14">
    <w:name w:val="toc 1"/>
    <w:basedOn w:val="1"/>
    <w:next w:val="1"/>
    <w:autoRedefine/>
    <w:qFormat/>
    <w:uiPriority w:val="0"/>
    <w:pPr>
      <w:spacing w:line="360" w:lineRule="auto"/>
      <w:ind w:firstLine="0" w:firstLineChars="0"/>
    </w:pPr>
  </w:style>
  <w:style w:type="paragraph" w:styleId="15">
    <w:name w:val="footnote text"/>
    <w:basedOn w:val="1"/>
    <w:autoRedefine/>
    <w:unhideWhenUsed/>
    <w:qFormat/>
    <w:uiPriority w:val="99"/>
    <w:pPr>
      <w:widowControl w:val="0"/>
      <w:snapToGrid w:val="0"/>
    </w:pPr>
    <w:rPr>
      <w:rFonts w:ascii="Calibri" w:hAnsi="Calibri" w:cs="Times New Roman"/>
      <w:kern w:val="2"/>
      <w:sz w:val="18"/>
      <w:szCs w:val="18"/>
    </w:rPr>
  </w:style>
  <w:style w:type="paragraph" w:styleId="16">
    <w:name w:val="toc 2"/>
    <w:basedOn w:val="1"/>
    <w:next w:val="1"/>
    <w:autoRedefine/>
    <w:qFormat/>
    <w:uiPriority w:val="0"/>
    <w:pPr>
      <w:spacing w:line="360" w:lineRule="auto"/>
      <w:ind w:left="0" w:leftChars="0" w:firstLine="0" w:firstLineChars="0"/>
    </w:pPr>
  </w:style>
  <w:style w:type="paragraph" w:styleId="17">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8">
    <w:name w:val="Body Text First Indent 2"/>
    <w:basedOn w:val="1"/>
    <w:autoRedefine/>
    <w:qFormat/>
    <w:uiPriority w:val="0"/>
    <w:pPr>
      <w:ind w:left="420" w:leftChars="200" w:firstLine="210"/>
    </w:p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2">
    <w:name w:val="List Paragraph"/>
    <w:basedOn w:val="1"/>
    <w:autoRedefine/>
    <w:qFormat/>
    <w:uiPriority w:val="34"/>
    <w:pPr>
      <w:ind w:firstLine="420" w:firstLineChars="200"/>
    </w:pPr>
  </w:style>
  <w:style w:type="paragraph" w:customStyle="1" w:styleId="23">
    <w:name w:val="正文1"/>
    <w:basedOn w:val="1"/>
    <w:autoRedefine/>
    <w:qFormat/>
    <w:uiPriority w:val="0"/>
    <w:pPr>
      <w:spacing w:line="360" w:lineRule="auto"/>
      <w:ind w:firstLine="480" w:firstLineChars="200"/>
    </w:pPr>
    <w:rPr>
      <w:sz w:val="24"/>
    </w:rPr>
  </w:style>
  <w:style w:type="table" w:customStyle="1" w:styleId="24">
    <w:name w:val="Table Normal"/>
    <w:autoRedefine/>
    <w:semiHidden/>
    <w:unhideWhenUsed/>
    <w:qFormat/>
    <w:uiPriority w:val="0"/>
    <w:tblPr>
      <w:tblCellMar>
        <w:top w:w="0" w:type="dxa"/>
        <w:left w:w="0" w:type="dxa"/>
        <w:bottom w:w="0" w:type="dxa"/>
        <w:right w:w="0" w:type="dxa"/>
      </w:tblCellMar>
    </w:tblPr>
  </w:style>
  <w:style w:type="character" w:customStyle="1" w:styleId="25">
    <w:name w:val="标题 1 Char"/>
    <w:link w:val="3"/>
    <w:qFormat/>
    <w:uiPriority w:val="0"/>
    <w:rPr>
      <w:rFonts w:eastAsia="黑体" w:asciiTheme="minorAscii" w:hAnsiTheme="minorAscii"/>
      <w:b/>
      <w:kern w:val="44"/>
      <w:sz w:val="32"/>
    </w:rPr>
  </w:style>
  <w:style w:type="character" w:customStyle="1" w:styleId="26">
    <w:name w:val="标题 3 Char"/>
    <w:link w:val="7"/>
    <w:autoRedefine/>
    <w:qFormat/>
    <w:uiPriority w:val="0"/>
    <w:rPr>
      <w:rFonts w:eastAsia="仿宋" w:asciiTheme="minorAscii" w:hAnsiTheme="minorAscii"/>
      <w:b/>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2023-11-13T02:10:00Z</dcterms:created>
  <dc:creator>王小</dc:creator>
  <cp:lastModifiedBy>财正</cp:lastModifiedBy>
  <cp:lastPrinted>2023-11-13T03:01:00Z</cp:lastPrinted>
  <dcterms:modified xsi:type="dcterms:W3CDTF">2023-12-16T01:51:11Z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002B0FE53B3544D8AAABFB3A349F8750_13</vt:lpwstr>
  </property>
</Properties>
</file>