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pPr>
      <w:r>
        <w:rPr>
          <w:rFonts w:hint="eastAsia" w:ascii="宋体" w:hAnsi="宋体" w:eastAsia="宋体" w:cs="宋体"/>
          <w:color w:val="444444"/>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rFonts w:hint="eastAsia" w:eastAsia="宋体"/>
          <w:lang w:eastAsia="zh-CN"/>
        </w:rPr>
      </w:pPr>
      <w:r>
        <w:rPr>
          <w:rFonts w:hint="default" w:ascii="Times New Roman" w:hAnsi="Times New Roman" w:eastAsia="微软雅黑" w:cs="Times New Roman"/>
          <w:b/>
          <w:bCs/>
          <w:color w:val="444444"/>
          <w:sz w:val="28"/>
          <w:szCs w:val="28"/>
          <w:shd w:val="clear" w:fill="FFFFFF"/>
        </w:rPr>
        <w:t>2021</w:t>
      </w:r>
      <w:r>
        <w:rPr>
          <w:rFonts w:hint="eastAsia" w:ascii="宋体" w:hAnsi="宋体" w:eastAsia="宋体" w:cs="宋体"/>
          <w:b/>
          <w:bCs/>
          <w:color w:val="444444"/>
          <w:sz w:val="28"/>
          <w:szCs w:val="28"/>
          <w:shd w:val="clear" w:fill="FFFFFF"/>
        </w:rPr>
        <w:t>年度部门整体支出绩效评价报告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一、部门概况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（一）基本情况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rightChars="0"/>
        <w:jc w:val="left"/>
        <w:rPr>
          <w:rFonts w:hint="eastAsia" w:ascii="宋体" w:hAnsi="宋体" w:eastAsia="宋体" w:cs="宋体"/>
          <w:i w:val="0"/>
          <w:iCs w:val="0"/>
          <w:caps w:val="0"/>
          <w:color w:val="1E1E1E"/>
          <w:spacing w:val="0"/>
          <w:sz w:val="24"/>
          <w:szCs w:val="24"/>
          <w:shd w:val="clear" w:fill="FFFFFF"/>
        </w:rPr>
      </w:pPr>
      <w:r>
        <w:rPr>
          <w:rFonts w:hint="eastAsia" w:ascii="宋体" w:hAnsi="宋体" w:eastAsia="宋体" w:cs="宋体"/>
          <w:i w:val="0"/>
          <w:iCs w:val="0"/>
          <w:caps w:val="0"/>
          <w:color w:val="1E1E1E"/>
          <w:spacing w:val="0"/>
          <w:sz w:val="24"/>
          <w:szCs w:val="24"/>
          <w:shd w:val="clear" w:fill="FFFFFF"/>
        </w:rPr>
        <w:t>邵阳市北塔区畜牧水产事务中心(以下简称区畜牧局)是区政府工作部门，为正科级，由区政府统一领导和管理。</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rightChars="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主要职能</w:t>
      </w:r>
    </w:p>
    <w:p>
      <w:pPr>
        <w:keepNext w:val="0"/>
        <w:keepLines w:val="0"/>
        <w:widowControl/>
        <w:suppressLineNumbers w:val="0"/>
        <w:shd w:val="clear" w:fill="FFFFFF"/>
        <w:spacing w:before="0" w:beforeAutospacing="1" w:after="0" w:afterAutospacing="1" w:line="480" w:lineRule="atLeast"/>
        <w:ind w:left="0" w:right="0" w:firstLine="480"/>
        <w:jc w:val="left"/>
        <w:rPr>
          <w:rFonts w:ascii="微软雅黑" w:hAnsi="微软雅黑" w:eastAsia="微软雅黑" w:cs="微软雅黑"/>
          <w:i w:val="0"/>
          <w:iCs w:val="0"/>
          <w:caps w:val="0"/>
          <w:color w:val="1E1E1E"/>
          <w:spacing w:val="0"/>
          <w:sz w:val="24"/>
          <w:szCs w:val="24"/>
        </w:rPr>
      </w:pPr>
      <w:r>
        <w:rPr>
          <w:rFonts w:hint="eastAsia" w:ascii="宋体" w:hAnsi="宋体" w:eastAsia="宋体" w:cs="宋体"/>
          <w:i w:val="0"/>
          <w:iCs w:val="0"/>
          <w:caps w:val="0"/>
          <w:color w:val="1E1E1E"/>
          <w:spacing w:val="0"/>
          <w:kern w:val="0"/>
          <w:sz w:val="24"/>
          <w:szCs w:val="24"/>
          <w:shd w:val="clear" w:fill="FFFFFF"/>
          <w:lang w:val="en-US" w:eastAsia="zh-CN" w:bidi="ar"/>
        </w:rPr>
        <w:t>（一）贯彻执行国家、省有关畜牧水产业的法律法规和方针政策，拟定全区畜牧水产业发展中长期规划、年度计划和政策措施并组织实施。</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i w:val="0"/>
          <w:iCs w:val="0"/>
          <w:caps w:val="0"/>
          <w:color w:val="1E1E1E"/>
          <w:spacing w:val="0"/>
          <w:sz w:val="24"/>
          <w:szCs w:val="24"/>
        </w:rPr>
      </w:pPr>
      <w:r>
        <w:rPr>
          <w:rFonts w:hint="eastAsia" w:ascii="宋体" w:hAnsi="宋体" w:eastAsia="宋体" w:cs="宋体"/>
          <w:i w:val="0"/>
          <w:iCs w:val="0"/>
          <w:caps w:val="0"/>
          <w:color w:val="1E1E1E"/>
          <w:spacing w:val="0"/>
          <w:kern w:val="0"/>
          <w:sz w:val="24"/>
          <w:szCs w:val="24"/>
          <w:shd w:val="clear" w:fill="FFFFFF"/>
          <w:lang w:val="en-US" w:eastAsia="zh-CN" w:bidi="ar"/>
        </w:rPr>
        <w:t>（二）拟订全区有关畜牧、水产、兽医、兽药、饲料等规范性文件；负责畜禽养殖、种畜禽、兽医、兽药、饲料和畜禽水产品质量安全等监督管理。</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i w:val="0"/>
          <w:iCs w:val="0"/>
          <w:caps w:val="0"/>
          <w:color w:val="1E1E1E"/>
          <w:spacing w:val="0"/>
          <w:sz w:val="24"/>
          <w:szCs w:val="24"/>
        </w:rPr>
      </w:pPr>
      <w:r>
        <w:rPr>
          <w:rFonts w:hint="eastAsia" w:ascii="宋体" w:hAnsi="宋体" w:eastAsia="宋体" w:cs="宋体"/>
          <w:i w:val="0"/>
          <w:iCs w:val="0"/>
          <w:caps w:val="0"/>
          <w:color w:val="1E1E1E"/>
          <w:spacing w:val="0"/>
          <w:kern w:val="0"/>
          <w:sz w:val="24"/>
          <w:szCs w:val="24"/>
          <w:shd w:val="clear" w:fill="FFFFFF"/>
          <w:lang w:val="en-US" w:eastAsia="zh-CN" w:bidi="ar"/>
        </w:rPr>
        <w:t>（三）指导全区畜牧水产业生产，引导畜牧水产业结构调整、区域布局和优质畜产品生产基地建设；指导畜牧水产业规模化养殖、标准化生产和产业化经营；负责区级种畜禽场的资格审查、审批和种畜禽质量监督管理工作；加强地方畜禽遗传资源的保护开发，推广畜禽水产新品种，培育、保护和发展畜产品品牌。</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i w:val="0"/>
          <w:iCs w:val="0"/>
          <w:caps w:val="0"/>
          <w:color w:val="1E1E1E"/>
          <w:spacing w:val="0"/>
          <w:sz w:val="24"/>
          <w:szCs w:val="24"/>
        </w:rPr>
      </w:pPr>
      <w:r>
        <w:rPr>
          <w:rFonts w:hint="eastAsia" w:ascii="宋体" w:hAnsi="宋体" w:eastAsia="宋体" w:cs="宋体"/>
          <w:i w:val="0"/>
          <w:iCs w:val="0"/>
          <w:caps w:val="0"/>
          <w:color w:val="1E1E1E"/>
          <w:spacing w:val="0"/>
          <w:kern w:val="0"/>
          <w:sz w:val="24"/>
          <w:szCs w:val="24"/>
          <w:shd w:val="clear" w:fill="FFFFFF"/>
          <w:lang w:val="en-US" w:eastAsia="zh-CN" w:bidi="ar"/>
        </w:rPr>
        <w:t>（四）负责全区动物防疫检疫工作。组织制定并实施全区动物疫病防治规划和动物防疫检疫基础设施建设规划，负责种畜禽场动物防疫条件审核、管理和发证工作；负责突发重大动物疫情应急管理工作。</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i w:val="0"/>
          <w:iCs w:val="0"/>
          <w:caps w:val="0"/>
          <w:color w:val="1E1E1E"/>
          <w:spacing w:val="0"/>
          <w:sz w:val="24"/>
          <w:szCs w:val="24"/>
        </w:rPr>
      </w:pPr>
      <w:r>
        <w:rPr>
          <w:rFonts w:hint="eastAsia" w:ascii="宋体" w:hAnsi="宋体" w:eastAsia="宋体" w:cs="宋体"/>
          <w:i w:val="0"/>
          <w:iCs w:val="0"/>
          <w:caps w:val="0"/>
          <w:color w:val="1E1E1E"/>
          <w:spacing w:val="0"/>
          <w:kern w:val="0"/>
          <w:sz w:val="24"/>
          <w:szCs w:val="24"/>
          <w:shd w:val="clear" w:fill="FFFFFF"/>
          <w:lang w:val="en-US" w:eastAsia="zh-CN" w:bidi="ar"/>
        </w:rPr>
        <w:t>（五）负责兽医医政、兽药药政药检、兽医卫生的监督管理。</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i w:val="0"/>
          <w:iCs w:val="0"/>
          <w:caps w:val="0"/>
          <w:color w:val="1E1E1E"/>
          <w:spacing w:val="0"/>
          <w:sz w:val="24"/>
          <w:szCs w:val="24"/>
        </w:rPr>
      </w:pPr>
      <w:r>
        <w:rPr>
          <w:rFonts w:hint="eastAsia" w:ascii="宋体" w:hAnsi="宋体" w:eastAsia="宋体" w:cs="宋体"/>
          <w:i w:val="0"/>
          <w:iCs w:val="0"/>
          <w:caps w:val="0"/>
          <w:color w:val="1E1E1E"/>
          <w:spacing w:val="0"/>
          <w:kern w:val="0"/>
          <w:sz w:val="24"/>
          <w:szCs w:val="24"/>
          <w:shd w:val="clear" w:fill="FFFFFF"/>
          <w:lang w:val="en-US" w:eastAsia="zh-CN" w:bidi="ar"/>
        </w:rPr>
        <w:t>（六）承担生鲜乳生产环节、收购环节的食品安全责任。指导生鲜乳收购站布局规划和建设，负责奶畜饲养以及生鲜乳生产环节、收购环节的监督管理。</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i w:val="0"/>
          <w:iCs w:val="0"/>
          <w:caps w:val="0"/>
          <w:color w:val="1E1E1E"/>
          <w:spacing w:val="0"/>
          <w:sz w:val="24"/>
          <w:szCs w:val="24"/>
        </w:rPr>
      </w:pPr>
      <w:r>
        <w:rPr>
          <w:rFonts w:hint="eastAsia" w:ascii="宋体" w:hAnsi="宋体" w:eastAsia="宋体" w:cs="宋体"/>
          <w:i w:val="0"/>
          <w:iCs w:val="0"/>
          <w:caps w:val="0"/>
          <w:color w:val="1E1E1E"/>
          <w:spacing w:val="0"/>
          <w:kern w:val="0"/>
          <w:sz w:val="24"/>
          <w:szCs w:val="24"/>
          <w:shd w:val="clear" w:fill="FFFFFF"/>
          <w:lang w:val="en-US" w:eastAsia="zh-CN" w:bidi="ar"/>
        </w:rPr>
        <w:t>（七）承担畜牧业的监测分析、预警和有关统计工作，发布畜牧业经济信息。</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i w:val="0"/>
          <w:iCs w:val="0"/>
          <w:caps w:val="0"/>
          <w:color w:val="1E1E1E"/>
          <w:spacing w:val="0"/>
          <w:sz w:val="24"/>
          <w:szCs w:val="24"/>
        </w:rPr>
      </w:pPr>
      <w:r>
        <w:rPr>
          <w:rFonts w:hint="eastAsia" w:ascii="宋体" w:hAnsi="宋体" w:eastAsia="宋体" w:cs="宋体"/>
          <w:i w:val="0"/>
          <w:iCs w:val="0"/>
          <w:caps w:val="0"/>
          <w:color w:val="1E1E1E"/>
          <w:spacing w:val="0"/>
          <w:kern w:val="0"/>
          <w:sz w:val="24"/>
          <w:szCs w:val="24"/>
          <w:shd w:val="clear" w:fill="FFFFFF"/>
          <w:lang w:val="en-US" w:eastAsia="zh-CN" w:bidi="ar"/>
        </w:rPr>
        <w:t>（八）组织制定全区畜牧水产业科技、教育、培训、技术推广规划，组织实施畜牧业技术研究、畜牧业科研成果转化和技术推广，负责全区畜牧兽医科技推广队伍建设；负责畜牧业服务体系的建设管理；指导畜牧业环境保护工作。</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i w:val="0"/>
          <w:iCs w:val="0"/>
          <w:caps w:val="0"/>
          <w:color w:val="1E1E1E"/>
          <w:spacing w:val="0"/>
          <w:sz w:val="24"/>
          <w:szCs w:val="24"/>
        </w:rPr>
      </w:pPr>
      <w:r>
        <w:rPr>
          <w:rFonts w:hint="eastAsia" w:ascii="宋体" w:hAnsi="宋体" w:eastAsia="宋体" w:cs="宋体"/>
          <w:i w:val="0"/>
          <w:iCs w:val="0"/>
          <w:caps w:val="0"/>
          <w:color w:val="1E1E1E"/>
          <w:spacing w:val="0"/>
          <w:kern w:val="0"/>
          <w:sz w:val="24"/>
          <w:szCs w:val="24"/>
          <w:shd w:val="clear" w:fill="FFFFFF"/>
          <w:lang w:val="en-US" w:eastAsia="zh-CN" w:bidi="ar"/>
        </w:rPr>
        <w:t>（九）负责全区屠宰行业信息统计，承担区政府委托的区农林水局的畜禽屠宰环节的产品质量安全监管及技术鉴定工作。</w:t>
      </w:r>
    </w:p>
    <w:p>
      <w:pPr>
        <w:keepNext w:val="0"/>
        <w:keepLines w:val="0"/>
        <w:widowControl/>
        <w:suppressLineNumbers w:val="0"/>
        <w:shd w:val="clear" w:fill="FFFFFF"/>
        <w:spacing w:before="0" w:beforeAutospacing="1" w:after="0" w:afterAutospacing="1" w:line="480" w:lineRule="atLeast"/>
        <w:ind w:left="0" w:right="0" w:firstLine="480"/>
        <w:jc w:val="left"/>
        <w:rPr>
          <w:rFonts w:hint="eastAsia" w:ascii="微软雅黑" w:hAnsi="微软雅黑" w:eastAsia="微软雅黑" w:cs="微软雅黑"/>
          <w:i w:val="0"/>
          <w:iCs w:val="0"/>
          <w:caps w:val="0"/>
          <w:color w:val="1E1E1E"/>
          <w:spacing w:val="0"/>
          <w:sz w:val="24"/>
          <w:szCs w:val="24"/>
        </w:rPr>
      </w:pPr>
      <w:r>
        <w:rPr>
          <w:rFonts w:hint="eastAsia" w:ascii="宋体" w:hAnsi="宋体" w:eastAsia="宋体" w:cs="宋体"/>
          <w:i w:val="0"/>
          <w:iCs w:val="0"/>
          <w:caps w:val="0"/>
          <w:color w:val="1E1E1E"/>
          <w:spacing w:val="0"/>
          <w:kern w:val="0"/>
          <w:sz w:val="24"/>
          <w:szCs w:val="24"/>
          <w:shd w:val="clear" w:fill="FFFFFF"/>
          <w:lang w:val="en-US" w:eastAsia="zh-CN" w:bidi="ar"/>
        </w:rPr>
        <w:t>（十）承办区人民政府交办的其他事项。</w:t>
      </w:r>
    </w:p>
    <w:p>
      <w:pPr>
        <w:keepNext w:val="0"/>
        <w:keepLines w:val="0"/>
        <w:widowControl w:val="0"/>
        <w:numPr>
          <w:ilvl w:val="0"/>
          <w:numId w:val="1"/>
        </w:numPr>
        <w:suppressLineNumbers w:val="0"/>
        <w:spacing w:before="0" w:beforeAutospacing="1" w:after="0" w:afterAutospacing="1" w:line="480" w:lineRule="exact"/>
        <w:ind w:left="0" w:leftChars="0" w:right="0" w:firstLine="0" w:firstLineChars="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机构情况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Chars="0" w:right="0" w:rightChars="0" w:firstLine="240" w:firstLineChars="100"/>
        <w:jc w:val="left"/>
        <w:rPr>
          <w:rFonts w:hint="eastAsia" w:ascii="宋体" w:hAnsi="宋体" w:eastAsia="宋体" w:cs="宋体"/>
          <w:i w:val="0"/>
          <w:iCs w:val="0"/>
          <w:caps w:val="0"/>
          <w:color w:val="1E1E1E"/>
          <w:spacing w:val="0"/>
          <w:sz w:val="24"/>
          <w:szCs w:val="24"/>
          <w:shd w:val="clear" w:fill="FFFFFF"/>
        </w:rPr>
      </w:pPr>
      <w:r>
        <w:rPr>
          <w:rFonts w:hint="eastAsia" w:ascii="宋体" w:hAnsi="宋体" w:eastAsia="宋体" w:cs="宋体"/>
          <w:i w:val="0"/>
          <w:iCs w:val="0"/>
          <w:caps w:val="0"/>
          <w:color w:val="1E1E1E"/>
          <w:spacing w:val="0"/>
          <w:sz w:val="24"/>
          <w:szCs w:val="24"/>
          <w:shd w:val="clear" w:fill="FFFFFF"/>
        </w:rPr>
        <w:t>邵阳市北塔区畜牧水产事务中心单位内设机构包括：包含区畜牧水产事务中心本级以及动物疾病预防控制中心、陈家桥动物防疫站、城区中心动物防疫站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Chars="0" w:right="0" w:rightChars="0" w:firstLine="240" w:firstLineChars="100"/>
        <w:jc w:val="left"/>
        <w:rPr>
          <w:rFonts w:hint="eastAsia" w:ascii="宋体" w:hAnsi="宋体" w:eastAsia="宋体" w:cs="宋体"/>
          <w:color w:val="444444"/>
          <w:kern w:val="0"/>
          <w:sz w:val="28"/>
          <w:szCs w:val="28"/>
          <w:shd w:val="clear" w:fill="FFFFFF"/>
        </w:rPr>
      </w:pPr>
      <w:r>
        <w:rPr>
          <w:rFonts w:hint="eastAsia" w:ascii="宋体" w:hAnsi="宋体" w:eastAsia="宋体" w:cs="宋体"/>
          <w:i w:val="0"/>
          <w:iCs w:val="0"/>
          <w:caps w:val="0"/>
          <w:color w:val="1E1E1E"/>
          <w:spacing w:val="0"/>
          <w:sz w:val="24"/>
          <w:szCs w:val="24"/>
          <w:shd w:val="clear" w:fill="FFFFFF"/>
          <w:lang w:val="en-US" w:eastAsia="zh-CN"/>
        </w:rPr>
        <w:t>2.</w:t>
      </w:r>
      <w:r>
        <w:rPr>
          <w:rFonts w:hint="eastAsia" w:ascii="宋体" w:hAnsi="宋体" w:eastAsia="宋体" w:cs="宋体"/>
          <w:color w:val="444444"/>
          <w:kern w:val="0"/>
          <w:sz w:val="28"/>
          <w:szCs w:val="28"/>
          <w:shd w:val="clear" w:fill="FFFFFF"/>
        </w:rPr>
        <w:t>人员情况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i w:val="0"/>
          <w:iCs w:val="0"/>
          <w:caps w:val="0"/>
          <w:color w:val="1E1E1E"/>
          <w:spacing w:val="0"/>
          <w:sz w:val="24"/>
          <w:szCs w:val="24"/>
          <w:shd w:val="clear" w:fill="FFFFFF"/>
        </w:rPr>
      </w:pPr>
      <w:r>
        <w:rPr>
          <w:rFonts w:hint="eastAsia" w:ascii="宋体" w:hAnsi="宋体" w:eastAsia="宋体" w:cs="宋体"/>
          <w:i w:val="0"/>
          <w:iCs w:val="0"/>
          <w:caps w:val="0"/>
          <w:color w:val="1E1E1E"/>
          <w:spacing w:val="0"/>
          <w:sz w:val="24"/>
          <w:szCs w:val="24"/>
          <w:shd w:val="clear" w:fill="FFFFFF"/>
        </w:rPr>
        <w:t>邵阳市北塔区畜牧水产事务中心编制人数</w:t>
      </w:r>
      <w:r>
        <w:rPr>
          <w:rFonts w:hint="eastAsia" w:ascii="宋体" w:hAnsi="宋体" w:eastAsia="宋体" w:cs="宋体"/>
          <w:i w:val="0"/>
          <w:iCs w:val="0"/>
          <w:caps w:val="0"/>
          <w:color w:val="1E1E1E"/>
          <w:spacing w:val="0"/>
          <w:sz w:val="24"/>
          <w:szCs w:val="24"/>
          <w:shd w:val="clear" w:fill="FFFFFF"/>
          <w:lang w:val="en-US" w:eastAsia="zh-CN"/>
        </w:rPr>
        <w:t>13</w:t>
      </w:r>
      <w:r>
        <w:rPr>
          <w:rFonts w:hint="eastAsia" w:ascii="宋体" w:hAnsi="宋体" w:eastAsia="宋体" w:cs="宋体"/>
          <w:i w:val="0"/>
          <w:iCs w:val="0"/>
          <w:caps w:val="0"/>
          <w:color w:val="1E1E1E"/>
          <w:spacing w:val="0"/>
          <w:sz w:val="24"/>
          <w:szCs w:val="24"/>
          <w:shd w:val="clear" w:fill="FFFFFF"/>
        </w:rPr>
        <w:t>人，实际人数</w:t>
      </w:r>
      <w:r>
        <w:rPr>
          <w:rFonts w:hint="eastAsia" w:ascii="宋体" w:hAnsi="宋体" w:eastAsia="宋体" w:cs="宋体"/>
          <w:i w:val="0"/>
          <w:iCs w:val="0"/>
          <w:caps w:val="0"/>
          <w:color w:val="1E1E1E"/>
          <w:spacing w:val="0"/>
          <w:sz w:val="24"/>
          <w:szCs w:val="24"/>
          <w:shd w:val="clear" w:fill="FFFFFF"/>
          <w:lang w:val="en-US" w:eastAsia="zh-CN"/>
        </w:rPr>
        <w:t>32</w:t>
      </w:r>
      <w:r>
        <w:rPr>
          <w:rFonts w:hint="eastAsia" w:ascii="宋体" w:hAnsi="宋体" w:eastAsia="宋体" w:cs="宋体"/>
          <w:i w:val="0"/>
          <w:iCs w:val="0"/>
          <w:caps w:val="0"/>
          <w:color w:val="1E1E1E"/>
          <w:spacing w:val="0"/>
          <w:sz w:val="24"/>
          <w:szCs w:val="24"/>
          <w:shd w:val="clear" w:fill="FFFFFF"/>
        </w:rPr>
        <w:t>人，其中在职人数</w:t>
      </w:r>
      <w:r>
        <w:rPr>
          <w:rFonts w:hint="eastAsia" w:ascii="宋体" w:hAnsi="宋体" w:eastAsia="宋体" w:cs="宋体"/>
          <w:i w:val="0"/>
          <w:iCs w:val="0"/>
          <w:caps w:val="0"/>
          <w:color w:val="1E1E1E"/>
          <w:spacing w:val="0"/>
          <w:sz w:val="24"/>
          <w:szCs w:val="24"/>
          <w:shd w:val="clear" w:fill="FFFFFF"/>
          <w:lang w:val="en-US" w:eastAsia="zh-CN"/>
        </w:rPr>
        <w:t>11</w:t>
      </w:r>
      <w:r>
        <w:rPr>
          <w:rFonts w:hint="eastAsia" w:ascii="宋体" w:hAnsi="宋体" w:eastAsia="宋体" w:cs="宋体"/>
          <w:i w:val="0"/>
          <w:iCs w:val="0"/>
          <w:caps w:val="0"/>
          <w:color w:val="1E1E1E"/>
          <w:spacing w:val="0"/>
          <w:sz w:val="24"/>
          <w:szCs w:val="24"/>
          <w:shd w:val="clear" w:fill="FFFFFF"/>
        </w:rPr>
        <w:t>人，离退休21人，遗属补助人数</w:t>
      </w:r>
      <w:r>
        <w:rPr>
          <w:rFonts w:hint="eastAsia" w:ascii="宋体" w:hAnsi="宋体" w:eastAsia="宋体" w:cs="宋体"/>
          <w:i w:val="0"/>
          <w:iCs w:val="0"/>
          <w:caps w:val="0"/>
          <w:color w:val="1E1E1E"/>
          <w:spacing w:val="0"/>
          <w:sz w:val="24"/>
          <w:szCs w:val="24"/>
          <w:shd w:val="clear" w:fill="FFFFFF"/>
          <w:lang w:val="en-US" w:eastAsia="zh-CN"/>
        </w:rPr>
        <w:t>0</w:t>
      </w:r>
      <w:r>
        <w:rPr>
          <w:rFonts w:hint="eastAsia" w:ascii="宋体" w:hAnsi="宋体" w:eastAsia="宋体" w:cs="宋体"/>
          <w:i w:val="0"/>
          <w:iCs w:val="0"/>
          <w:caps w:val="0"/>
          <w:color w:val="1E1E1E"/>
          <w:spacing w:val="0"/>
          <w:sz w:val="24"/>
          <w:szCs w:val="24"/>
          <w:shd w:val="clear" w:fill="FFFFFF"/>
        </w:rPr>
        <w:t>人，小车编制数0台，无房屋。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二、部门整体支出管理及使用情况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（一）基本支出</w:t>
      </w:r>
      <w:bookmarkStart w:id="2" w:name="_GoBack"/>
      <w:bookmarkEnd w:id="2"/>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基本支出系保障我局机构正常运转、完成日常工作任务而发生的人员支出和公用支出，包括用于在职和离退休人员基本工资、津贴补贴等人员经费以及办公费、印刷费、水电费、办公设备购置等日常公用经费。2021年我局基本支出</w:t>
      </w:r>
      <w:r>
        <w:rPr>
          <w:rFonts w:hint="eastAsia" w:ascii="宋体" w:hAnsi="宋体" w:eastAsia="宋体" w:cs="宋体"/>
          <w:color w:val="444444"/>
          <w:kern w:val="0"/>
          <w:sz w:val="28"/>
          <w:szCs w:val="28"/>
          <w:shd w:val="clear" w:fill="FFFFFF"/>
          <w:lang w:val="en-US" w:eastAsia="zh-CN"/>
        </w:rPr>
        <w:t>318.13</w:t>
      </w:r>
      <w:r>
        <w:rPr>
          <w:rFonts w:hint="eastAsia" w:ascii="宋体" w:hAnsi="宋体" w:eastAsia="宋体" w:cs="宋体"/>
          <w:color w:val="444444"/>
          <w:kern w:val="0"/>
          <w:sz w:val="28"/>
          <w:szCs w:val="28"/>
          <w:shd w:val="clear" w:fill="FFFFFF"/>
        </w:rPr>
        <w:t>万元，比上年同口径</w:t>
      </w:r>
      <w:r>
        <w:rPr>
          <w:rFonts w:hint="eastAsia" w:ascii="宋体" w:hAnsi="宋体" w:eastAsia="宋体" w:cs="宋体"/>
          <w:color w:val="444444"/>
          <w:kern w:val="0"/>
          <w:sz w:val="28"/>
          <w:szCs w:val="28"/>
          <w:shd w:val="clear" w:fill="FFFFFF"/>
          <w:lang w:eastAsia="zh-CN"/>
        </w:rPr>
        <w:t>减少</w:t>
      </w:r>
      <w:r>
        <w:rPr>
          <w:rFonts w:hint="eastAsia" w:ascii="宋体" w:hAnsi="宋体" w:eastAsia="宋体" w:cs="宋体"/>
          <w:color w:val="444444"/>
          <w:kern w:val="0"/>
          <w:sz w:val="28"/>
          <w:szCs w:val="28"/>
          <w:shd w:val="clear" w:fill="FFFFFF"/>
          <w:lang w:val="en-US" w:eastAsia="zh-CN"/>
        </w:rPr>
        <w:t>50.4</w:t>
      </w:r>
      <w:r>
        <w:rPr>
          <w:rFonts w:hint="eastAsia" w:ascii="宋体" w:hAnsi="宋体" w:eastAsia="宋体" w:cs="宋体"/>
          <w:color w:val="444444"/>
          <w:kern w:val="0"/>
          <w:sz w:val="28"/>
          <w:szCs w:val="28"/>
          <w:shd w:val="clear" w:fill="FFFFFF"/>
        </w:rPr>
        <w:t>万元，</w:t>
      </w:r>
      <w:r>
        <w:rPr>
          <w:rFonts w:hint="eastAsia" w:ascii="宋体" w:hAnsi="宋体" w:eastAsia="宋体" w:cs="宋体"/>
          <w:color w:val="444444"/>
          <w:kern w:val="0"/>
          <w:sz w:val="28"/>
          <w:szCs w:val="28"/>
          <w:shd w:val="clear" w:fill="FFFFFF"/>
          <w:lang w:eastAsia="zh-CN"/>
        </w:rPr>
        <w:t>减少</w:t>
      </w:r>
      <w:r>
        <w:rPr>
          <w:rFonts w:hint="eastAsia" w:ascii="宋体" w:hAnsi="宋体" w:eastAsia="宋体" w:cs="宋体"/>
          <w:color w:val="444444"/>
          <w:kern w:val="0"/>
          <w:sz w:val="28"/>
          <w:szCs w:val="28"/>
          <w:shd w:val="clear" w:fill="FFFFFF"/>
          <w:lang w:val="en-US" w:eastAsia="zh-CN"/>
        </w:rPr>
        <w:t>15.84</w:t>
      </w:r>
      <w:r>
        <w:rPr>
          <w:rFonts w:hint="eastAsia" w:ascii="宋体" w:hAnsi="宋体" w:eastAsia="宋体" w:cs="宋体"/>
          <w:color w:val="444444"/>
          <w:kern w:val="0"/>
          <w:sz w:val="28"/>
          <w:szCs w:val="28"/>
          <w:shd w:val="clear" w:fill="FFFFFF"/>
        </w:rPr>
        <w:t>%。其中：工资福利支出</w:t>
      </w:r>
      <w:r>
        <w:rPr>
          <w:rFonts w:hint="eastAsia" w:ascii="宋体" w:hAnsi="宋体" w:eastAsia="宋体" w:cs="宋体"/>
          <w:color w:val="444444"/>
          <w:kern w:val="0"/>
          <w:sz w:val="28"/>
          <w:szCs w:val="28"/>
          <w:shd w:val="clear" w:fill="FFFFFF"/>
          <w:lang w:val="en-US" w:eastAsia="zh-CN"/>
        </w:rPr>
        <w:t>225.28</w:t>
      </w:r>
      <w:r>
        <w:rPr>
          <w:rFonts w:hint="eastAsia" w:ascii="宋体" w:hAnsi="宋体" w:eastAsia="宋体" w:cs="宋体"/>
          <w:color w:val="444444"/>
          <w:kern w:val="0"/>
          <w:sz w:val="28"/>
          <w:szCs w:val="28"/>
          <w:shd w:val="clear" w:fill="FFFFFF"/>
        </w:rPr>
        <w:t>万元，商品和服务支出</w:t>
      </w:r>
      <w:r>
        <w:rPr>
          <w:rFonts w:hint="eastAsia" w:ascii="宋体" w:hAnsi="宋体" w:eastAsia="宋体" w:cs="宋体"/>
          <w:color w:val="444444"/>
          <w:kern w:val="0"/>
          <w:sz w:val="28"/>
          <w:szCs w:val="28"/>
          <w:shd w:val="clear" w:fill="FFFFFF"/>
          <w:lang w:val="en-US" w:eastAsia="zh-CN"/>
        </w:rPr>
        <w:t>92.14</w:t>
      </w:r>
      <w:r>
        <w:rPr>
          <w:rFonts w:hint="eastAsia" w:ascii="宋体" w:hAnsi="宋体" w:eastAsia="宋体" w:cs="宋体"/>
          <w:color w:val="444444"/>
          <w:kern w:val="0"/>
          <w:sz w:val="28"/>
          <w:szCs w:val="28"/>
          <w:shd w:val="clear" w:fill="FFFFFF"/>
        </w:rPr>
        <w:t>万元，对个人和家庭的补助</w:t>
      </w:r>
      <w:r>
        <w:rPr>
          <w:rFonts w:hint="eastAsia" w:ascii="宋体" w:hAnsi="宋体" w:eastAsia="宋体" w:cs="宋体"/>
          <w:color w:val="444444"/>
          <w:kern w:val="0"/>
          <w:sz w:val="28"/>
          <w:szCs w:val="28"/>
          <w:shd w:val="clear" w:fill="FFFFFF"/>
          <w:lang w:val="en-US" w:eastAsia="zh-CN"/>
        </w:rPr>
        <w:t>0.71</w:t>
      </w:r>
      <w:r>
        <w:rPr>
          <w:rFonts w:hint="eastAsia" w:ascii="宋体" w:hAnsi="宋体" w:eastAsia="宋体" w:cs="宋体"/>
          <w:color w:val="444444"/>
          <w:kern w:val="0"/>
          <w:sz w:val="28"/>
          <w:szCs w:val="28"/>
          <w:shd w:val="clear" w:fill="FFFFFF"/>
        </w:rPr>
        <w:t>万元，资本性支出</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eastAsia="宋体"/>
          <w:lang w:val="en-US" w:eastAsia="zh-CN"/>
        </w:rPr>
      </w:pPr>
      <w:r>
        <w:rPr>
          <w:rFonts w:hint="eastAsia" w:ascii="宋体" w:hAnsi="宋体" w:eastAsia="宋体" w:cs="宋体"/>
          <w:color w:val="444444"/>
          <w:kern w:val="0"/>
          <w:sz w:val="28"/>
          <w:szCs w:val="28"/>
          <w:shd w:val="clear" w:fill="FFFFFF"/>
        </w:rPr>
        <w:t>2021年“三公”经费实际开支总额</w:t>
      </w:r>
      <w:r>
        <w:rPr>
          <w:rFonts w:hint="eastAsia" w:ascii="宋体" w:hAnsi="宋体" w:eastAsia="宋体" w:cs="宋体"/>
          <w:color w:val="444444"/>
          <w:kern w:val="0"/>
          <w:sz w:val="28"/>
          <w:szCs w:val="28"/>
          <w:shd w:val="clear" w:fill="FFFFFF"/>
          <w:lang w:val="en-US" w:eastAsia="zh-CN"/>
        </w:rPr>
        <w:t>0.04</w:t>
      </w:r>
      <w:r>
        <w:rPr>
          <w:rFonts w:hint="eastAsia" w:ascii="宋体" w:hAnsi="宋体" w:eastAsia="宋体" w:cs="宋体"/>
          <w:color w:val="444444"/>
          <w:kern w:val="0"/>
          <w:sz w:val="28"/>
          <w:szCs w:val="28"/>
          <w:shd w:val="clear" w:fill="FFFFFF"/>
        </w:rPr>
        <w:t>万元。其中：因公出国（境）费支出本年未发生。公务用车购置及运行维护费实际开支</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万元（公务用车购置费未发生，公务用车运行维护费</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万元），公务用车保有量</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辆；公务接待费实际开支</w:t>
      </w:r>
      <w:r>
        <w:rPr>
          <w:rFonts w:hint="eastAsia" w:ascii="宋体" w:hAnsi="宋体" w:eastAsia="宋体" w:cs="宋体"/>
          <w:color w:val="444444"/>
          <w:kern w:val="0"/>
          <w:sz w:val="28"/>
          <w:szCs w:val="28"/>
          <w:shd w:val="clear" w:fill="FFFFFF"/>
          <w:lang w:val="en-US" w:eastAsia="zh-CN"/>
        </w:rPr>
        <w:t>0.04</w:t>
      </w:r>
      <w:r>
        <w:rPr>
          <w:rFonts w:hint="eastAsia" w:ascii="宋体" w:hAnsi="宋体" w:eastAsia="宋体" w:cs="宋体"/>
          <w:color w:val="444444"/>
          <w:kern w:val="0"/>
          <w:sz w:val="28"/>
          <w:szCs w:val="28"/>
          <w:shd w:val="clear" w:fill="FFFFFF"/>
        </w:rPr>
        <w:t>万元，公务接待</w:t>
      </w:r>
      <w:r>
        <w:rPr>
          <w:rFonts w:hint="eastAsia" w:ascii="宋体" w:hAnsi="宋体" w:eastAsia="宋体" w:cs="宋体"/>
          <w:color w:val="444444"/>
          <w:kern w:val="0"/>
          <w:sz w:val="28"/>
          <w:szCs w:val="28"/>
          <w:shd w:val="clear" w:fill="FFFFFF"/>
          <w:lang w:val="en-US" w:eastAsia="zh-CN"/>
        </w:rPr>
        <w:t>2</w:t>
      </w:r>
      <w:r>
        <w:rPr>
          <w:rFonts w:hint="eastAsia" w:ascii="宋体" w:hAnsi="宋体" w:eastAsia="宋体" w:cs="宋体"/>
          <w:color w:val="444444"/>
          <w:kern w:val="0"/>
          <w:sz w:val="28"/>
          <w:szCs w:val="28"/>
          <w:shd w:val="clear" w:fill="FFFFFF"/>
        </w:rPr>
        <w:t>批次</w:t>
      </w:r>
      <w:r>
        <w:rPr>
          <w:rFonts w:hint="eastAsia" w:ascii="宋体" w:hAnsi="宋体" w:eastAsia="宋体" w:cs="宋体"/>
          <w:color w:val="444444"/>
          <w:kern w:val="0"/>
          <w:sz w:val="28"/>
          <w:szCs w:val="28"/>
          <w:shd w:val="clear" w:fill="FFFFFF"/>
          <w:lang w:val="en-US" w:eastAsia="zh-CN"/>
        </w:rPr>
        <w:t>6</w:t>
      </w:r>
      <w:r>
        <w:rPr>
          <w:rFonts w:hint="eastAsia" w:ascii="宋体" w:hAnsi="宋体" w:eastAsia="宋体" w:cs="宋体"/>
          <w:color w:val="444444"/>
          <w:kern w:val="0"/>
          <w:sz w:val="28"/>
          <w:szCs w:val="28"/>
          <w:shd w:val="clear" w:fill="FFFFFF"/>
        </w:rPr>
        <w:t>人次。2021年“三公”经费实际开支</w:t>
      </w:r>
      <w:r>
        <w:rPr>
          <w:rFonts w:hint="eastAsia" w:ascii="宋体" w:hAnsi="宋体" w:eastAsia="宋体" w:cs="宋体"/>
          <w:color w:val="444444"/>
          <w:kern w:val="0"/>
          <w:sz w:val="28"/>
          <w:szCs w:val="28"/>
          <w:shd w:val="clear" w:fill="FFFFFF"/>
          <w:lang w:val="en-US" w:eastAsia="zh-CN"/>
        </w:rPr>
        <w:t>0.04万元。</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专项支出</w:t>
      </w:r>
    </w:p>
    <w:p>
      <w:pPr>
        <w:keepNext w:val="0"/>
        <w:keepLines w:val="0"/>
        <w:widowControl w:val="0"/>
        <w:suppressLineNumbers w:val="0"/>
        <w:spacing w:before="0" w:beforeAutospacing="1" w:after="0" w:afterAutospacing="1" w:line="480" w:lineRule="exact"/>
        <w:ind w:left="0" w:right="0" w:firstLine="480" w:firstLineChars="200"/>
        <w:jc w:val="left"/>
        <w:rPr>
          <w:rFonts w:hint="eastAsia" w:ascii="宋体" w:hAnsi="宋体" w:eastAsia="宋体" w:cs="宋体"/>
          <w:color w:val="444444"/>
          <w:kern w:val="0"/>
          <w:sz w:val="28"/>
          <w:szCs w:val="28"/>
          <w:shd w:val="clear" w:fill="FFFFFF"/>
        </w:rPr>
      </w:pPr>
      <w:r>
        <w:rPr>
          <w:rFonts w:hint="eastAsia" w:ascii="宋体" w:hAnsi="宋体" w:eastAsia="宋体" w:cs="宋体"/>
          <w:kern w:val="2"/>
          <w:sz w:val="24"/>
          <w:szCs w:val="24"/>
          <w:lang w:val="en-US" w:eastAsia="zh-CN" w:bidi="ar"/>
        </w:rPr>
        <w:t>2021年，项目支出126.45万元。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三、资产管理情况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eastAsia="宋体"/>
          <w:lang w:val="en-US" w:eastAsia="zh-CN"/>
        </w:rPr>
      </w:pPr>
      <w:r>
        <w:rPr>
          <w:rFonts w:hint="default" w:ascii="仿宋" w:hAnsi="仿宋" w:eastAsia="仿宋" w:cs="仿宋"/>
          <w:sz w:val="32"/>
          <w:szCs w:val="32"/>
          <w:lang w:val="en-US" w:eastAsia="zh-CN"/>
        </w:rPr>
        <w:t>我局资产管理由办公室负责，资产采购按程序实行报批采购，</w:t>
      </w:r>
      <w:r>
        <w:rPr>
          <w:rFonts w:hint="eastAsia" w:ascii="仿宋" w:hAnsi="仿宋" w:eastAsia="仿宋" w:cs="仿宋"/>
          <w:sz w:val="32"/>
          <w:szCs w:val="32"/>
          <w:lang w:val="en-US" w:eastAsia="zh-CN"/>
        </w:rPr>
        <w:t>统一在政采云平台下单，</w:t>
      </w:r>
      <w:r>
        <w:rPr>
          <w:rFonts w:hint="default" w:ascii="仿宋" w:hAnsi="仿宋" w:eastAsia="仿宋" w:cs="仿宋"/>
          <w:sz w:val="32"/>
          <w:szCs w:val="32"/>
          <w:lang w:val="en-US" w:eastAsia="zh-CN"/>
        </w:rPr>
        <w:t>采购后登记</w:t>
      </w:r>
      <w:r>
        <w:rPr>
          <w:rFonts w:hint="eastAsia" w:ascii="仿宋" w:hAnsi="仿宋" w:eastAsia="仿宋" w:cs="仿宋"/>
          <w:sz w:val="32"/>
          <w:szCs w:val="32"/>
          <w:lang w:val="en-US" w:eastAsia="zh-CN"/>
        </w:rPr>
        <w:t>入账，录入资产信息系统</w:t>
      </w:r>
      <w:r>
        <w:rPr>
          <w:rFonts w:hint="default" w:ascii="仿宋" w:hAnsi="仿宋" w:eastAsia="仿宋" w:cs="仿宋"/>
          <w:sz w:val="32"/>
          <w:szCs w:val="32"/>
          <w:lang w:val="en-US" w:eastAsia="zh-CN"/>
        </w:rPr>
        <w:t>，再派发到相关科室。</w:t>
      </w:r>
      <w:r>
        <w:rPr>
          <w:rFonts w:hint="eastAsia" w:ascii="仿宋" w:hAnsi="仿宋" w:eastAsia="仿宋" w:cs="仿宋"/>
          <w:sz w:val="32"/>
          <w:szCs w:val="32"/>
          <w:lang w:val="en-US" w:eastAsia="zh-CN"/>
        </w:rPr>
        <w:t>一是我局资产管理和使用坚持统一政策、统一领导、分级管理、责任到人、物尽其用的原则。</w:t>
      </w:r>
      <w:r>
        <w:rPr>
          <w:rFonts w:hint="default" w:ascii="仿宋" w:hAnsi="仿宋" w:eastAsia="仿宋" w:cs="仿宋"/>
          <w:sz w:val="32"/>
          <w:szCs w:val="32"/>
          <w:lang w:val="en-US" w:eastAsia="zh-CN"/>
        </w:rPr>
        <w:t>二是运用</w:t>
      </w:r>
      <w:r>
        <w:rPr>
          <w:rFonts w:hint="eastAsia" w:ascii="仿宋" w:hAnsi="仿宋" w:eastAsia="仿宋" w:cs="仿宋"/>
          <w:sz w:val="32"/>
          <w:szCs w:val="32"/>
          <w:lang w:val="en-US" w:eastAsia="zh-CN"/>
        </w:rPr>
        <w:t>资产</w:t>
      </w:r>
      <w:r>
        <w:rPr>
          <w:rFonts w:hint="default" w:ascii="仿宋" w:hAnsi="仿宋" w:eastAsia="仿宋" w:cs="仿宋"/>
          <w:sz w:val="32"/>
          <w:szCs w:val="32"/>
          <w:lang w:val="en-US" w:eastAsia="zh-CN"/>
        </w:rPr>
        <w:t>信息管理系统加强资产管理。</w:t>
      </w:r>
      <w:r>
        <w:rPr>
          <w:rFonts w:hint="eastAsia" w:ascii="仿宋" w:hAnsi="仿宋" w:eastAsia="仿宋" w:cs="仿宋"/>
          <w:sz w:val="32"/>
          <w:szCs w:val="32"/>
          <w:lang w:val="en-US" w:eastAsia="zh-CN"/>
        </w:rPr>
        <w:t>对</w:t>
      </w:r>
      <w:r>
        <w:rPr>
          <w:rFonts w:hint="default" w:ascii="仿宋" w:hAnsi="仿宋" w:eastAsia="仿宋" w:cs="仿宋"/>
          <w:sz w:val="32"/>
          <w:szCs w:val="32"/>
          <w:lang w:val="en-US" w:eastAsia="zh-CN"/>
        </w:rPr>
        <w:t>固定资产分别按使用部门、存放地点和</w:t>
      </w:r>
      <w:r>
        <w:rPr>
          <w:rFonts w:hint="eastAsia" w:ascii="仿宋" w:hAnsi="仿宋" w:eastAsia="仿宋" w:cs="仿宋"/>
          <w:sz w:val="32"/>
          <w:szCs w:val="32"/>
          <w:lang w:val="en-US" w:eastAsia="zh-CN"/>
        </w:rPr>
        <w:t>使用</w:t>
      </w:r>
      <w:r>
        <w:rPr>
          <w:rFonts w:hint="default" w:ascii="仿宋" w:hAnsi="仿宋" w:eastAsia="仿宋" w:cs="仿宋"/>
          <w:sz w:val="32"/>
          <w:szCs w:val="32"/>
          <w:lang w:val="en-US" w:eastAsia="zh-CN"/>
        </w:rPr>
        <w:t>人顺序编排编码排序，统一录入“一物一条码”信息管理系统，分部门打印出条形码，发放到各部门按要求统一粘贴到固定资产上，并指定专人负责管理。三是每年组织一次固定资产资产清查工作，使固定资产检查</w:t>
      </w:r>
      <w:r>
        <w:rPr>
          <w:rFonts w:hint="eastAsia" w:ascii="仿宋" w:hAnsi="仿宋" w:eastAsia="仿宋" w:cs="仿宋"/>
          <w:sz w:val="32"/>
          <w:szCs w:val="32"/>
          <w:lang w:val="en-US" w:eastAsia="zh-CN"/>
        </w:rPr>
        <w:t>常态</w:t>
      </w:r>
      <w:r>
        <w:rPr>
          <w:rFonts w:hint="default" w:ascii="仿宋" w:hAnsi="仿宋" w:eastAsia="仿宋" w:cs="仿宋"/>
          <w:sz w:val="32"/>
          <w:szCs w:val="32"/>
          <w:lang w:val="en-US" w:eastAsia="zh-CN"/>
        </w:rPr>
        <w:t>化，确保账、卡、实相符。四是根据《湖南省财政厅关于做好行政事业性国有资产月报试编工作的通知》文件要求，每月及时通过财政部统一报表系统上报资产月报电子数据</w:t>
      </w:r>
      <w:r>
        <w:rPr>
          <w:rFonts w:hint="eastAsia" w:ascii="仿宋" w:hAnsi="仿宋" w:eastAsia="仿宋" w:cs="仿宋"/>
          <w:sz w:val="32"/>
          <w:szCs w:val="32"/>
          <w:lang w:val="en-US" w:eastAsia="zh-CN"/>
        </w:rPr>
        <w:t>，每年编制一次固定资产年报。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截至2021年12月31日，</w:t>
      </w:r>
      <w:r>
        <w:rPr>
          <w:rFonts w:hint="eastAsia" w:ascii="仿宋" w:hAnsi="仿宋" w:eastAsia="仿宋" w:cs="仿宋"/>
          <w:sz w:val="32"/>
          <w:szCs w:val="32"/>
          <w:lang w:val="en-US" w:eastAsia="zh-CN"/>
        </w:rPr>
        <w:t>邵</w:t>
      </w:r>
      <w:r>
        <w:rPr>
          <w:rFonts w:hint="eastAsia" w:ascii="宋体" w:hAnsi="宋体" w:eastAsia="宋体" w:cs="宋体"/>
          <w:color w:val="444444"/>
          <w:kern w:val="0"/>
          <w:sz w:val="28"/>
          <w:szCs w:val="28"/>
          <w:shd w:val="clear" w:fill="FFFFFF"/>
          <w:lang w:val="en-US" w:eastAsia="zh-CN"/>
        </w:rPr>
        <w:t>阳市北塔区畜牧水产事务中心</w:t>
      </w:r>
      <w:r>
        <w:rPr>
          <w:rFonts w:hint="eastAsia" w:ascii="宋体" w:hAnsi="宋体" w:eastAsia="宋体" w:cs="宋体"/>
          <w:color w:val="444444"/>
          <w:kern w:val="0"/>
          <w:sz w:val="28"/>
          <w:szCs w:val="28"/>
          <w:shd w:val="clear" w:fill="FFFFFF"/>
        </w:rPr>
        <w:t>资产总额为</w:t>
      </w:r>
      <w:r>
        <w:rPr>
          <w:rFonts w:hint="eastAsia" w:ascii="宋体" w:hAnsi="宋体" w:eastAsia="宋体" w:cs="宋体"/>
          <w:color w:val="444444"/>
          <w:kern w:val="0"/>
          <w:sz w:val="28"/>
          <w:szCs w:val="28"/>
          <w:shd w:val="clear" w:fill="FFFFFF"/>
          <w:lang w:val="en-US" w:eastAsia="zh-CN"/>
        </w:rPr>
        <w:t>75.06</w:t>
      </w:r>
      <w:r>
        <w:rPr>
          <w:rFonts w:hint="eastAsia" w:ascii="宋体" w:hAnsi="宋体" w:eastAsia="宋体" w:cs="宋体"/>
          <w:color w:val="444444"/>
          <w:kern w:val="0"/>
          <w:sz w:val="28"/>
          <w:szCs w:val="28"/>
          <w:shd w:val="clear" w:fill="FFFFFF"/>
        </w:rPr>
        <w:t>万元，主要由以下部分构成：流动资产</w:t>
      </w:r>
      <w:r>
        <w:rPr>
          <w:rFonts w:hint="eastAsia" w:ascii="宋体" w:hAnsi="宋体" w:eastAsia="宋体" w:cs="宋体"/>
          <w:color w:val="444444"/>
          <w:kern w:val="0"/>
          <w:sz w:val="28"/>
          <w:szCs w:val="28"/>
          <w:shd w:val="clear" w:fill="FFFFFF"/>
          <w:lang w:val="en-US" w:eastAsia="zh-CN"/>
        </w:rPr>
        <w:t>72.38</w:t>
      </w:r>
      <w:r>
        <w:rPr>
          <w:rFonts w:hint="eastAsia" w:ascii="宋体" w:hAnsi="宋体" w:eastAsia="宋体" w:cs="宋体"/>
          <w:color w:val="444444"/>
          <w:kern w:val="0"/>
          <w:sz w:val="28"/>
          <w:szCs w:val="28"/>
          <w:shd w:val="clear" w:fill="FFFFFF"/>
        </w:rPr>
        <w:t>万元,占资产总额的</w:t>
      </w:r>
      <w:r>
        <w:rPr>
          <w:rFonts w:hint="eastAsia" w:ascii="宋体" w:hAnsi="宋体" w:eastAsia="宋体" w:cs="宋体"/>
          <w:color w:val="444444"/>
          <w:kern w:val="0"/>
          <w:sz w:val="28"/>
          <w:szCs w:val="28"/>
          <w:shd w:val="clear" w:fill="FFFFFF"/>
          <w:lang w:val="en-US" w:eastAsia="zh-CN"/>
        </w:rPr>
        <w:t>96.43</w:t>
      </w:r>
      <w:r>
        <w:rPr>
          <w:rFonts w:hint="eastAsia" w:ascii="宋体" w:hAnsi="宋体" w:eastAsia="宋体" w:cs="宋体"/>
          <w:color w:val="444444"/>
          <w:kern w:val="0"/>
          <w:sz w:val="28"/>
          <w:szCs w:val="28"/>
          <w:shd w:val="clear" w:fill="FFFFFF"/>
        </w:rPr>
        <w:t>%,主要为</w:t>
      </w:r>
      <w:r>
        <w:rPr>
          <w:rFonts w:hint="eastAsia" w:ascii="宋体" w:hAnsi="宋体" w:eastAsia="宋体" w:cs="宋体"/>
          <w:color w:val="444444"/>
          <w:kern w:val="0"/>
          <w:sz w:val="28"/>
          <w:szCs w:val="28"/>
          <w:shd w:val="clear" w:fill="FFFFFF"/>
          <w:lang w:eastAsia="zh-CN"/>
        </w:rPr>
        <w:t>货币资产，其他应收款。</w:t>
      </w:r>
      <w:r>
        <w:rPr>
          <w:rFonts w:hint="eastAsia" w:ascii="宋体" w:hAnsi="宋体" w:eastAsia="宋体" w:cs="宋体"/>
          <w:color w:val="444444"/>
          <w:kern w:val="0"/>
          <w:sz w:val="28"/>
          <w:szCs w:val="28"/>
          <w:shd w:val="clear" w:fill="FFFFFF"/>
        </w:rPr>
        <w:t>固定资产</w:t>
      </w:r>
      <w:r>
        <w:rPr>
          <w:rFonts w:hint="eastAsia" w:ascii="宋体" w:hAnsi="宋体" w:eastAsia="宋体" w:cs="宋体"/>
          <w:color w:val="444444"/>
          <w:kern w:val="0"/>
          <w:sz w:val="28"/>
          <w:szCs w:val="28"/>
          <w:shd w:val="clear" w:fill="FFFFFF"/>
          <w:lang w:val="en-US" w:eastAsia="zh-CN"/>
        </w:rPr>
        <w:t>2.68</w:t>
      </w:r>
      <w:r>
        <w:rPr>
          <w:rFonts w:hint="eastAsia" w:ascii="宋体" w:hAnsi="宋体" w:eastAsia="宋体" w:cs="宋体"/>
          <w:color w:val="444444"/>
          <w:kern w:val="0"/>
          <w:sz w:val="28"/>
          <w:szCs w:val="28"/>
          <w:shd w:val="clear" w:fill="FFFFFF"/>
        </w:rPr>
        <w:t>万元,占资产总额的</w:t>
      </w:r>
      <w:r>
        <w:rPr>
          <w:rFonts w:hint="eastAsia" w:ascii="宋体" w:hAnsi="宋体" w:eastAsia="宋体" w:cs="宋体"/>
          <w:color w:val="444444"/>
          <w:kern w:val="0"/>
          <w:sz w:val="28"/>
          <w:szCs w:val="28"/>
          <w:shd w:val="clear" w:fill="FFFFFF"/>
          <w:lang w:val="en-US" w:eastAsia="zh-CN"/>
        </w:rPr>
        <w:t>3.57</w:t>
      </w:r>
      <w:r>
        <w:rPr>
          <w:rFonts w:hint="eastAsia" w:ascii="宋体" w:hAnsi="宋体" w:eastAsia="宋体" w:cs="宋体"/>
          <w:color w:val="444444"/>
          <w:kern w:val="0"/>
          <w:sz w:val="28"/>
          <w:szCs w:val="28"/>
          <w:shd w:val="clear" w:fill="FFFFFF"/>
        </w:rPr>
        <w:t>%，主要包括办公设备等。</w:t>
      </w:r>
      <w:r>
        <w:rPr>
          <w:rFonts w:hint="eastAsia" w:ascii="微软雅黑" w:hAnsi="微软雅黑" w:eastAsia="微软雅黑" w:cs="微软雅黑"/>
          <w:color w:val="444444"/>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四、部门整体支出绩效情况</w:t>
      </w:r>
    </w:p>
    <w:p>
      <w:pPr>
        <w:keepNext w:val="0"/>
        <w:keepLines w:val="0"/>
        <w:widowControl w:val="0"/>
        <w:suppressLineNumbers w:val="0"/>
        <w:spacing w:before="0" w:beforeAutospacing="1" w:after="0" w:afterAutospacing="1" w:line="480" w:lineRule="exact"/>
        <w:ind w:left="0" w:right="0" w:firstLine="482" w:firstLineChars="200"/>
        <w:jc w:val="left"/>
      </w:pPr>
      <w:r>
        <w:rPr>
          <w:rFonts w:hint="eastAsia" w:ascii="宋体" w:hAnsi="宋体" w:eastAsia="宋体" w:cs="宋体"/>
          <w:b/>
          <w:bCs/>
          <w:kern w:val="2"/>
          <w:sz w:val="24"/>
          <w:szCs w:val="24"/>
          <w:lang w:val="en-US" w:eastAsia="zh-CN" w:bidi="ar"/>
        </w:rPr>
        <w:t>（一）预算配置</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2021年，我单位在职人员编制数为20人，年末实际在职人数为11人，财政在职人员控制率为55%。年初预算收入258.6万元，年末决算收入318.13万元；年末决算支出318.13万元，年末资金结转结余0万元。</w:t>
      </w:r>
    </w:p>
    <w:p>
      <w:pPr>
        <w:keepNext w:val="0"/>
        <w:keepLines w:val="0"/>
        <w:widowControl w:val="0"/>
        <w:suppressLineNumbers w:val="0"/>
        <w:spacing w:before="0" w:beforeAutospacing="1" w:after="0" w:afterAutospacing="1" w:line="480" w:lineRule="exact"/>
        <w:ind w:left="0" w:right="0" w:firstLine="482" w:firstLineChars="200"/>
        <w:jc w:val="left"/>
      </w:pPr>
      <w:r>
        <w:rPr>
          <w:rFonts w:hint="eastAsia" w:ascii="宋体" w:hAnsi="宋体" w:eastAsia="宋体" w:cs="宋体"/>
          <w:b/>
          <w:bCs/>
          <w:kern w:val="2"/>
          <w:sz w:val="24"/>
          <w:szCs w:val="24"/>
          <w:lang w:val="en-US" w:eastAsia="zh-CN" w:bidi="ar"/>
        </w:rPr>
        <w:t>（二）预算执行</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一是建立预算执行责任制。将年度预算收入责任及预算支出额度逐一分解落实到各股室，形成领导重视、衔接紧密、齐抓共管的体制机制，建立预算指标额度台账，将预算执行情况作为年度目标考核的内容。二是建立预算执行信息化管理制度。在林业信息网及政务公开网公布部门财政预算批复及执行情况，及时公布“三公经费”支出情况，接受监督。三是建立健全项目资金管理制度。对于财政性专项资金，在区财政局的督导下，严格按专项资金项目实施方案执行，督促项目承担单位加快项目实施进度，及时办理报账、验收、结算等相关手续，做到不集中使用、不滥用资金，最大限度提高专项资金利用效率。</w:t>
      </w:r>
    </w:p>
    <w:p>
      <w:pPr>
        <w:keepNext w:val="0"/>
        <w:keepLines w:val="0"/>
        <w:widowControl w:val="0"/>
        <w:suppressLineNumbers w:val="0"/>
        <w:spacing w:before="0" w:beforeAutospacing="1" w:after="0" w:afterAutospacing="1" w:line="480" w:lineRule="exact"/>
        <w:ind w:left="0" w:right="0" w:firstLine="482" w:firstLineChars="200"/>
        <w:jc w:val="left"/>
      </w:pPr>
      <w:r>
        <w:rPr>
          <w:rFonts w:hint="eastAsia" w:ascii="宋体" w:hAnsi="宋体" w:eastAsia="宋体" w:cs="宋体"/>
          <w:b/>
          <w:bCs/>
          <w:kern w:val="2"/>
          <w:sz w:val="24"/>
          <w:szCs w:val="24"/>
          <w:lang w:val="en-US" w:eastAsia="zh-CN" w:bidi="ar"/>
        </w:rPr>
        <w:t>（三）预算管理</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为规范机关财务管理，建立健全财务管理制度，我局根据《会计法》、《预算法》、《政府会计准则》等法律和财政部、省财政厅有关财务规章制度等一系列合法合规、较为完整的、具有很强的可操作性财务管理制度。坚持经费预算科学化、精细化，执行控制规范化、责任化，监督检查常态化、同步化。</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资金的支付符合国家财经法规和财务管理制度规定，以及有关专项资金管理办法的规定；资金拨付有完整的审批程序和手续；支出符合部门预算批复的用途；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keepNext w:val="0"/>
        <w:keepLines w:val="0"/>
        <w:widowControl w:val="0"/>
        <w:suppressLineNumbers w:val="0"/>
        <w:spacing w:before="0" w:beforeAutospacing="1" w:after="0" w:afterAutospacing="1" w:line="480" w:lineRule="exact"/>
        <w:ind w:left="0" w:right="0" w:firstLine="482" w:firstLineChars="200"/>
        <w:jc w:val="left"/>
      </w:pPr>
      <w:r>
        <w:rPr>
          <w:rFonts w:hint="eastAsia" w:ascii="宋体" w:hAnsi="宋体" w:eastAsia="宋体" w:cs="宋体"/>
          <w:b/>
          <w:bCs/>
          <w:kern w:val="2"/>
          <w:sz w:val="24"/>
          <w:szCs w:val="24"/>
          <w:lang w:val="en-US" w:eastAsia="zh-CN" w:bidi="ar"/>
        </w:rPr>
        <w:t>（四）提升支出绩效</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2021年，我单位全面落实区委、区政府的各项工作部署，牢固树立发展意识，大力弘扬实干精神，扎实推进各项工作，各项工作任务全面完成，财务管理规范，单位行政运行稳定有序。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五、综合评价情况及评价结论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2021年我局经费开支严格按预算执行，管理制度健全，会计基础规范，资金使用符合国家财经法规和财务管理制度规定。严格实行收支两条线，无截留、挤占、挪用、虚列支出、随意借用、大额现金支付等情况，重大财务事项经由集体研究决策。按要求执行政府采购，严控支出，开源节流，一般性支出和“三公经费”均按要求压减，预决算信息公开及时完善。资产管理安全，固定资产利用率、重点工作完成率等均达到或超过年初计划数，取得了较好的社会效益。根据邵阳市财政局《部门整体支出绩效评价指标评分表》评分体系，我局整体支出绩效自评</w:t>
      </w:r>
      <w:r>
        <w:rPr>
          <w:rFonts w:hint="eastAsia" w:ascii="宋体" w:hAnsi="宋体" w:eastAsia="宋体" w:cs="宋体"/>
          <w:color w:val="444444"/>
          <w:kern w:val="0"/>
          <w:sz w:val="28"/>
          <w:szCs w:val="28"/>
          <w:shd w:val="clear" w:fill="FFFFFF"/>
          <w:lang w:val="en-US" w:eastAsia="zh-CN"/>
        </w:rPr>
        <w:t>97</w:t>
      </w:r>
      <w:r>
        <w:rPr>
          <w:rFonts w:hint="eastAsia" w:ascii="宋体" w:hAnsi="宋体" w:eastAsia="宋体" w:cs="宋体"/>
          <w:color w:val="444444"/>
          <w:kern w:val="0"/>
          <w:sz w:val="28"/>
          <w:szCs w:val="28"/>
          <w:shd w:val="clear" w:fill="FFFFFF"/>
        </w:rPr>
        <w:t>分，自评</w:t>
      </w:r>
      <w:r>
        <w:rPr>
          <w:rFonts w:hint="eastAsia" w:ascii="宋体" w:hAnsi="宋体" w:eastAsia="宋体" w:cs="宋体"/>
          <w:color w:val="444444"/>
          <w:kern w:val="0"/>
          <w:sz w:val="28"/>
          <w:szCs w:val="28"/>
          <w:shd w:val="clear" w:fill="FFFFFF"/>
          <w:lang w:eastAsia="zh-CN"/>
        </w:rPr>
        <w:t>结果为良好</w:t>
      </w:r>
      <w:r>
        <w:rPr>
          <w:rFonts w:hint="eastAsia" w:ascii="宋体" w:hAnsi="宋体" w:eastAsia="宋体" w:cs="宋体"/>
          <w:color w:val="444444"/>
          <w:kern w:val="0"/>
          <w:sz w:val="28"/>
          <w:szCs w:val="2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存在的问题及原因分析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lang w:eastAsia="zh-CN"/>
        </w:rPr>
      </w:pPr>
      <w:r>
        <w:rPr>
          <w:rFonts w:hint="eastAsia" w:ascii="宋体" w:hAnsi="宋体" w:eastAsia="宋体" w:cs="宋体"/>
          <w:color w:val="444444"/>
          <w:kern w:val="0"/>
          <w:sz w:val="28"/>
          <w:szCs w:val="28"/>
          <w:shd w:val="clear" w:fill="FFFFFF"/>
          <w:lang w:val="en-US" w:eastAsia="zh-CN"/>
        </w:rPr>
        <w:t>预算编制全面性和精准性不够。受政策调整等因素影响，在预算执行过程中客观存在实际支出和年初预算发生偏差。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下一步改进措施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default" w:ascii="宋体" w:hAnsi="宋体" w:eastAsia="宋体" w:cs="宋体"/>
          <w:color w:val="444444"/>
          <w:kern w:val="0"/>
          <w:sz w:val="28"/>
          <w:szCs w:val="28"/>
          <w:shd w:val="clear" w:fill="FFFFFF"/>
          <w:lang w:val="en-US" w:eastAsia="zh-CN"/>
        </w:rPr>
      </w:pPr>
      <w:bookmarkStart w:id="0" w:name="RANGE!A1:H22"/>
      <w:r>
        <w:rPr>
          <w:rFonts w:hint="eastAsia" w:ascii="宋体" w:hAnsi="宋体" w:eastAsia="宋体" w:cs="宋体"/>
          <w:color w:val="444444"/>
          <w:kern w:val="0"/>
          <w:sz w:val="28"/>
          <w:szCs w:val="28"/>
          <w:shd w:val="clear" w:fill="FFFFFF"/>
          <w:lang w:val="en-US" w:eastAsia="zh-CN"/>
        </w:rPr>
        <w:t>1、</w:t>
      </w:r>
      <w:r>
        <w:rPr>
          <w:rFonts w:hint="default" w:ascii="宋体" w:hAnsi="宋体" w:eastAsia="宋体" w:cs="宋体"/>
          <w:color w:val="444444"/>
          <w:kern w:val="0"/>
          <w:sz w:val="28"/>
          <w:szCs w:val="28"/>
          <w:shd w:val="clear" w:fill="FFFFFF"/>
          <w:lang w:val="en-US" w:eastAsia="zh-CN"/>
        </w:rPr>
        <w:t>增强预算编制的全面性、准确性。对年初没有预算安排的支出原则上不安排支出，对于年度无法预计的临时追加的相关工作所需费用，严格按照预算调整追加程序，逐级申报报批。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lang w:val="en-US" w:eastAsia="zh-CN"/>
        </w:rPr>
      </w:pPr>
      <w:r>
        <w:rPr>
          <w:rFonts w:hint="eastAsia" w:ascii="宋体" w:hAnsi="宋体" w:eastAsia="宋体" w:cs="宋体"/>
          <w:color w:val="444444"/>
          <w:kern w:val="0"/>
          <w:sz w:val="28"/>
          <w:szCs w:val="28"/>
          <w:shd w:val="clear" w:fill="FFFFFF"/>
          <w:lang w:val="en-US" w:eastAsia="zh-CN"/>
        </w:rPr>
        <w:t>2、</w:t>
      </w:r>
      <w:r>
        <w:rPr>
          <w:rFonts w:hint="default" w:ascii="宋体" w:hAnsi="宋体" w:eastAsia="宋体" w:cs="宋体"/>
          <w:color w:val="444444"/>
          <w:kern w:val="0"/>
          <w:sz w:val="28"/>
          <w:szCs w:val="28"/>
          <w:shd w:val="clear" w:fill="FFFFFF"/>
          <w:lang w:val="en-US" w:eastAsia="zh-CN"/>
        </w:rPr>
        <w:t>认真提高业务水平，更加严格执行预算，保障各项工作任务圆满完成。</w:t>
      </w:r>
    </w:p>
    <w:p>
      <w:pPr>
        <w:spacing w:line="600" w:lineRule="exact"/>
        <w:rPr>
          <w:rFonts w:ascii="宋体" w:hAnsi="宋体" w:cs="宋体"/>
          <w:kern w:val="0"/>
          <w:sz w:val="32"/>
          <w:szCs w:val="32"/>
        </w:rPr>
      </w:pPr>
      <w:r>
        <w:rPr>
          <w:rFonts w:hint="eastAsia" w:ascii="黑体" w:hAnsi="宋体" w:eastAsia="黑体" w:cs="宋体"/>
          <w:kern w:val="0"/>
          <w:sz w:val="32"/>
          <w:szCs w:val="32"/>
        </w:rPr>
        <w:t>附件</w:t>
      </w:r>
      <w:bookmarkEnd w:id="0"/>
      <w:r>
        <w:rPr>
          <w:rFonts w:hint="eastAsia" w:ascii="黑体" w:hAnsi="宋体" w:eastAsia="黑体" w:cs="宋体"/>
          <w:kern w:val="0"/>
          <w:sz w:val="32"/>
          <w:szCs w:val="32"/>
        </w:rPr>
        <w:t>1</w:t>
      </w:r>
      <w:r>
        <w:rPr>
          <w:rFonts w:ascii="黑体" w:hAnsi="宋体" w:eastAsia="黑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p>
    <w:p>
      <w:pPr>
        <w:widowControl/>
        <w:ind w:left="93"/>
        <w:jc w:val="center"/>
        <w:rPr>
          <w:rFonts w:hint="eastAsia" w:ascii="宋体" w:hAnsi="宋体" w:cs="宋体"/>
          <w:bCs/>
          <w:kern w:val="0"/>
          <w:sz w:val="32"/>
          <w:szCs w:val="32"/>
        </w:rPr>
      </w:pPr>
      <w:r>
        <w:rPr>
          <w:rFonts w:hint="eastAsia" w:ascii="宋体" w:hAnsi="宋体" w:cs="宋体"/>
          <w:bCs/>
          <w:kern w:val="0"/>
          <w:sz w:val="32"/>
          <w:szCs w:val="32"/>
        </w:rPr>
        <w:t>部门整体支出绩效评价指标评分表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429"/>
        <w:gridCol w:w="567"/>
        <w:gridCol w:w="851"/>
        <w:gridCol w:w="567"/>
        <w:gridCol w:w="3118"/>
        <w:gridCol w:w="3472"/>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411"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一级指标</w:t>
            </w:r>
          </w:p>
        </w:tc>
        <w:tc>
          <w:tcPr>
            <w:tcW w:w="429"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二级指标</w:t>
            </w:r>
          </w:p>
        </w:tc>
        <w:tc>
          <w:tcPr>
            <w:tcW w:w="567"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851"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三级   指标</w:t>
            </w:r>
          </w:p>
        </w:tc>
        <w:tc>
          <w:tcPr>
            <w:tcW w:w="567"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3118"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评价标准</w:t>
            </w:r>
          </w:p>
        </w:tc>
        <w:tc>
          <w:tcPr>
            <w:tcW w:w="3472"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备注</w:t>
            </w:r>
          </w:p>
        </w:tc>
        <w:tc>
          <w:tcPr>
            <w:tcW w:w="617" w:type="dxa"/>
            <w:noWrap w:val="0"/>
            <w:vAlign w:val="center"/>
          </w:tcPr>
          <w:p>
            <w:pPr>
              <w:widowControl/>
              <w:jc w:val="center"/>
              <w:rPr>
                <w:rFonts w:hint="eastAsia" w:ascii="宋体" w:hAnsi="宋体" w:eastAsia="宋体" w:cs="宋体"/>
                <w:b/>
                <w:bCs/>
                <w:kern w:val="0"/>
                <w:sz w:val="24"/>
                <w:szCs w:val="24"/>
              </w:rPr>
            </w:pPr>
            <w:r>
              <w:rPr>
                <w:rFonts w:hint="eastAsia" w:ascii="宋体" w:hAnsi="宋体" w:cs="宋体"/>
                <w:b/>
                <w:bCs/>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411" w:type="dxa"/>
            <w:vMerge w:val="restart"/>
            <w:noWrap w:val="0"/>
            <w:textDirection w:val="tbRlV"/>
            <w:vAlign w:val="center"/>
          </w:tcPr>
          <w:p>
            <w:pPr>
              <w:widowControl/>
              <w:jc w:val="center"/>
              <w:rPr>
                <w:rFonts w:hint="eastAsia" w:ascii="仿宋_GB2312" w:hAnsi="宋体" w:eastAsia="仿宋_GB2312" w:cs="宋体"/>
                <w:kern w:val="0"/>
                <w:sz w:val="20"/>
                <w:szCs w:val="20"/>
              </w:rPr>
            </w:pPr>
            <w:bookmarkStart w:id="1" w:name="OLE_LINK1" w:colFirst="7" w:colLast="7"/>
            <w:r>
              <w:rPr>
                <w:rFonts w:hint="eastAsia" w:ascii="仿宋_GB2312" w:hAnsi="宋体" w:eastAsia="仿宋_GB2312" w:cs="宋体"/>
                <w:kern w:val="0"/>
                <w:sz w:val="20"/>
                <w:szCs w:val="20"/>
              </w:rPr>
              <w:t>投    入</w:t>
            </w:r>
          </w:p>
        </w:tc>
        <w:tc>
          <w:tcPr>
            <w:tcW w:w="429"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567"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0,计3分；“三公经费”＞0，每超过一个百分点扣0.3分，扣完为止。</w:t>
            </w:r>
          </w:p>
        </w:tc>
        <w:tc>
          <w:tcPr>
            <w:tcW w:w="3472"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“三公经费”变动率=[（本年度“三公经费”总额-上年度“三公经费”总额）/上年度“三公经费”总额]×100%。</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“三公经费”：指政府部门人员因公出国（境）经费、公务车购置及运行费、公务招待费产生的消费。</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①招待费用明确招待标准和招待人数,1分;②车辆维护、燃油使用政府定点，1分。③</w:t>
            </w:r>
            <w:r>
              <w:rPr>
                <w:rFonts w:hint="eastAsia" w:ascii="仿宋_GB2312" w:hAnsi="仿宋" w:eastAsia="仿宋_GB2312" w:cs="仿宋"/>
                <w:kern w:val="0"/>
                <w:sz w:val="20"/>
                <w:szCs w:val="20"/>
              </w:rPr>
              <w:t>制定“三公经费”管理办法，1分，每少一项扣1分，扣完为止。</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招待费变动率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0,计2分；“公务招待费变动率”＞0，每超过一个百分点扣0.2分，扣完为止。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公务招待费变动率=[（本年度“公务招待费”总额-上年度“公务招待费”总额）/上年度“公务招待费”总额]×100%。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运行费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0,计2分；“公务用车购置运行费变动率”＞0，每超过一个百分点扣0.2分，扣完为止。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公务用车购置运行费变动率=[（本年度“公务用车购置运行费”总额-上年度“公务用车购置运行费”总额）/上年度“公务用车购置运行费”总额]×100%。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 和服务支出 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0,计2分；“商品和服务支出”变动率＞0，每超过一个百分点扣0.2分，扣完为止。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“商品和服务支出”变动率=[（本年度“商品和服务支出”总额-上年度“商品和服务支出”总额）/上年度“商品和服务支出”总额]×100%。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支出  安排率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重点支出安排率≥90%，计2分；80%（含）-90%，计1分；70%（含）-80%，计0.5分；低于70%不得分。</w:t>
            </w:r>
          </w:p>
        </w:tc>
        <w:tc>
          <w:tcPr>
            <w:tcW w:w="3472"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重点支出安排率=（重点项目支出/项目总支出）×100%</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重点项目支出：市政府确定的为民办实事和部门重点工程与重点工作支出。项目总支出：部门（单位）年度预算安排的项目支出总额。</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①实行收支两条线，1分；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②未发生截留、坐支或转移，1分。以上每发现一次违规现象扣1分，扣完为止。</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非税收入完成率100%，2分，每少一个百分点，扣0.1分，扣完为止。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年度非税实际收入完成数/</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年度非税收入预算数）×100%，有减免因素的，以非税局确定的为准。</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11" w:type="dxa"/>
            <w:vMerge w:val="restart"/>
            <w:noWrap w:val="0"/>
            <w:textDirection w:val="tbRlV"/>
            <w:vAlign w:val="center"/>
          </w:tcPr>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p>
            <w:pPr>
              <w:widowControl/>
              <w:ind w:left="113" w:right="113"/>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29" w:type="dxa"/>
            <w:vMerge w:val="restart"/>
            <w:tcBorders>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567" w:type="dxa"/>
            <w:vMerge w:val="restart"/>
            <w:tcBorders>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完成率&lt;1，计2分，</w:t>
            </w:r>
          </w:p>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完成率=1，计1分，</w:t>
            </w:r>
          </w:p>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完成率&gt;1，不得分。</w:t>
            </w:r>
          </w:p>
          <w:p>
            <w:pPr>
              <w:widowControl/>
              <w:jc w:val="left"/>
              <w:rPr>
                <w:rFonts w:hint="eastAsia" w:ascii="仿宋_GB2312" w:hAnsi="宋体" w:eastAsia="仿宋_GB2312" w:cs="宋体"/>
                <w:kern w:val="0"/>
                <w:sz w:val="20"/>
                <w:szCs w:val="20"/>
                <w:highlight w:val="none"/>
              </w:rPr>
            </w:pP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预算完成率=（预算完成数/预算数）×100%。预算完成数：部门（单位）本年度实际完成的预算数；预算数：财政部门批复的本年度部门（单位）预算数。</w:t>
            </w:r>
          </w:p>
        </w:tc>
        <w:tc>
          <w:tcPr>
            <w:tcW w:w="617" w:type="dxa"/>
            <w:noWrap w:val="0"/>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资金  结余</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结余超过10%（不含），2分；结余在0-10%（含）的，1分；本年超支不得分。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本项结余不含未完工项目资金的结转数。</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控制率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以100%为标准。三公经费控制率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100%，计2分；每超过一个百分点扣0.2分，扣完为止。单位没有制定“三公”经费预算，该项不得分。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“三公经费”控制率=（“三公经费”实际支出数/“三公经费”预算安排数）×100%。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采购</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①编</w:t>
            </w:r>
            <w:r>
              <w:rPr>
                <w:rFonts w:hint="eastAsia" w:ascii="仿宋_GB2312" w:hAnsi="宋体" w:eastAsia="仿宋_GB2312" w:cs="宋体"/>
                <w:kern w:val="0"/>
                <w:sz w:val="20"/>
                <w:szCs w:val="20"/>
              </w:rPr>
              <w:t>制政府采购年度预算并上报的，0.5分；②追加并编制政府采购预算的，0.5分；</w:t>
            </w:r>
            <w:r>
              <w:rPr>
                <w:rFonts w:hint="eastAsia" w:ascii="仿宋" w:hAnsi="仿宋" w:eastAsia="仿宋" w:cs="宋体"/>
                <w:kern w:val="0"/>
                <w:sz w:val="20"/>
                <w:szCs w:val="20"/>
              </w:rPr>
              <w:t>③</w:t>
            </w:r>
            <w:r>
              <w:rPr>
                <w:rFonts w:hint="eastAsia" w:ascii="仿宋_GB2312" w:hAnsi="宋体" w:eastAsia="仿宋_GB2312" w:cs="宋体"/>
                <w:kern w:val="0"/>
                <w:sz w:val="20"/>
                <w:szCs w:val="20"/>
              </w:rPr>
              <w:t>政府采购执行率=100%，计1分；每少一个百分点扣0.1分，扣完为止。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政府采购执行率=（实际实行政府采购金额/应实行政府采购金额）×100%。应实行政府采金额以《湘财购[2012]27号》文件为标准。</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jc w:val="center"/>
        </w:trPr>
        <w:tc>
          <w:tcPr>
            <w:tcW w:w="411" w:type="dxa"/>
            <w:vMerge w:val="continue"/>
            <w:noWrap w:val="0"/>
            <w:vAlign w:val="center"/>
          </w:tcPr>
          <w:p>
            <w:pPr>
              <w:widowControl/>
              <w:jc w:val="center"/>
              <w:rPr>
                <w:rFonts w:ascii="仿宋_GB2312" w:hAnsi="宋体" w:eastAsia="仿宋_GB2312" w:cs="宋体"/>
                <w:kern w:val="0"/>
                <w:sz w:val="20"/>
                <w:szCs w:val="20"/>
              </w:rPr>
            </w:pPr>
          </w:p>
        </w:tc>
        <w:tc>
          <w:tcPr>
            <w:tcW w:w="429" w:type="dxa"/>
            <w:vMerge w:val="restart"/>
            <w:tcBorders>
              <w:top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67" w:type="dxa"/>
            <w:vMerge w:val="restart"/>
            <w:tcBorders>
              <w:top w:val="single" w:color="auto" w:sz="4" w:space="0"/>
              <w:lef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28</w:t>
            </w:r>
          </w:p>
        </w:tc>
        <w:tc>
          <w:tcPr>
            <w:tcW w:w="851" w:type="dxa"/>
            <w:tcBorders>
              <w:top w:val="single" w:color="auto" w:sz="4" w:space="0"/>
            </w:tcBorders>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tcBorders>
              <w:top w:val="single" w:color="auto" w:sz="4" w:space="0"/>
            </w:tcBorders>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6</w:t>
            </w:r>
          </w:p>
          <w:p>
            <w:pPr>
              <w:widowControl/>
              <w:jc w:val="both"/>
              <w:rPr>
                <w:rFonts w:hint="eastAsia" w:ascii="仿宋_GB2312" w:hAnsi="宋体" w:eastAsia="仿宋_GB2312" w:cs="宋体"/>
                <w:kern w:val="0"/>
                <w:sz w:val="20"/>
                <w:szCs w:val="20"/>
              </w:rPr>
            </w:pPr>
          </w:p>
        </w:tc>
        <w:tc>
          <w:tcPr>
            <w:tcW w:w="3118" w:type="dxa"/>
            <w:tcBorders>
              <w:top w:val="single" w:color="auto" w:sz="4" w:space="0"/>
            </w:tcBorders>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①已制定资金管理办法、内部财务管理制度、会计核算制度等管理制度，1分；</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②建立健全单位内部控制制度，1分；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③会计人员、机构按规定设置，1分；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④会计基础工作健全，1分；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⑤会计档案符合规定要求，1分；</w:t>
            </w:r>
          </w:p>
          <w:p>
            <w:pPr>
              <w:widowControl/>
              <w:jc w:val="left"/>
              <w:rPr>
                <w:rFonts w:hint="eastAsia" w:ascii="仿宋_GB2312" w:hAnsi="宋体" w:eastAsia="仿宋_GB2312" w:cs="宋体"/>
                <w:kern w:val="0"/>
                <w:sz w:val="20"/>
                <w:szCs w:val="20"/>
              </w:rPr>
            </w:pPr>
            <w:r>
              <w:rPr>
                <w:rFonts w:hint="eastAsia" w:ascii="仿宋_GB2312" w:hAnsi="仿宋" w:eastAsia="仿宋_GB2312" w:cs="仿宋"/>
                <w:kern w:val="0"/>
                <w:sz w:val="20"/>
                <w:szCs w:val="20"/>
              </w:rPr>
              <w:t>⑥项目管理规范（包括项目立项、申报、招投标、制度建立、按时完工等），1分，每发现少一项扣0.2分，扣完为止。</w:t>
            </w:r>
          </w:p>
        </w:tc>
        <w:tc>
          <w:tcPr>
            <w:tcW w:w="3472" w:type="dxa"/>
            <w:tcBorders>
              <w:top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617" w:type="dxa"/>
            <w:tcBorders>
              <w:top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411" w:type="dxa"/>
            <w:vMerge w:val="continue"/>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tcBorders>
              <w:top w:val="single" w:color="auto" w:sz="4" w:space="0"/>
            </w:tcBorders>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内控制度情况</w:t>
            </w:r>
          </w:p>
        </w:tc>
        <w:tc>
          <w:tcPr>
            <w:tcW w:w="567" w:type="dxa"/>
            <w:tcBorders>
              <w:top w:val="single" w:color="auto" w:sz="4" w:space="0"/>
            </w:tcBorders>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4分</w:t>
            </w:r>
          </w:p>
        </w:tc>
        <w:tc>
          <w:tcPr>
            <w:tcW w:w="3118" w:type="dxa"/>
            <w:tcBorders>
              <w:top w:val="single" w:color="auto" w:sz="4" w:space="0"/>
            </w:tcBorders>
            <w:noWrap w:val="0"/>
            <w:vAlign w:val="center"/>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内部控制制度完全执行，4分，执行过程中，某个环节（节点）执行不到位的，每个环节（节点）扣1分，扣完为止。</w:t>
            </w:r>
          </w:p>
        </w:tc>
        <w:tc>
          <w:tcPr>
            <w:tcW w:w="3472" w:type="dxa"/>
            <w:tcBorders>
              <w:top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617" w:type="dxa"/>
            <w:tcBorders>
              <w:top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7" w:hRule="atLeast"/>
          <w:jc w:val="center"/>
        </w:trPr>
        <w:tc>
          <w:tcPr>
            <w:tcW w:w="411" w:type="dxa"/>
            <w:vMerge w:val="restart"/>
            <w:tcBorders>
              <w:top w:val="nil"/>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过程</w:t>
            </w: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资金  使用</w:t>
            </w:r>
          </w:p>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合规性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①支出符合国家财经法规和财务管理制度规定以及有关专项资金管理办法的规定；</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②资金（开支）拨付有完整的审批程序和手续；</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③支出符合部门预算批复的用途；</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④资金使用无截留、挤占、挪用、虚列支出、随意借用、大额现金支付等情况。</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⑤</w:t>
            </w:r>
            <w:r>
              <w:rPr>
                <w:rFonts w:hint="eastAsia" w:ascii="仿宋_GB2312" w:hAnsi="仿宋" w:eastAsia="仿宋_GB2312" w:cs="仿宋"/>
                <w:kern w:val="0"/>
                <w:sz w:val="20"/>
                <w:szCs w:val="20"/>
              </w:rPr>
              <w:t>重大财务事项经由集体研究决策；</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⑥</w:t>
            </w:r>
            <w:r>
              <w:rPr>
                <w:rFonts w:hint="eastAsia" w:ascii="仿宋_GB2312" w:hAnsi="仿宋" w:eastAsia="仿宋_GB2312" w:cs="仿宋"/>
                <w:kern w:val="0"/>
                <w:sz w:val="20"/>
                <w:szCs w:val="20"/>
              </w:rPr>
              <w:t>专项资金做到专款专用；</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⑦</w:t>
            </w:r>
            <w:r>
              <w:rPr>
                <w:rFonts w:hint="eastAsia" w:ascii="仿宋_GB2312" w:hAnsi="仿宋" w:eastAsia="仿宋_GB2312" w:cs="仿宋"/>
                <w:kern w:val="0"/>
                <w:sz w:val="20"/>
                <w:szCs w:val="20"/>
              </w:rPr>
              <w:t>原始凭证的取得真实有效；</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⑧</w:t>
            </w:r>
            <w:r>
              <w:rPr>
                <w:rFonts w:hint="eastAsia" w:ascii="仿宋_GB2312" w:hAnsi="仿宋" w:eastAsia="仿宋_GB2312" w:cs="仿宋"/>
                <w:kern w:val="0"/>
                <w:sz w:val="20"/>
                <w:szCs w:val="20"/>
              </w:rPr>
              <w:t>无超范围、超预算开支；</w:t>
            </w:r>
          </w:p>
          <w:p>
            <w:pPr>
              <w:widowControl/>
              <w:jc w:val="left"/>
              <w:rPr>
                <w:rFonts w:hint="eastAsia" w:ascii="仿宋_GB2312" w:hAnsi="仿宋" w:eastAsia="仿宋_GB2312" w:cs="仿宋"/>
                <w:kern w:val="0"/>
                <w:sz w:val="20"/>
                <w:szCs w:val="20"/>
                <w:lang w:eastAsia="zh-CN"/>
              </w:rPr>
            </w:pPr>
            <w:r>
              <w:rPr>
                <w:rFonts w:hint="eastAsia" w:ascii="仿宋" w:hAnsi="仿宋" w:eastAsia="仿宋" w:cs="仿宋"/>
                <w:kern w:val="0"/>
                <w:sz w:val="20"/>
                <w:szCs w:val="20"/>
              </w:rPr>
              <w:t>⑨</w:t>
            </w:r>
            <w:r>
              <w:rPr>
                <w:rFonts w:hint="eastAsia" w:ascii="仿宋_GB2312" w:hAnsi="仿宋" w:eastAsia="仿宋_GB2312" w:cs="仿宋"/>
                <w:kern w:val="0"/>
                <w:sz w:val="20"/>
                <w:szCs w:val="20"/>
              </w:rPr>
              <w:t>无超标准发放津补贴、奖金，无用公款支付应由个人支付的款项。</w:t>
            </w:r>
          </w:p>
          <w:p>
            <w:pPr>
              <w:widowControl/>
              <w:jc w:val="left"/>
              <w:rPr>
                <w:rFonts w:ascii="仿宋_GB2312" w:hAnsi="宋体" w:eastAsia="仿宋_GB2312" w:cs="宋体"/>
                <w:kern w:val="0"/>
                <w:sz w:val="20"/>
                <w:szCs w:val="20"/>
              </w:rPr>
            </w:pPr>
            <w:r>
              <w:rPr>
                <w:rFonts w:hint="eastAsia" w:ascii="仿宋_GB2312" w:hAnsi="仿宋" w:eastAsia="仿宋_GB2312" w:cs="仿宋"/>
                <w:kern w:val="0"/>
                <w:sz w:val="20"/>
                <w:szCs w:val="20"/>
              </w:rPr>
              <w:t>以上情况每出现一例不</w:t>
            </w:r>
            <w:r>
              <w:rPr>
                <w:rFonts w:hint="eastAsia" w:ascii="仿宋_GB2312" w:hAnsi="宋体" w:eastAsia="仿宋_GB2312" w:cs="宋体"/>
                <w:kern w:val="0"/>
                <w:sz w:val="20"/>
                <w:szCs w:val="20"/>
              </w:rPr>
              <w:t>符合要求的扣2分，扣完为止。</w:t>
            </w:r>
          </w:p>
        </w:tc>
        <w:tc>
          <w:tcPr>
            <w:tcW w:w="3472"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部门（单位）使用预算资金是否符合相关的预算财务管理制度的规定，用以反映和考核部门（单位）预算资金的规范运行情况。</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851" w:type="dxa"/>
            <w:noWrap w:val="0"/>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预决算信息公开性和完善性</w:t>
            </w:r>
          </w:p>
        </w:tc>
        <w:tc>
          <w:tcPr>
            <w:tcW w:w="567" w:type="dxa"/>
            <w:noWrap w:val="0"/>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3118"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①按规定内容公开预决算信息，1分；②按规定时限公开预决算信息，1分；③基础数据信息和会计信息资料真实、完整，1分；④基础数据信息和汇集信息资料准确，1分。                                           </w:t>
            </w:r>
          </w:p>
        </w:tc>
        <w:tc>
          <w:tcPr>
            <w:tcW w:w="3472"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restart"/>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资产管理</w:t>
            </w:r>
          </w:p>
        </w:tc>
        <w:tc>
          <w:tcPr>
            <w:tcW w:w="567" w:type="dxa"/>
            <w:vMerge w:val="restart"/>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①已制定资产管理制度，1分；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xml:space="preserve">②相关资产管理制度得到有效执行，1分。                                           </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部门（单位）为加强资产管理，规范资产管理行为而制定的管理制度是否健全完整、用以反映和考核部门（单位）资产管理制度对完成主要职责或促进社会发展的保障情况</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411" w:type="dxa"/>
            <w:vMerge w:val="continue"/>
            <w:tcBorders>
              <w:top w:val="nil"/>
            </w:tcBorders>
            <w:noWrap w:val="0"/>
            <w:vAlign w:val="center"/>
          </w:tcPr>
          <w:p>
            <w:pPr>
              <w:widowControl/>
              <w:jc w:val="center"/>
              <w:rPr>
                <w:rFonts w:hint="eastAsia"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资产  管理</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安全性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 xml:space="preserve">①资产保存完整；②资产配置合理；③资产处置规范； </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④资产账务管理合规，帐实帐卡、账账、账表（决算报表等）相符；⑤资产有偿使用及处置收入及时足额上缴；</w:t>
            </w:r>
            <w:r>
              <w:rPr>
                <w:rFonts w:hint="eastAsia" w:ascii="仿宋_GB2312" w:hAnsi="仿宋" w:eastAsia="仿宋_GB2312" w:cs="仿宋"/>
                <w:kern w:val="0"/>
                <w:sz w:val="20"/>
                <w:szCs w:val="20"/>
              </w:rPr>
              <w:t>⑥清查盘点：每年至少清查盘点一次；⑦产权明晰，权证齐全</w:t>
            </w:r>
            <w:r>
              <w:rPr>
                <w:rFonts w:hint="eastAsia" w:ascii="仿宋_GB2312" w:hAnsi="宋体" w:eastAsia="仿宋_GB2312" w:cs="宋体"/>
                <w:kern w:val="0"/>
                <w:sz w:val="20"/>
                <w:szCs w:val="20"/>
              </w:rPr>
              <w:t>；⑧按标准购置固定资产。</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以上情况每出现一例不符合要求的扣2分；⑨未按时报送2018年行政事业单位资产报表的，每延迟一天，扣1分，扣完为止。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部门（单位）的资产是否保存完整，使用合规、配置合理、处置规范、收入及时足额上缴，用以反映和考核部门（单位）资产安全运行情况。</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固定  资产</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利用率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固定资产利用率,100%,2分,每低于一个百分点扣0.2分，扣完为止。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固定资产利用率=（实际在用固定资产总额/所有固定资产总额）×100%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restart"/>
            <w:tcBorders>
              <w:righ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绩效管理</w:t>
            </w:r>
          </w:p>
        </w:tc>
        <w:tc>
          <w:tcPr>
            <w:tcW w:w="567" w:type="dxa"/>
            <w:vMerge w:val="restart"/>
            <w:tcBorders>
              <w:top w:val="single" w:color="auto" w:sz="4" w:space="0"/>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目标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①本单位所有专项、项目资金均实行目标管理的，各2分,每少一个专项、项目的，扣1分，扣完为止；②编制并报送</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年度部门整体支出绩效目标的，2分；③在规定时间内报送、公开以上目标的，2分，否则不得分。</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411" w:type="dxa"/>
            <w:vMerge w:val="continue"/>
            <w:tcBorders>
              <w:top w:val="nil"/>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 评价</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w:t>
            </w:r>
            <w:r>
              <w:rPr>
                <w:rFonts w:hint="eastAsia" w:ascii="仿宋_GB2312" w:hAnsi="宋体" w:eastAsia="仿宋_GB2312" w:cs="宋体"/>
                <w:kern w:val="0"/>
                <w:sz w:val="20"/>
                <w:szCs w:val="20"/>
              </w:rPr>
              <w:t>开展2019年度专项资金绩效自评的，2分，每少一个专项资金的自评扣1分，扣完为止；</w:t>
            </w:r>
            <w:r>
              <w:rPr>
                <w:rFonts w:hint="eastAsia" w:ascii="仿宋" w:hAnsi="仿宋" w:eastAsia="仿宋" w:cs="宋体"/>
                <w:kern w:val="0"/>
                <w:sz w:val="20"/>
                <w:szCs w:val="20"/>
              </w:rPr>
              <w:t>②</w:t>
            </w:r>
            <w:r>
              <w:rPr>
                <w:rFonts w:hint="eastAsia" w:ascii="仿宋_GB2312" w:hAnsi="宋体" w:eastAsia="仿宋_GB2312" w:cs="宋体"/>
                <w:kern w:val="0"/>
                <w:sz w:val="20"/>
                <w:szCs w:val="20"/>
              </w:rPr>
              <w:t>开展2019年度已完工项目绩效自评的，2分，每少一个项目扣1分，扣完为止；</w:t>
            </w:r>
            <w:r>
              <w:rPr>
                <w:rFonts w:hint="eastAsia" w:ascii="仿宋" w:hAnsi="仿宋" w:eastAsia="仿宋" w:cs="宋体"/>
                <w:kern w:val="0"/>
                <w:sz w:val="20"/>
                <w:szCs w:val="20"/>
              </w:rPr>
              <w:t>③</w:t>
            </w:r>
            <w:r>
              <w:rPr>
                <w:rFonts w:hint="eastAsia" w:ascii="仿宋_GB2312" w:hAnsi="宋体" w:eastAsia="仿宋_GB2312" w:cs="宋体"/>
                <w:kern w:val="0"/>
                <w:sz w:val="20"/>
                <w:szCs w:val="20"/>
              </w:rPr>
              <w:t>开展2019年度部门整体支出绩效自评的，1分；</w:t>
            </w:r>
            <w:r>
              <w:rPr>
                <w:rFonts w:hint="eastAsia" w:ascii="仿宋" w:hAnsi="仿宋" w:eastAsia="仿宋" w:cs="宋体"/>
                <w:kern w:val="0"/>
                <w:sz w:val="20"/>
                <w:szCs w:val="20"/>
              </w:rPr>
              <w:t>④</w:t>
            </w:r>
            <w:r>
              <w:rPr>
                <w:rFonts w:hint="eastAsia" w:ascii="仿宋_GB2312" w:hAnsi="宋体" w:eastAsia="仿宋_GB2312" w:cs="宋体"/>
                <w:kern w:val="0"/>
                <w:sz w:val="20"/>
                <w:szCs w:val="20"/>
              </w:rPr>
              <w:t>在规定时间内报送、公开以上自评报告材料的，2分。</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11" w:type="dxa"/>
            <w:tcBorders>
              <w:top w:val="nil"/>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tcBorders>
              <w:top w:val="nil"/>
              <w:bottom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tcBorders>
              <w:top w:val="nil"/>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评价 结果 运用</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 w:hAnsi="仿宋" w:eastAsia="仿宋" w:cs="宋体"/>
                <w:sz w:val="20"/>
                <w:szCs w:val="20"/>
              </w:rPr>
            </w:pPr>
            <w:r>
              <w:rPr>
                <w:rFonts w:hint="eastAsia" w:ascii="仿宋_GB2312" w:hAnsi="宋体" w:eastAsia="仿宋_GB2312" w:cs="宋体"/>
                <w:kern w:val="0"/>
                <w:sz w:val="20"/>
                <w:szCs w:val="20"/>
              </w:rPr>
              <w:t>根据2019年度财政重点绩效评价和单位自评情况，向财政报送整改结果并整改到位的，2分，否则不得分。</w:t>
            </w:r>
          </w:p>
        </w:tc>
        <w:tc>
          <w:tcPr>
            <w:tcW w:w="3472" w:type="dxa"/>
            <w:noWrap w:val="0"/>
            <w:vAlign w:val="center"/>
          </w:tcPr>
          <w:p>
            <w:pPr>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restart"/>
            <w:tcBorders>
              <w:top w:val="single" w:color="auto" w:sz="4" w:space="0"/>
            </w:tcBorders>
            <w:noWrap w:val="0"/>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   出</w:t>
            </w:r>
          </w:p>
        </w:tc>
        <w:tc>
          <w:tcPr>
            <w:tcW w:w="429" w:type="dxa"/>
            <w:vMerge w:val="restart"/>
            <w:tcBorders>
              <w:top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567" w:type="dxa"/>
            <w:vMerge w:val="restart"/>
            <w:tcBorders>
              <w:top w:val="single" w:color="auto" w:sz="4" w:space="0"/>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工作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该项得分=重点工作完成率×2</w:t>
            </w: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重点工作为市政府确定的为民办实事和部门重点工程与重点工作。</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11" w:type="dxa"/>
            <w:vMerge w:val="continue"/>
            <w:tcBorders>
              <w:bottom w:val="single" w:color="auto" w:sz="4" w:space="0"/>
            </w:tcBorders>
            <w:noWrap w:val="0"/>
            <w:textDirection w:val="tbRlV"/>
            <w:vAlign w:val="center"/>
          </w:tcPr>
          <w:p>
            <w:pPr>
              <w:widowControl/>
              <w:jc w:val="center"/>
              <w:rPr>
                <w:rFonts w:hint="eastAsia"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工作</w:t>
            </w:r>
          </w:p>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质量</w:t>
            </w:r>
          </w:p>
        </w:tc>
        <w:tc>
          <w:tcPr>
            <w:tcW w:w="567" w:type="dxa"/>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以绩效考核评估结果为标准，优秀，计3分；良好，2分；合格，1分；不合格，0分。</w:t>
            </w: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p>
        </w:tc>
        <w:tc>
          <w:tcPr>
            <w:tcW w:w="617" w:type="dxa"/>
            <w:noWrap w:val="0"/>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1" w:type="dxa"/>
            <w:vMerge w:val="restart"/>
            <w:tcBorders>
              <w:top w:val="single" w:color="auto" w:sz="4" w:space="0"/>
              <w:bottom w:val="single" w:color="auto" w:sz="4" w:space="0"/>
            </w:tcBorders>
            <w:noWrap w:val="0"/>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效  果</w:t>
            </w:r>
          </w:p>
        </w:tc>
        <w:tc>
          <w:tcPr>
            <w:tcW w:w="429" w:type="dxa"/>
            <w:vMerge w:val="restart"/>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履职效益</w:t>
            </w:r>
          </w:p>
        </w:tc>
        <w:tc>
          <w:tcPr>
            <w:tcW w:w="567" w:type="dxa"/>
            <w:vMerge w:val="restart"/>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经济  效益</w:t>
            </w:r>
          </w:p>
        </w:tc>
        <w:tc>
          <w:tcPr>
            <w:tcW w:w="567" w:type="dxa"/>
            <w:vMerge w:val="restart"/>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6590" w:type="dxa"/>
            <w:gridSpan w:val="2"/>
            <w:vMerge w:val="restart"/>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此三项指标可根据部门实际并结合</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年度部门整体支出绩效目标设立情况有选择的进行评价。</w:t>
            </w:r>
          </w:p>
        </w:tc>
        <w:tc>
          <w:tcPr>
            <w:tcW w:w="617" w:type="dxa"/>
            <w:vMerge w:val="restart"/>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  效益</w:t>
            </w:r>
          </w:p>
        </w:tc>
        <w:tc>
          <w:tcPr>
            <w:tcW w:w="567" w:type="dxa"/>
            <w:vMerge w:val="continue"/>
            <w:noWrap w:val="0"/>
            <w:vAlign w:val="center"/>
          </w:tcPr>
          <w:p>
            <w:pPr>
              <w:widowControl/>
              <w:jc w:val="both"/>
              <w:rPr>
                <w:rFonts w:hint="eastAsia" w:ascii="仿宋_GB2312" w:hAnsi="宋体" w:eastAsia="仿宋_GB2312" w:cs="宋体"/>
                <w:kern w:val="0"/>
                <w:sz w:val="20"/>
                <w:szCs w:val="20"/>
              </w:rPr>
            </w:pPr>
          </w:p>
        </w:tc>
        <w:tc>
          <w:tcPr>
            <w:tcW w:w="6590" w:type="dxa"/>
            <w:gridSpan w:val="2"/>
            <w:vMerge w:val="continue"/>
            <w:noWrap w:val="0"/>
            <w:vAlign w:val="center"/>
          </w:tcPr>
          <w:p>
            <w:pPr>
              <w:widowControl/>
              <w:jc w:val="left"/>
              <w:rPr>
                <w:rFonts w:hint="eastAsia" w:ascii="仿宋_GB2312" w:hAnsi="宋体" w:eastAsia="仿宋_GB2312" w:cs="宋体"/>
                <w:kern w:val="0"/>
                <w:sz w:val="20"/>
                <w:szCs w:val="20"/>
              </w:rPr>
            </w:pPr>
          </w:p>
        </w:tc>
        <w:tc>
          <w:tcPr>
            <w:tcW w:w="617" w:type="dxa"/>
            <w:vMerge w:val="continue"/>
            <w:noWrap w:val="0"/>
            <w:vAlign w:val="center"/>
          </w:tcPr>
          <w:p>
            <w:pPr>
              <w:widowControl/>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生态  效益</w:t>
            </w:r>
          </w:p>
        </w:tc>
        <w:tc>
          <w:tcPr>
            <w:tcW w:w="567" w:type="dxa"/>
            <w:vMerge w:val="continue"/>
            <w:noWrap w:val="0"/>
            <w:vAlign w:val="center"/>
          </w:tcPr>
          <w:p>
            <w:pPr>
              <w:widowControl/>
              <w:jc w:val="both"/>
              <w:rPr>
                <w:rFonts w:hint="eastAsia" w:ascii="仿宋_GB2312" w:hAnsi="宋体" w:eastAsia="仿宋_GB2312" w:cs="宋体"/>
                <w:kern w:val="0"/>
                <w:sz w:val="20"/>
                <w:szCs w:val="20"/>
              </w:rPr>
            </w:pPr>
          </w:p>
        </w:tc>
        <w:tc>
          <w:tcPr>
            <w:tcW w:w="6590" w:type="dxa"/>
            <w:gridSpan w:val="2"/>
            <w:vMerge w:val="continue"/>
            <w:noWrap w:val="0"/>
            <w:vAlign w:val="center"/>
          </w:tcPr>
          <w:p>
            <w:pPr>
              <w:widowControl/>
              <w:jc w:val="left"/>
              <w:rPr>
                <w:rFonts w:hint="eastAsia" w:ascii="仿宋_GB2312" w:hAnsi="宋体" w:eastAsia="仿宋_GB2312" w:cs="宋体"/>
                <w:kern w:val="0"/>
                <w:sz w:val="20"/>
                <w:szCs w:val="20"/>
              </w:rPr>
            </w:pPr>
          </w:p>
        </w:tc>
        <w:tc>
          <w:tcPr>
            <w:tcW w:w="617" w:type="dxa"/>
            <w:vMerge w:val="continue"/>
            <w:noWrap w:val="0"/>
            <w:vAlign w:val="center"/>
          </w:tcPr>
          <w:p>
            <w:pPr>
              <w:widowControl/>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90%（含）以上计2分；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80%（含）-90%，计1分；70%（含）-80%，计0.5分；低于70%,计0分。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社会公众或服务对象是指部门（单位）履行职责而影响到的部门，群体或个人，一般采取社会调查的方式(不少于30份)。</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0" w:type="dxa"/>
            <w:gridSpan w:val="2"/>
            <w:noWrap w:val="0"/>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8575" w:type="dxa"/>
            <w:gridSpan w:val="5"/>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97</w:t>
            </w:r>
          </w:p>
        </w:tc>
      </w:tr>
      <w:bookmarkEnd w:id="1"/>
    </w:tbl>
    <w:p>
      <w:pPr>
        <w:spacing w:line="600" w:lineRule="exact"/>
        <w:rPr>
          <w:rFonts w:ascii="宋体" w:hAnsi="宋体" w:cs="宋体"/>
          <w:kern w:val="0"/>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354FD"/>
    <w:multiLevelType w:val="singleLevel"/>
    <w:tmpl w:val="94A354FD"/>
    <w:lvl w:ilvl="0" w:tentative="0">
      <w:start w:val="1"/>
      <w:numFmt w:val="decimal"/>
      <w:suff w:val="nothing"/>
      <w:lvlText w:val="%1．"/>
      <w:lvlJc w:val="left"/>
    </w:lvl>
  </w:abstractNum>
  <w:abstractNum w:abstractNumId="1">
    <w:nsid w:val="AF541BEA"/>
    <w:multiLevelType w:val="singleLevel"/>
    <w:tmpl w:val="AF541BE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Y2E2NThmNTlmNmMzMDE1ZGUyMTE2NzZkNjRjMDEifQ=="/>
  </w:docVars>
  <w:rsids>
    <w:rsidRoot w:val="00000000"/>
    <w:rsid w:val="023D0B8F"/>
    <w:rsid w:val="03A03184"/>
    <w:rsid w:val="042C03AD"/>
    <w:rsid w:val="086724C2"/>
    <w:rsid w:val="0A0566AE"/>
    <w:rsid w:val="10341DB3"/>
    <w:rsid w:val="1EAC476E"/>
    <w:rsid w:val="2BAF5A2E"/>
    <w:rsid w:val="3AC14BDF"/>
    <w:rsid w:val="3D11326B"/>
    <w:rsid w:val="3E6B55B7"/>
    <w:rsid w:val="40A974CD"/>
    <w:rsid w:val="41FB36A0"/>
    <w:rsid w:val="45AD0E01"/>
    <w:rsid w:val="50FE0F9C"/>
    <w:rsid w:val="56D01807"/>
    <w:rsid w:val="676F64B6"/>
    <w:rsid w:val="75372475"/>
    <w:rsid w:val="767924E3"/>
    <w:rsid w:val="7A2B5BC9"/>
    <w:rsid w:val="7CA7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rPr>
      <w:sz w:val="24"/>
    </w:rPr>
  </w:style>
  <w:style w:type="character" w:styleId="7">
    <w:name w:val="page number"/>
    <w:basedOn w:val="6"/>
    <w:qFormat/>
    <w:uiPriority w:val="0"/>
  </w:style>
  <w:style w:type="character" w:styleId="8">
    <w:name w:val="FollowedHyperlink"/>
    <w:basedOn w:val="6"/>
    <w:qFormat/>
    <w:uiPriority w:val="0"/>
    <w:rPr>
      <w:color w:val="444444"/>
      <w:u w:val="none"/>
    </w:rPr>
  </w:style>
  <w:style w:type="character" w:styleId="9">
    <w:name w:val="Hyperlink"/>
    <w:basedOn w:val="6"/>
    <w:qFormat/>
    <w:uiPriority w:val="0"/>
    <w:rPr>
      <w:color w:val="444444"/>
      <w:u w:val="none"/>
    </w:rPr>
  </w:style>
  <w:style w:type="character" w:customStyle="1" w:styleId="10">
    <w:name w:val="gai"/>
    <w:basedOn w:val="6"/>
    <w:qFormat/>
    <w:uiPriority w:val="0"/>
  </w:style>
  <w:style w:type="character" w:customStyle="1" w:styleId="11">
    <w:name w:val="gai1"/>
    <w:basedOn w:val="6"/>
    <w:qFormat/>
    <w:uiPriority w:val="0"/>
  </w:style>
  <w:style w:type="character" w:customStyle="1" w:styleId="12">
    <w:name w:val="gai2"/>
    <w:basedOn w:val="6"/>
    <w:qFormat/>
    <w:uiPriority w:val="0"/>
  </w:style>
  <w:style w:type="character" w:customStyle="1" w:styleId="13">
    <w:name w:val="gai3"/>
    <w:basedOn w:val="6"/>
    <w:qFormat/>
    <w:uiPriority w:val="0"/>
  </w:style>
  <w:style w:type="character" w:customStyle="1" w:styleId="14">
    <w:name w:val="gai4"/>
    <w:basedOn w:val="6"/>
    <w:qFormat/>
    <w:uiPriority w:val="0"/>
  </w:style>
  <w:style w:type="character" w:customStyle="1" w:styleId="15">
    <w:name w:val="you"/>
    <w:basedOn w:val="6"/>
    <w:qFormat/>
    <w:uiPriority w:val="0"/>
  </w:style>
  <w:style w:type="character" w:customStyle="1" w:styleId="16">
    <w:name w:val="info-valid"/>
    <w:basedOn w:val="6"/>
    <w:qFormat/>
    <w:uiPriority w:val="0"/>
    <w:rPr>
      <w:color w:val="444444"/>
    </w:rPr>
  </w:style>
  <w:style w:type="character" w:customStyle="1" w:styleId="17">
    <w:name w:val="tit2"/>
    <w:basedOn w:val="6"/>
    <w:qFormat/>
    <w:uiPriority w:val="0"/>
    <w:rPr>
      <w:color w:val="1D0000"/>
      <w:sz w:val="33"/>
      <w:szCs w:val="33"/>
    </w:rPr>
  </w:style>
  <w:style w:type="character" w:customStyle="1" w:styleId="18">
    <w:name w:val="tianqi"/>
    <w:basedOn w:val="6"/>
    <w:qFormat/>
    <w:uiPriority w:val="0"/>
  </w:style>
  <w:style w:type="character" w:customStyle="1" w:styleId="19">
    <w:name w:val="sjzs"/>
    <w:basedOn w:val="6"/>
    <w:qFormat/>
    <w:uiPriority w:val="0"/>
    <w:rPr>
      <w:sz w:val="27"/>
      <w:szCs w:val="27"/>
    </w:rPr>
  </w:style>
  <w:style w:type="character" w:customStyle="1" w:styleId="20">
    <w:name w:val="quanp"/>
    <w:basedOn w:val="6"/>
    <w:qFormat/>
    <w:uiPriority w:val="0"/>
    <w:rPr>
      <w:color w:val="FFFFFF"/>
      <w:shd w:val="clear" w:fill="7CB8FE"/>
    </w:rPr>
  </w:style>
  <w:style w:type="character" w:customStyle="1" w:styleId="21">
    <w:name w:val="lname"/>
    <w:basedOn w:val="6"/>
    <w:qFormat/>
    <w:uiPriority w:val="0"/>
    <w:rPr>
      <w:color w:val="000000"/>
      <w:sz w:val="30"/>
      <w:szCs w:val="30"/>
    </w:rPr>
  </w:style>
  <w:style w:type="character" w:customStyle="1" w:styleId="22">
    <w:name w:val="first-child4"/>
    <w:basedOn w:val="6"/>
    <w:qFormat/>
    <w:uiPriority w:val="0"/>
    <w:rPr>
      <w:color w:val="BD1B09"/>
    </w:rPr>
  </w:style>
  <w:style w:type="character" w:customStyle="1" w:styleId="23">
    <w:name w:val="first-child5"/>
    <w:basedOn w:val="6"/>
    <w:qFormat/>
    <w:uiPriority w:val="0"/>
    <w:rPr>
      <w:color w:val="878787"/>
      <w:sz w:val="36"/>
      <w:szCs w:val="36"/>
      <w:shd w:val="clear" w:fill="FFFFFF"/>
    </w:rPr>
  </w:style>
  <w:style w:type="character" w:customStyle="1" w:styleId="24">
    <w:name w:val="ldjs"/>
    <w:basedOn w:val="6"/>
    <w:qFormat/>
    <w:uiPriority w:val="0"/>
    <w:rPr>
      <w:color w:val="666666"/>
      <w:sz w:val="24"/>
      <w:szCs w:val="24"/>
    </w:rPr>
  </w:style>
  <w:style w:type="character" w:customStyle="1" w:styleId="25">
    <w:name w:val="quanp2"/>
    <w:basedOn w:val="6"/>
    <w:qFormat/>
    <w:uiPriority w:val="0"/>
    <w:rPr>
      <w:color w:val="FFFFFF"/>
      <w:sz w:val="0"/>
      <w:szCs w:val="0"/>
      <w:shd w:val="clear" w:fill="7CB8FE"/>
    </w:rPr>
  </w:style>
  <w:style w:type="character" w:customStyle="1" w:styleId="26">
    <w:name w:val="jiaoluo"/>
    <w:basedOn w:val="6"/>
    <w:qFormat/>
    <w:uiPriority w:val="0"/>
  </w:style>
  <w:style w:type="character" w:customStyle="1" w:styleId="27">
    <w:name w:val="last3"/>
    <w:basedOn w:val="6"/>
    <w:qFormat/>
    <w:uiPriority w:val="0"/>
  </w:style>
  <w:style w:type="character" w:customStyle="1" w:styleId="28">
    <w:name w:val="last4"/>
    <w:basedOn w:val="6"/>
    <w:qFormat/>
    <w:uiPriority w:val="0"/>
  </w:style>
  <w:style w:type="character" w:customStyle="1" w:styleId="29">
    <w:name w:val="fanhui"/>
    <w:basedOn w:val="6"/>
    <w:qFormat/>
    <w:uiPriority w:val="0"/>
    <w:rPr>
      <w:color w:val="FFFFFF"/>
      <w:sz w:val="24"/>
      <w:szCs w:val="24"/>
    </w:rPr>
  </w:style>
  <w:style w:type="character" w:customStyle="1" w:styleId="30">
    <w:name w:val="jiaoluo2"/>
    <w:basedOn w:val="6"/>
    <w:qFormat/>
    <w:uiPriority w:val="0"/>
  </w:style>
  <w:style w:type="character" w:customStyle="1" w:styleId="31">
    <w:name w:val="zuo"/>
    <w:basedOn w:val="6"/>
    <w:qFormat/>
    <w:uiPriority w:val="0"/>
  </w:style>
  <w:style w:type="character" w:customStyle="1" w:styleId="32">
    <w:name w:val="dcs"/>
    <w:basedOn w:val="6"/>
    <w:qFormat/>
    <w:uiPriority w:val="0"/>
    <w:rPr>
      <w:color w:val="BD1B09"/>
    </w:rPr>
  </w:style>
  <w:style w:type="character" w:customStyle="1" w:styleId="33">
    <w:name w:val="time"/>
    <w:basedOn w:val="6"/>
    <w:qFormat/>
    <w:uiPriority w:val="0"/>
    <w:rPr>
      <w:color w:val="999999"/>
    </w:rPr>
  </w:style>
  <w:style w:type="character" w:customStyle="1" w:styleId="34">
    <w:name w:val="time1"/>
    <w:basedOn w:val="6"/>
    <w:qFormat/>
    <w:uiPriority w:val="0"/>
    <w:rPr>
      <w:color w:va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5830</Words>
  <Characters>6110</Characters>
  <Lines>0</Lines>
  <Paragraphs>0</Paragraphs>
  <TotalTime>415</TotalTime>
  <ScaleCrop>false</ScaleCrop>
  <LinksUpToDate>false</LinksUpToDate>
  <CharactersWithSpaces>6265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2022-10-10T08:53:00Z</dcterms:created>
  <dc:creator>Administrator</dc:creator>
  <cp:lastModifiedBy>云蓝</cp:lastModifiedBy>
  <dcterms:modified xsi:type="dcterms:W3CDTF">2023-04-25T07:25:40Z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9EFB9897BD6E41C4BF09C1E388192AA7_13</vt:lpwstr>
  </property>
</Properties>
</file>