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北塔区财政局2022年预算绩效管理</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工作开展情况</w:t>
      </w:r>
    </w:p>
    <w:p>
      <w:pPr>
        <w:jc w:val="center"/>
      </w:pPr>
    </w:p>
    <w:p>
      <w:pPr>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为强化预算绩效责任，提高财政资金配置和使用效益</w:t>
      </w:r>
      <w:r>
        <w:rPr>
          <w:rFonts w:hint="eastAsia" w:ascii="仿宋" w:hAnsi="仿宋" w:eastAsia="仿宋" w:cs="仿宋"/>
          <w:sz w:val="32"/>
          <w:szCs w:val="32"/>
        </w:rPr>
        <w:t>，按照《中共中央 国务院关于全面实施预算绩效管理的意见》（中发[2018]34号）、《中共湖南省委办公厅 湖南省人民政府办公厅关于全面实施预算绩效管理的实施意见》（湘办发[2019]10号）文件要求，我局积极推进财政预算绩效管理，及时开展财政支出绩效评价工作，较好地完成了202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年度财政预算绩效管理工作任务。</w:t>
      </w:r>
    </w:p>
    <w:p>
      <w:pPr>
        <w:pStyle w:val="4"/>
        <w:pageBreakBefore w:val="0"/>
        <w:widowControl w:val="0"/>
        <w:numPr>
          <w:ilvl w:val="0"/>
          <w:numId w:val="1"/>
        </w:numPr>
        <w:kinsoku/>
        <w:wordWrap/>
        <w:overflowPunct/>
        <w:topLinePunct w:val="0"/>
        <w:autoSpaceDE/>
        <w:autoSpaceDN/>
        <w:bidi w:val="0"/>
        <w:adjustRightInd/>
        <w:spacing w:before="0" w:after="0" w:line="60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202</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年预算绩效管理工作开展情况</w:t>
      </w:r>
    </w:p>
    <w:p>
      <w:pPr>
        <w:pageBreakBefore w:val="0"/>
        <w:widowControl w:val="0"/>
        <w:numPr>
          <w:ilvl w:val="0"/>
          <w:numId w:val="2"/>
        </w:numPr>
        <w:kinsoku/>
        <w:wordWrap/>
        <w:overflowPunct/>
        <w:topLinePunct w:val="0"/>
        <w:autoSpaceDE/>
        <w:autoSpaceDN/>
        <w:bidi w:val="0"/>
        <w:adjustRightInd/>
        <w:spacing w:line="600" w:lineRule="exact"/>
        <w:ind w:lef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着重在</w:t>
      </w:r>
      <w:r>
        <w:rPr>
          <w:rFonts w:hint="eastAsia" w:ascii="楷体" w:hAnsi="楷体" w:eastAsia="楷体" w:cs="楷体"/>
          <w:b/>
          <w:bCs/>
          <w:sz w:val="32"/>
          <w:szCs w:val="32"/>
        </w:rPr>
        <w:t>制度建设</w:t>
      </w:r>
      <w:r>
        <w:rPr>
          <w:rFonts w:hint="eastAsia" w:ascii="楷体" w:hAnsi="楷体" w:eastAsia="楷体" w:cs="楷体"/>
          <w:b/>
          <w:bCs/>
          <w:sz w:val="32"/>
          <w:szCs w:val="32"/>
          <w:lang w:val="en-US" w:eastAsia="zh-CN"/>
        </w:rPr>
        <w:t>上下功夫</w:t>
      </w:r>
    </w:p>
    <w:p>
      <w:pPr>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把制度建设作为开展绩效管理工作的关键环节，根据国家、省和市有关文件要求根据《中共中央国务院关于全面实施预算绩效管理的意见》（中发[2018]34号)和《中共湖南省委办公厅 湖南省人民政府办公厅关于全面实施预算绩效管理的实施意见》（湘办发[2019]10号）等文件精神，结合我区实际，出台了《邵阳市北塔区预算绩效管理办法》</w:t>
      </w:r>
      <w:r>
        <w:rPr>
          <w:rFonts w:hint="eastAsia" w:ascii="仿宋" w:hAnsi="仿宋" w:eastAsia="仿宋" w:cs="仿宋"/>
          <w:sz w:val="32"/>
          <w:szCs w:val="32"/>
          <w:lang w:eastAsia="zh-CN"/>
        </w:rPr>
        <w:t>、</w:t>
      </w:r>
      <w:r>
        <w:rPr>
          <w:rFonts w:hint="eastAsia" w:ascii="仿宋" w:hAnsi="仿宋" w:eastAsia="仿宋" w:cs="仿宋"/>
          <w:sz w:val="32"/>
          <w:szCs w:val="32"/>
        </w:rPr>
        <w:t>《北塔区预算绩效目标管理办法》、《北塔区预算支出绩效评价管理办法》</w:t>
      </w:r>
      <w:r>
        <w:rPr>
          <w:rFonts w:hint="eastAsia" w:ascii="仿宋" w:hAnsi="仿宋" w:eastAsia="仿宋" w:cs="仿宋"/>
          <w:sz w:val="32"/>
          <w:szCs w:val="32"/>
          <w:lang w:eastAsia="zh-CN"/>
        </w:rPr>
        <w:t>，</w:t>
      </w:r>
      <w:r>
        <w:rPr>
          <w:rFonts w:hint="eastAsia" w:ascii="仿宋" w:hAnsi="仿宋" w:eastAsia="仿宋" w:cs="仿宋"/>
          <w:sz w:val="32"/>
          <w:szCs w:val="32"/>
        </w:rPr>
        <w:t>具体明确了财政支出绩效评价工作的管理职责、预算绩效监控管理的对象和内容、绩效目标、绩效管理指标、评价标准和方法、组织管理、操作流程等相关要求，为建立科学、规范、高效的财政资金使用和管理体系提供了制度保障</w:t>
      </w:r>
      <w:r>
        <w:rPr>
          <w:rFonts w:hint="eastAsia" w:ascii="仿宋" w:hAnsi="仿宋" w:eastAsia="仿宋" w:cs="仿宋"/>
          <w:sz w:val="32"/>
          <w:szCs w:val="32"/>
          <w:lang w:eastAsia="zh-CN"/>
        </w:rPr>
        <w:t>。</w:t>
      </w:r>
    </w:p>
    <w:p>
      <w:pPr>
        <w:pageBreakBefore w:val="0"/>
        <w:widowControl w:val="0"/>
        <w:numPr>
          <w:ilvl w:val="0"/>
          <w:numId w:val="2"/>
        </w:numPr>
        <w:kinsoku/>
        <w:wordWrap/>
        <w:overflowPunct/>
        <w:topLinePunct w:val="0"/>
        <w:autoSpaceDE/>
        <w:autoSpaceDN/>
        <w:bidi w:val="0"/>
        <w:adjustRightInd/>
        <w:spacing w:line="600" w:lineRule="exact"/>
        <w:ind w:lef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积极组织培训</w:t>
      </w:r>
    </w:p>
    <w:p>
      <w:pPr>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为推动我区预算绩效工作的深入开展，我局组织了全区范围内的预算绩效工作培训，进一步深化对绩效管理工作的理解与认识，提高绩效业务能力和水平，为</w:t>
      </w:r>
      <w:r>
        <w:rPr>
          <w:rFonts w:hint="eastAsia" w:ascii="仿宋" w:hAnsi="仿宋" w:eastAsia="仿宋" w:cs="仿宋"/>
          <w:color w:val="000000"/>
          <w:sz w:val="32"/>
          <w:szCs w:val="32"/>
          <w:shd w:val="clear" w:color="auto" w:fill="FFFFFF"/>
        </w:rPr>
        <w:t>各预算单位积极推进我区预算绩效管理工作打下来夯实基础。</w:t>
      </w:r>
    </w:p>
    <w:p>
      <w:pPr>
        <w:pageBreakBefore w:val="0"/>
        <w:widowControl w:val="0"/>
        <w:numPr>
          <w:ilvl w:val="0"/>
          <w:numId w:val="2"/>
        </w:numPr>
        <w:kinsoku/>
        <w:wordWrap/>
        <w:overflowPunct/>
        <w:topLinePunct w:val="0"/>
        <w:autoSpaceDE/>
        <w:autoSpaceDN/>
        <w:bidi w:val="0"/>
        <w:adjustRightInd/>
        <w:spacing w:line="600" w:lineRule="exact"/>
        <w:ind w:lef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绩效评价工作有序开展</w:t>
      </w:r>
    </w:p>
    <w:p>
      <w:pPr>
        <w:pStyle w:val="10"/>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为进一步强化财政支出绩效理念和责任意识，规范财政资金管理，切实提高财政资金使用效益，根据《中共中央国务院关于全面实施预算绩效管理的意见》（中发〔2018〕34号）、《中共湖南省委办公厅 湖南省人民政府办公厅关于全面实施预算绩效管理的实施意见》（湘办发〔2019〕10号）、《湖南省财政厅关于印发</w:t>
      </w:r>
      <w:r>
        <w:rPr>
          <w:rFonts w:hint="eastAsia" w:ascii="仿宋" w:hAnsi="仿宋" w:eastAsia="仿宋" w:cs="仿宋"/>
          <w:kern w:val="0"/>
          <w:sz w:val="32"/>
          <w:szCs w:val="32"/>
        </w:rPr>
        <w:t>&lt;</w:t>
      </w:r>
      <w:r>
        <w:rPr>
          <w:rFonts w:hint="eastAsia" w:ascii="仿宋" w:hAnsi="仿宋" w:eastAsia="仿宋" w:cs="仿宋"/>
          <w:sz w:val="32"/>
          <w:szCs w:val="32"/>
        </w:rPr>
        <w:t>湖南省预算支出绩效评价管理办法</w:t>
      </w:r>
      <w:r>
        <w:rPr>
          <w:rFonts w:hint="eastAsia" w:ascii="仿宋" w:hAnsi="仿宋" w:eastAsia="仿宋" w:cs="仿宋"/>
          <w:kern w:val="0"/>
          <w:sz w:val="32"/>
          <w:szCs w:val="32"/>
        </w:rPr>
        <w:t>&gt;</w:t>
      </w:r>
      <w:r>
        <w:rPr>
          <w:rFonts w:hint="eastAsia" w:ascii="仿宋" w:hAnsi="仿宋" w:eastAsia="仿宋" w:cs="仿宋"/>
          <w:sz w:val="32"/>
          <w:szCs w:val="32"/>
        </w:rPr>
        <w:t>的通知》（湘财绩〔2020〕7号）等有关文件规定，区</w:t>
      </w:r>
      <w:r>
        <w:rPr>
          <w:rFonts w:hint="eastAsia" w:ascii="仿宋" w:hAnsi="仿宋" w:eastAsia="仿宋" w:cs="仿宋"/>
          <w:sz w:val="32"/>
          <w:szCs w:val="32"/>
          <w:lang w:val="en-US" w:eastAsia="zh-CN"/>
        </w:rPr>
        <w:t>财政</w:t>
      </w:r>
      <w:r>
        <w:rPr>
          <w:rFonts w:hint="eastAsia" w:ascii="仿宋" w:hAnsi="仿宋" w:eastAsia="仿宋" w:cs="仿宋"/>
          <w:sz w:val="32"/>
          <w:szCs w:val="32"/>
        </w:rPr>
        <w:t>委托</w:t>
      </w:r>
      <w:r>
        <w:rPr>
          <w:rFonts w:hint="eastAsia" w:ascii="仿宋" w:hAnsi="仿宋" w:eastAsia="仿宋" w:cs="仿宋"/>
          <w:kern w:val="0"/>
          <w:sz w:val="32"/>
          <w:szCs w:val="32"/>
        </w:rPr>
        <w:t>湖南财正会计师事务所（普通合伙）</w:t>
      </w:r>
      <w:r>
        <w:rPr>
          <w:rFonts w:hint="eastAsia" w:ascii="仿宋" w:hAnsi="仿宋" w:eastAsia="仿宋" w:cs="仿宋"/>
          <w:sz w:val="32"/>
          <w:szCs w:val="32"/>
        </w:rPr>
        <w:t>成立绩效评价工作</w:t>
      </w:r>
      <w:r>
        <w:rPr>
          <w:rFonts w:hint="eastAsia" w:ascii="仿宋" w:hAnsi="仿宋" w:eastAsia="仿宋" w:cs="仿宋"/>
          <w:sz w:val="32"/>
          <w:szCs w:val="32"/>
          <w:lang w:val="en-US" w:eastAsia="zh-CN"/>
        </w:rPr>
        <w:t>小组</w:t>
      </w:r>
      <w:r>
        <w:rPr>
          <w:rFonts w:hint="eastAsia" w:ascii="仿宋" w:hAnsi="仿宋" w:eastAsia="仿宋" w:cs="仿宋"/>
          <w:sz w:val="32"/>
          <w:szCs w:val="32"/>
        </w:rPr>
        <w:t>，对</w:t>
      </w:r>
      <w:r>
        <w:rPr>
          <w:rFonts w:hint="eastAsia" w:ascii="仿宋" w:hAnsi="仿宋" w:eastAsia="仿宋" w:cs="仿宋"/>
          <w:sz w:val="32"/>
          <w:szCs w:val="32"/>
          <w:lang w:val="en-US" w:eastAsia="zh-CN"/>
        </w:rPr>
        <w:t>我</w:t>
      </w:r>
      <w:r>
        <w:rPr>
          <w:rFonts w:hint="eastAsia" w:ascii="仿宋" w:hAnsi="仿宋" w:eastAsia="仿宋" w:cs="仿宋"/>
          <w:sz w:val="32"/>
          <w:szCs w:val="32"/>
        </w:rPr>
        <w:t>区2021年</w:t>
      </w:r>
      <w:r>
        <w:rPr>
          <w:rFonts w:hint="eastAsia" w:ascii="仿宋" w:hAnsi="仿宋" w:eastAsia="仿宋" w:cs="仿宋"/>
          <w:sz w:val="32"/>
          <w:szCs w:val="32"/>
          <w:lang w:val="en-US" w:eastAsia="zh-CN"/>
        </w:rPr>
        <w:t>度重点绩效评价项目</w:t>
      </w:r>
      <w:r>
        <w:rPr>
          <w:rFonts w:hint="eastAsia" w:ascii="仿宋" w:hAnsi="仿宋" w:eastAsia="仿宋" w:cs="仿宋"/>
          <w:sz w:val="32"/>
          <w:szCs w:val="32"/>
        </w:rPr>
        <w:t>开展绩效评价工作</w:t>
      </w:r>
      <w:r>
        <w:rPr>
          <w:rFonts w:hint="eastAsia" w:ascii="仿宋" w:hAnsi="仿宋" w:eastAsia="仿宋" w:cs="仿宋"/>
          <w:sz w:val="32"/>
          <w:szCs w:val="32"/>
          <w:lang w:val="en-US" w:eastAsia="zh-CN"/>
        </w:rPr>
        <w:t>,本次重点绩效评价范围10个项目类型，其中事前评估项目1个，财政政策评价项目1个，政府采购项目1个，部门整体支出项目1个，政府债项目1个，专项资金项目5个，共计208个项目，共涉及评价资金20,794.54万元。具体明细如下：</w:t>
      </w:r>
    </w:p>
    <w:tbl>
      <w:tblPr>
        <w:tblStyle w:val="11"/>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7"/>
        <w:gridCol w:w="2182"/>
        <w:gridCol w:w="440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1213"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项目主管单位</w:t>
            </w:r>
          </w:p>
        </w:tc>
        <w:tc>
          <w:tcPr>
            <w:tcW w:w="2448"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项目名称</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w:t>
            </w:r>
          </w:p>
        </w:tc>
        <w:tc>
          <w:tcPr>
            <w:tcW w:w="1213" w:type="pct"/>
            <w:shd w:val="clear" w:color="auto" w:fill="auto"/>
            <w:noWrap/>
            <w:vAlign w:val="center"/>
          </w:tcPr>
          <w:p>
            <w:pPr>
              <w:keepNext w:val="0"/>
              <w:keepLines w:val="0"/>
              <w:widowControl/>
              <w:suppressLineNumbers w:val="0"/>
              <w:jc w:val="center"/>
              <w:textAlignment w:val="center"/>
              <w:rPr>
                <w:rStyle w:val="15"/>
                <w:rFonts w:hint="eastAsia" w:asciiTheme="majorEastAsia" w:hAnsiTheme="majorEastAsia" w:eastAsiaTheme="majorEastAsia" w:cstheme="majorEastAsia"/>
                <w:color w:val="auto"/>
                <w:sz w:val="24"/>
                <w:szCs w:val="24"/>
                <w:lang w:val="en-US" w:eastAsia="zh-CN" w:bidi="ar"/>
              </w:rPr>
            </w:pPr>
            <w:r>
              <w:rPr>
                <w:rStyle w:val="15"/>
                <w:rFonts w:hint="eastAsia" w:asciiTheme="majorEastAsia" w:hAnsiTheme="majorEastAsia" w:eastAsiaTheme="majorEastAsia" w:cstheme="majorEastAsia"/>
                <w:color w:val="auto"/>
                <w:sz w:val="24"/>
                <w:szCs w:val="24"/>
                <w:lang w:val="en-US" w:eastAsia="zh-CN" w:bidi="ar"/>
              </w:rPr>
              <w:t>区教育局</w:t>
            </w:r>
          </w:p>
        </w:tc>
        <w:tc>
          <w:tcPr>
            <w:tcW w:w="2448" w:type="pct"/>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u w:val="none"/>
              </w:rPr>
            </w:pPr>
            <w:r>
              <w:rPr>
                <w:rStyle w:val="15"/>
                <w:rFonts w:hint="eastAsia" w:asciiTheme="majorEastAsia" w:hAnsiTheme="majorEastAsia" w:eastAsiaTheme="majorEastAsia" w:cstheme="majorEastAsia"/>
                <w:color w:val="auto"/>
                <w:sz w:val="24"/>
                <w:szCs w:val="24"/>
                <w:lang w:val="en-US" w:eastAsia="zh-CN" w:bidi="ar"/>
              </w:rPr>
              <w:t>教育购买服务（校车车载服务）</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 xml:space="preserve">15.90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2</w:t>
            </w:r>
          </w:p>
        </w:tc>
        <w:tc>
          <w:tcPr>
            <w:tcW w:w="1213"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4"/>
                <w:szCs w:val="24"/>
                <w:u w:val="none"/>
                <w:lang w:val="en-US" w:eastAsia="zh-CN" w:bidi="ar"/>
              </w:rPr>
            </w:pPr>
            <w:r>
              <w:rPr>
                <w:rFonts w:hint="eastAsia" w:asciiTheme="majorEastAsia" w:hAnsiTheme="majorEastAsia" w:eastAsiaTheme="majorEastAsia" w:cstheme="majorEastAsia"/>
                <w:i w:val="0"/>
                <w:iCs w:val="0"/>
                <w:color w:val="auto"/>
                <w:kern w:val="0"/>
                <w:sz w:val="24"/>
                <w:szCs w:val="24"/>
                <w:u w:val="none"/>
                <w:lang w:val="en-US" w:eastAsia="zh-CN" w:bidi="ar"/>
              </w:rPr>
              <w:t>区社保服务中心</w:t>
            </w:r>
          </w:p>
        </w:tc>
        <w:tc>
          <w:tcPr>
            <w:tcW w:w="2448" w:type="pct"/>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社保基金（城乡居民养老保险）</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 xml:space="preserve">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3</w:t>
            </w:r>
          </w:p>
        </w:tc>
        <w:tc>
          <w:tcPr>
            <w:tcW w:w="1213" w:type="pct"/>
            <w:shd w:val="clear" w:color="auto" w:fill="auto"/>
            <w:noWrap/>
            <w:vAlign w:val="center"/>
          </w:tcPr>
          <w:p>
            <w:pPr>
              <w:keepNext w:val="0"/>
              <w:keepLines w:val="0"/>
              <w:widowControl/>
              <w:suppressLineNumbers w:val="0"/>
              <w:jc w:val="center"/>
              <w:textAlignment w:val="center"/>
              <w:rPr>
                <w:rStyle w:val="16"/>
                <w:rFonts w:hint="eastAsia" w:asciiTheme="majorEastAsia" w:hAnsiTheme="majorEastAsia" w:eastAsiaTheme="majorEastAsia" w:cstheme="majorEastAsia"/>
                <w:color w:val="auto"/>
                <w:sz w:val="24"/>
                <w:szCs w:val="24"/>
                <w:lang w:val="en-US" w:eastAsia="zh-CN" w:bidi="ar"/>
              </w:rPr>
            </w:pPr>
            <w:r>
              <w:rPr>
                <w:rStyle w:val="16"/>
                <w:rFonts w:hint="eastAsia" w:asciiTheme="majorEastAsia" w:hAnsiTheme="majorEastAsia" w:eastAsiaTheme="majorEastAsia" w:cstheme="majorEastAsia"/>
                <w:color w:val="auto"/>
                <w:sz w:val="24"/>
                <w:szCs w:val="24"/>
                <w:lang w:val="en-US" w:eastAsia="zh-CN" w:bidi="ar"/>
              </w:rPr>
              <w:t>区教育局</w:t>
            </w:r>
          </w:p>
        </w:tc>
        <w:tc>
          <w:tcPr>
            <w:tcW w:w="2448" w:type="pct"/>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u w:val="none"/>
              </w:rPr>
            </w:pPr>
            <w:r>
              <w:rPr>
                <w:rStyle w:val="16"/>
                <w:rFonts w:hint="eastAsia" w:asciiTheme="majorEastAsia" w:hAnsiTheme="majorEastAsia" w:eastAsiaTheme="majorEastAsia" w:cstheme="majorEastAsia"/>
                <w:i w:val="0"/>
                <w:iCs w:val="0"/>
                <w:color w:val="auto"/>
                <w:sz w:val="24"/>
                <w:szCs w:val="24"/>
                <w:lang w:val="en-US" w:eastAsia="zh-CN" w:bidi="ar"/>
              </w:rPr>
              <w:t>茶元头办公幼儿园建设项目</w:t>
            </w:r>
            <w:r>
              <w:rPr>
                <w:rStyle w:val="17"/>
                <w:rFonts w:hint="eastAsia" w:asciiTheme="majorEastAsia" w:hAnsiTheme="majorEastAsia" w:eastAsiaTheme="majorEastAsia" w:cstheme="majorEastAsia"/>
                <w:color w:val="auto"/>
                <w:sz w:val="24"/>
                <w:szCs w:val="24"/>
                <w:lang w:val="en-US" w:eastAsia="zh-CN" w:bidi="ar"/>
              </w:rPr>
              <w:t>2023</w:t>
            </w:r>
            <w:r>
              <w:rPr>
                <w:rStyle w:val="16"/>
                <w:rFonts w:hint="eastAsia" w:asciiTheme="majorEastAsia" w:hAnsiTheme="majorEastAsia" w:eastAsiaTheme="majorEastAsia" w:cstheme="majorEastAsia"/>
                <w:color w:val="auto"/>
                <w:sz w:val="24"/>
                <w:szCs w:val="24"/>
                <w:lang w:val="en-US" w:eastAsia="zh-CN" w:bidi="ar"/>
              </w:rPr>
              <w:t>年事前评估</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2,624.74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4</w:t>
            </w:r>
          </w:p>
        </w:tc>
        <w:tc>
          <w:tcPr>
            <w:tcW w:w="1213"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4"/>
                <w:szCs w:val="24"/>
                <w:u w:val="none"/>
                <w:lang w:val="en-US" w:eastAsia="zh-CN" w:bidi="ar"/>
              </w:rPr>
            </w:pPr>
            <w:r>
              <w:rPr>
                <w:rFonts w:hint="eastAsia" w:asciiTheme="majorEastAsia" w:hAnsiTheme="majorEastAsia" w:eastAsiaTheme="majorEastAsia" w:cstheme="majorEastAsia"/>
                <w:i w:val="0"/>
                <w:iCs w:val="0"/>
                <w:color w:val="auto"/>
                <w:kern w:val="0"/>
                <w:sz w:val="24"/>
                <w:szCs w:val="24"/>
                <w:u w:val="none"/>
                <w:lang w:val="en-US" w:eastAsia="zh-CN" w:bidi="ar"/>
              </w:rPr>
              <w:t>区商务局</w:t>
            </w:r>
          </w:p>
        </w:tc>
        <w:tc>
          <w:tcPr>
            <w:tcW w:w="2448" w:type="pct"/>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财政政策《推进保税改革试点若干措施》</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 xml:space="preserve">82.49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5</w:t>
            </w:r>
          </w:p>
        </w:tc>
        <w:tc>
          <w:tcPr>
            <w:tcW w:w="1213" w:type="pct"/>
            <w:shd w:val="clear" w:color="auto" w:fill="auto"/>
            <w:noWrap/>
            <w:vAlign w:val="center"/>
          </w:tcPr>
          <w:p>
            <w:pPr>
              <w:keepNext w:val="0"/>
              <w:keepLines w:val="0"/>
              <w:widowControl/>
              <w:suppressLineNumbers w:val="0"/>
              <w:jc w:val="center"/>
              <w:textAlignment w:val="center"/>
              <w:rPr>
                <w:rStyle w:val="16"/>
                <w:rFonts w:hint="eastAsia" w:asciiTheme="majorEastAsia" w:hAnsiTheme="majorEastAsia" w:eastAsiaTheme="majorEastAsia" w:cstheme="majorEastAsia"/>
                <w:color w:val="auto"/>
                <w:sz w:val="24"/>
                <w:szCs w:val="24"/>
                <w:lang w:val="en-US" w:eastAsia="zh-CN" w:bidi="ar"/>
              </w:rPr>
            </w:pPr>
            <w:r>
              <w:rPr>
                <w:rStyle w:val="16"/>
                <w:rFonts w:hint="eastAsia" w:asciiTheme="majorEastAsia" w:hAnsiTheme="majorEastAsia" w:eastAsiaTheme="majorEastAsia" w:cstheme="majorEastAsia"/>
                <w:color w:val="auto"/>
                <w:sz w:val="24"/>
                <w:szCs w:val="24"/>
                <w:lang w:val="en-US" w:eastAsia="zh-CN" w:bidi="ar"/>
              </w:rPr>
              <w:t>区教育局</w:t>
            </w:r>
          </w:p>
        </w:tc>
        <w:tc>
          <w:tcPr>
            <w:tcW w:w="2448" w:type="pct"/>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教育系统整体支出</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13,588.65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6</w:t>
            </w:r>
          </w:p>
        </w:tc>
        <w:tc>
          <w:tcPr>
            <w:tcW w:w="1213" w:type="pct"/>
            <w:shd w:val="clear" w:color="auto" w:fill="auto"/>
            <w:noWrap/>
            <w:vAlign w:val="center"/>
          </w:tcPr>
          <w:p>
            <w:pPr>
              <w:keepNext w:val="0"/>
              <w:keepLines w:val="0"/>
              <w:widowControl/>
              <w:suppressLineNumbers w:val="0"/>
              <w:jc w:val="center"/>
              <w:textAlignment w:val="center"/>
              <w:rPr>
                <w:rStyle w:val="15"/>
                <w:rFonts w:hint="eastAsia" w:asciiTheme="majorEastAsia" w:hAnsiTheme="majorEastAsia" w:eastAsiaTheme="majorEastAsia" w:cstheme="majorEastAsia"/>
                <w:color w:val="auto"/>
                <w:sz w:val="24"/>
                <w:szCs w:val="24"/>
                <w:lang w:val="en-US" w:eastAsia="zh-CN" w:bidi="ar"/>
              </w:rPr>
            </w:pPr>
            <w:r>
              <w:rPr>
                <w:rStyle w:val="15"/>
                <w:rFonts w:hint="eastAsia" w:asciiTheme="majorEastAsia" w:hAnsiTheme="majorEastAsia" w:eastAsiaTheme="majorEastAsia" w:cstheme="majorEastAsia"/>
                <w:color w:val="auto"/>
                <w:sz w:val="24"/>
                <w:szCs w:val="24"/>
                <w:lang w:val="en-US" w:eastAsia="zh-CN" w:bidi="ar"/>
              </w:rPr>
              <w:t>区疾控中心</w:t>
            </w:r>
          </w:p>
        </w:tc>
        <w:tc>
          <w:tcPr>
            <w:tcW w:w="2448" w:type="pct"/>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u w:val="none"/>
              </w:rPr>
            </w:pPr>
            <w:r>
              <w:rPr>
                <w:rStyle w:val="15"/>
                <w:rFonts w:hint="eastAsia" w:asciiTheme="majorEastAsia" w:hAnsiTheme="majorEastAsia" w:eastAsiaTheme="majorEastAsia" w:cstheme="majorEastAsia"/>
                <w:color w:val="auto"/>
                <w:sz w:val="24"/>
                <w:szCs w:val="24"/>
                <w:lang w:val="en-US" w:eastAsia="zh-CN" w:bidi="ar"/>
              </w:rPr>
              <w:t>政府采购（疾控中心新冠肺炎病毒提取仪采购）</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7</w:t>
            </w:r>
          </w:p>
        </w:tc>
        <w:tc>
          <w:tcPr>
            <w:tcW w:w="1213"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4"/>
                <w:szCs w:val="24"/>
                <w:u w:val="none"/>
                <w:lang w:val="en-US" w:eastAsia="zh-CN" w:bidi="ar"/>
              </w:rPr>
            </w:pPr>
            <w:r>
              <w:rPr>
                <w:rFonts w:hint="eastAsia" w:asciiTheme="majorEastAsia" w:hAnsiTheme="majorEastAsia" w:eastAsiaTheme="majorEastAsia" w:cstheme="majorEastAsia"/>
                <w:i w:val="0"/>
                <w:iCs w:val="0"/>
                <w:color w:val="auto"/>
                <w:kern w:val="0"/>
                <w:sz w:val="24"/>
                <w:szCs w:val="24"/>
                <w:u w:val="none"/>
                <w:lang w:val="en-US" w:eastAsia="zh-CN" w:bidi="ar"/>
              </w:rPr>
              <w:t>区住建局</w:t>
            </w:r>
          </w:p>
        </w:tc>
        <w:tc>
          <w:tcPr>
            <w:tcW w:w="2448" w:type="pct"/>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重点投资项目状元洲街道办事处机关老旧小区改造配套基础设施建设项目</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 xml:space="preserve">89.42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8</w:t>
            </w:r>
          </w:p>
        </w:tc>
        <w:tc>
          <w:tcPr>
            <w:tcW w:w="1213" w:type="pct"/>
            <w:shd w:val="clear" w:color="auto" w:fill="auto"/>
            <w:noWrap/>
            <w:vAlign w:val="center"/>
          </w:tcPr>
          <w:p>
            <w:pPr>
              <w:keepNext w:val="0"/>
              <w:keepLines w:val="0"/>
              <w:widowControl/>
              <w:suppressLineNumbers w:val="0"/>
              <w:jc w:val="center"/>
              <w:textAlignment w:val="center"/>
              <w:rPr>
                <w:rStyle w:val="16"/>
                <w:rFonts w:hint="eastAsia" w:asciiTheme="majorEastAsia" w:hAnsiTheme="majorEastAsia" w:eastAsiaTheme="majorEastAsia" w:cstheme="majorEastAsia"/>
                <w:color w:val="auto"/>
                <w:sz w:val="24"/>
                <w:szCs w:val="24"/>
                <w:lang w:val="en-US" w:eastAsia="zh-CN" w:bidi="ar"/>
              </w:rPr>
            </w:pPr>
            <w:r>
              <w:rPr>
                <w:rStyle w:val="16"/>
                <w:rFonts w:hint="eastAsia" w:asciiTheme="majorEastAsia" w:hAnsiTheme="majorEastAsia" w:eastAsiaTheme="majorEastAsia" w:cstheme="majorEastAsia"/>
                <w:color w:val="auto"/>
                <w:sz w:val="24"/>
                <w:szCs w:val="24"/>
                <w:lang w:val="en-US" w:eastAsia="zh-CN" w:bidi="ar"/>
              </w:rPr>
              <w:t>各乡政府、市园艺场、区交通局</w:t>
            </w:r>
          </w:p>
        </w:tc>
        <w:tc>
          <w:tcPr>
            <w:tcW w:w="2448" w:type="pct"/>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扶贫专项资金</w:t>
            </w:r>
            <w:r>
              <w:rPr>
                <w:rStyle w:val="17"/>
                <w:rFonts w:hint="eastAsia" w:asciiTheme="majorEastAsia" w:hAnsiTheme="majorEastAsia" w:eastAsiaTheme="majorEastAsia" w:cstheme="majorEastAsia"/>
                <w:color w:val="auto"/>
                <w:sz w:val="24"/>
                <w:szCs w:val="24"/>
                <w:lang w:val="en-US" w:eastAsia="zh-CN" w:bidi="ar"/>
              </w:rPr>
              <w:t>(102</w:t>
            </w:r>
            <w:r>
              <w:rPr>
                <w:rStyle w:val="16"/>
                <w:rFonts w:hint="eastAsia" w:asciiTheme="majorEastAsia" w:hAnsiTheme="majorEastAsia" w:eastAsiaTheme="majorEastAsia" w:cstheme="majorEastAsia"/>
                <w:color w:val="auto"/>
                <w:sz w:val="24"/>
                <w:szCs w:val="24"/>
                <w:lang w:val="en-US" w:eastAsia="zh-CN" w:bidi="ar"/>
              </w:rPr>
              <w:t>个项目</w:t>
            </w:r>
            <w:r>
              <w:rPr>
                <w:rStyle w:val="17"/>
                <w:rFonts w:hint="eastAsia" w:asciiTheme="majorEastAsia" w:hAnsiTheme="majorEastAsia" w:eastAsiaTheme="majorEastAsia" w:cstheme="majorEastAsia"/>
                <w:color w:val="auto"/>
                <w:sz w:val="24"/>
                <w:szCs w:val="24"/>
                <w:lang w:val="en-US" w:eastAsia="zh-CN" w:bidi="ar"/>
              </w:rPr>
              <w:t>)</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 xml:space="preserve">2,031.84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9</w:t>
            </w:r>
          </w:p>
        </w:tc>
        <w:tc>
          <w:tcPr>
            <w:tcW w:w="1213" w:type="pct"/>
            <w:shd w:val="clear" w:color="auto" w:fill="auto"/>
            <w:noWrap/>
            <w:vAlign w:val="center"/>
          </w:tcPr>
          <w:p>
            <w:pPr>
              <w:keepNext w:val="0"/>
              <w:keepLines w:val="0"/>
              <w:widowControl/>
              <w:suppressLineNumbers w:val="0"/>
              <w:jc w:val="center"/>
              <w:textAlignment w:val="center"/>
              <w:rPr>
                <w:rStyle w:val="16"/>
                <w:rFonts w:hint="eastAsia" w:asciiTheme="majorEastAsia" w:hAnsiTheme="majorEastAsia" w:eastAsiaTheme="majorEastAsia" w:cstheme="majorEastAsia"/>
                <w:color w:val="auto"/>
                <w:sz w:val="24"/>
                <w:szCs w:val="24"/>
                <w:lang w:val="en-US" w:eastAsia="zh-CN" w:bidi="ar"/>
              </w:rPr>
            </w:pPr>
            <w:r>
              <w:rPr>
                <w:rStyle w:val="16"/>
                <w:rFonts w:hint="eastAsia" w:asciiTheme="majorEastAsia" w:hAnsiTheme="majorEastAsia" w:eastAsiaTheme="majorEastAsia" w:cstheme="majorEastAsia"/>
                <w:color w:val="auto"/>
                <w:sz w:val="24"/>
                <w:szCs w:val="24"/>
                <w:lang w:val="en-US" w:eastAsia="zh-CN" w:bidi="ar"/>
              </w:rPr>
              <w:t>各乡政府</w:t>
            </w:r>
          </w:p>
        </w:tc>
        <w:tc>
          <w:tcPr>
            <w:tcW w:w="2448" w:type="pct"/>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一事一议项目</w:t>
            </w:r>
            <w:r>
              <w:rPr>
                <w:rStyle w:val="17"/>
                <w:rFonts w:hint="eastAsia" w:asciiTheme="majorEastAsia" w:hAnsiTheme="majorEastAsia" w:eastAsiaTheme="majorEastAsia" w:cstheme="majorEastAsia"/>
                <w:color w:val="auto"/>
                <w:sz w:val="24"/>
                <w:szCs w:val="24"/>
                <w:lang w:val="en-US" w:eastAsia="zh-CN" w:bidi="ar"/>
              </w:rPr>
              <w:t>(98</w:t>
            </w:r>
            <w:r>
              <w:rPr>
                <w:rStyle w:val="16"/>
                <w:rFonts w:hint="eastAsia" w:asciiTheme="majorEastAsia" w:hAnsiTheme="majorEastAsia" w:eastAsiaTheme="majorEastAsia" w:cstheme="majorEastAsia"/>
                <w:color w:val="auto"/>
                <w:sz w:val="24"/>
                <w:szCs w:val="24"/>
                <w:lang w:val="en-US" w:eastAsia="zh-CN" w:bidi="ar"/>
              </w:rPr>
              <w:t>个项目</w:t>
            </w:r>
            <w:r>
              <w:rPr>
                <w:rStyle w:val="17"/>
                <w:rFonts w:hint="eastAsia" w:asciiTheme="majorEastAsia" w:hAnsiTheme="majorEastAsia" w:eastAsiaTheme="majorEastAsia" w:cstheme="majorEastAsia"/>
                <w:color w:val="auto"/>
                <w:sz w:val="24"/>
                <w:szCs w:val="24"/>
                <w:lang w:val="en-US" w:eastAsia="zh-CN" w:bidi="ar"/>
              </w:rPr>
              <w:t>)</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 xml:space="preserve">1,120.50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10</w:t>
            </w:r>
          </w:p>
        </w:tc>
        <w:tc>
          <w:tcPr>
            <w:tcW w:w="1213" w:type="pct"/>
            <w:shd w:val="clear" w:color="auto" w:fill="auto"/>
            <w:noWrap/>
            <w:vAlign w:val="center"/>
          </w:tcPr>
          <w:p>
            <w:pPr>
              <w:keepNext w:val="0"/>
              <w:keepLines w:val="0"/>
              <w:widowControl/>
              <w:suppressLineNumbers w:val="0"/>
              <w:jc w:val="center"/>
              <w:textAlignment w:val="center"/>
              <w:rPr>
                <w:rStyle w:val="16"/>
                <w:rFonts w:hint="eastAsia" w:asciiTheme="majorEastAsia" w:hAnsiTheme="majorEastAsia" w:eastAsiaTheme="majorEastAsia" w:cstheme="majorEastAsia"/>
                <w:color w:val="auto"/>
                <w:sz w:val="24"/>
                <w:szCs w:val="24"/>
                <w:lang w:val="en-US" w:eastAsia="zh-CN" w:bidi="ar"/>
              </w:rPr>
            </w:pPr>
            <w:r>
              <w:rPr>
                <w:rStyle w:val="16"/>
                <w:rFonts w:hint="eastAsia" w:asciiTheme="majorEastAsia" w:hAnsiTheme="majorEastAsia" w:eastAsiaTheme="majorEastAsia" w:cstheme="majorEastAsia"/>
                <w:color w:val="auto"/>
                <w:sz w:val="24"/>
                <w:szCs w:val="24"/>
                <w:lang w:val="en-US" w:eastAsia="zh-CN" w:bidi="ar"/>
              </w:rPr>
              <w:t>区住建局</w:t>
            </w:r>
          </w:p>
        </w:tc>
        <w:tc>
          <w:tcPr>
            <w:tcW w:w="2448" w:type="pct"/>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政府债务项目</w:t>
            </w:r>
            <w:r>
              <w:rPr>
                <w:rStyle w:val="17"/>
                <w:rFonts w:hint="eastAsia" w:asciiTheme="majorEastAsia" w:hAnsiTheme="majorEastAsia" w:eastAsiaTheme="majorEastAsia" w:cstheme="majorEastAsia"/>
                <w:color w:val="auto"/>
                <w:sz w:val="24"/>
                <w:szCs w:val="24"/>
                <w:lang w:val="en-US" w:eastAsia="zh-CN" w:bidi="ar"/>
              </w:rPr>
              <w:t xml:space="preserve"> </w:t>
            </w:r>
            <w:r>
              <w:rPr>
                <w:rStyle w:val="16"/>
                <w:rFonts w:hint="eastAsia" w:asciiTheme="majorEastAsia" w:hAnsiTheme="majorEastAsia" w:eastAsiaTheme="majorEastAsia" w:cstheme="majorEastAsia"/>
                <w:color w:val="auto"/>
                <w:sz w:val="24"/>
                <w:szCs w:val="24"/>
                <w:lang w:val="en-US" w:eastAsia="zh-CN" w:bidi="ar"/>
              </w:rPr>
              <w:t>微循环道路建设</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 xml:space="preserve">1,129.00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2"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4"/>
                <w:szCs w:val="24"/>
                <w:u w:val="none"/>
                <w:lang w:val="en-US" w:eastAsia="zh-CN" w:bidi="ar"/>
              </w:rPr>
            </w:pPr>
          </w:p>
        </w:tc>
        <w:tc>
          <w:tcPr>
            <w:tcW w:w="3661" w:type="pct"/>
            <w:gridSpan w:val="2"/>
            <w:shd w:val="clear" w:color="auto" w:fill="auto"/>
            <w:noWrap/>
            <w:vAlign w:val="center"/>
          </w:tcPr>
          <w:p>
            <w:pPr>
              <w:keepNext w:val="0"/>
              <w:keepLines w:val="0"/>
              <w:widowControl/>
              <w:suppressLineNumbers w:val="0"/>
              <w:jc w:val="center"/>
              <w:textAlignment w:val="center"/>
              <w:rPr>
                <w:rStyle w:val="16"/>
                <w:rFonts w:hint="eastAsia" w:asciiTheme="majorEastAsia" w:hAnsiTheme="majorEastAsia" w:eastAsiaTheme="majorEastAsia" w:cstheme="majorEastAsia"/>
                <w:color w:val="auto"/>
                <w:sz w:val="24"/>
                <w:szCs w:val="24"/>
                <w:lang w:val="en-US" w:eastAsia="zh-CN" w:bidi="ar"/>
              </w:rPr>
            </w:pPr>
            <w:r>
              <w:rPr>
                <w:rStyle w:val="16"/>
                <w:rFonts w:hint="eastAsia" w:asciiTheme="majorEastAsia" w:hAnsiTheme="majorEastAsia" w:eastAsiaTheme="majorEastAsia" w:cstheme="majorEastAsia"/>
                <w:color w:val="auto"/>
                <w:sz w:val="24"/>
                <w:szCs w:val="24"/>
                <w:lang w:val="en-US" w:eastAsia="zh-CN" w:bidi="ar"/>
              </w:rPr>
              <w:t>合计</w:t>
            </w:r>
          </w:p>
        </w:tc>
        <w:tc>
          <w:tcPr>
            <w:tcW w:w="805"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4"/>
                <w:szCs w:val="24"/>
                <w:u w:val="none"/>
                <w:lang w:val="en-US" w:eastAsia="zh-CN" w:bidi="ar"/>
              </w:rPr>
            </w:pPr>
            <w:r>
              <w:rPr>
                <w:rFonts w:hint="eastAsia" w:asciiTheme="majorEastAsia" w:hAnsiTheme="majorEastAsia" w:eastAsiaTheme="majorEastAsia" w:cstheme="majorEastAsia"/>
                <w:i w:val="0"/>
                <w:iCs w:val="0"/>
                <w:color w:val="auto"/>
                <w:kern w:val="0"/>
                <w:sz w:val="24"/>
                <w:szCs w:val="24"/>
                <w:u w:val="none"/>
                <w:lang w:val="en-US" w:eastAsia="zh-CN" w:bidi="ar"/>
              </w:rPr>
              <w:t>20,794.54</w:t>
            </w:r>
          </w:p>
        </w:tc>
      </w:tr>
    </w:tbl>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黑体" w:hAnsi="黑体" w:eastAsia="黑体" w:cs="黑体"/>
          <w:bCs/>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bCs/>
          <w:sz w:val="32"/>
          <w:szCs w:val="32"/>
          <w:lang w:val="en-US" w:eastAsia="zh-CN"/>
        </w:rPr>
        <w:t>重点评价项目基本情况</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1、区教育局</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cs="仿宋"/>
          <w:bCs/>
          <w:sz w:val="32"/>
          <w:szCs w:val="32"/>
          <w:lang w:val="en-US" w:eastAsia="zh-CN"/>
        </w:rPr>
        <w:t>本次绩效评价区教育局涉及3个评价项目，</w:t>
      </w:r>
      <w:r>
        <w:rPr>
          <w:rFonts w:hint="eastAsia" w:ascii="仿宋" w:hAnsi="仿宋" w:eastAsia="仿宋" w:cs="仿宋"/>
          <w:b/>
          <w:bCs w:val="0"/>
          <w:sz w:val="32"/>
          <w:szCs w:val="32"/>
          <w:lang w:val="en-US" w:eastAsia="zh-CN"/>
        </w:rPr>
        <w:t>一是</w:t>
      </w:r>
      <w:r>
        <w:rPr>
          <w:rFonts w:hint="eastAsia" w:ascii="仿宋" w:hAnsi="仿宋" w:eastAsia="仿宋" w:cs="仿宋"/>
          <w:bCs/>
          <w:sz w:val="32"/>
          <w:szCs w:val="32"/>
          <w:lang w:val="en-US" w:eastAsia="zh-CN"/>
        </w:rPr>
        <w:t>校车奖补资金15.90万元，用于校车安全管理电子监控平台系统车载网络服务费，当年已支付完成；</w:t>
      </w:r>
      <w:r>
        <w:rPr>
          <w:rFonts w:hint="eastAsia" w:ascii="仿宋" w:hAnsi="仿宋" w:eastAsia="仿宋" w:cs="仿宋"/>
          <w:b/>
          <w:bCs w:val="0"/>
          <w:sz w:val="32"/>
          <w:szCs w:val="32"/>
          <w:lang w:val="en-US" w:eastAsia="zh-CN"/>
        </w:rPr>
        <w:t>二是</w:t>
      </w:r>
      <w:r>
        <w:rPr>
          <w:rFonts w:hint="eastAsia" w:ascii="仿宋" w:hAnsi="仿宋" w:eastAsia="仿宋" w:cs="仿宋"/>
          <w:bCs/>
          <w:sz w:val="32"/>
          <w:szCs w:val="32"/>
          <w:lang w:val="en-US" w:eastAsia="zh-CN"/>
        </w:rPr>
        <w:t>茶元头办公幼儿园建设项目2023年事前评估，涉及财政资金2,624.74万元，项目符合省委、省政府、市委、市政府、区委、区政府教育工作部署，符合单位的职能职责，有明确的受益对象，立项依据充分且必要；</w:t>
      </w:r>
      <w:r>
        <w:rPr>
          <w:rFonts w:hint="eastAsia" w:ascii="仿宋" w:hAnsi="仿宋" w:eastAsia="仿宋" w:cs="仿宋"/>
          <w:b/>
          <w:bCs w:val="0"/>
          <w:sz w:val="32"/>
          <w:szCs w:val="32"/>
          <w:lang w:val="en-US" w:eastAsia="zh-CN"/>
        </w:rPr>
        <w:t>三是</w:t>
      </w:r>
      <w:r>
        <w:rPr>
          <w:rFonts w:hint="eastAsia" w:ascii="仿宋" w:hAnsi="仿宋" w:eastAsia="仿宋" w:cs="仿宋"/>
          <w:b w:val="0"/>
          <w:bCs/>
          <w:sz w:val="32"/>
          <w:szCs w:val="32"/>
          <w:lang w:val="en-US" w:eastAsia="zh-CN"/>
        </w:rPr>
        <w:t>教育系统整体支出项目，2021年邵阳市北塔区教育系统决算收入、支出13,588.65万元，年度收支平衡，其中基本支出</w:t>
      </w:r>
      <w:r>
        <w:rPr>
          <w:rFonts w:hint="eastAsia" w:ascii="仿宋" w:hAnsi="仿宋" w:eastAsia="仿宋" w:cs="仿宋"/>
          <w:sz w:val="32"/>
          <w:szCs w:val="32"/>
        </w:rPr>
        <w:t>9797.29</w:t>
      </w:r>
      <w:r>
        <w:rPr>
          <w:rFonts w:hint="eastAsia" w:ascii="仿宋" w:hAnsi="仿宋" w:eastAsia="仿宋" w:cs="仿宋"/>
          <w:sz w:val="32"/>
          <w:szCs w:val="32"/>
          <w:lang w:val="en-US" w:eastAsia="zh-CN"/>
        </w:rPr>
        <w:t>万元；项目支出</w:t>
      </w:r>
      <w:r>
        <w:rPr>
          <w:rFonts w:hint="eastAsia" w:ascii="仿宋" w:hAnsi="仿宋" w:eastAsia="仿宋" w:cs="仿宋"/>
          <w:sz w:val="32"/>
          <w:szCs w:val="32"/>
        </w:rPr>
        <w:t>3791.36万元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共涉及8个项目</w:t>
      </w:r>
      <w:r>
        <w:rPr>
          <w:rFonts w:hint="eastAsia" w:ascii="仿宋" w:hAnsi="仿宋" w:eastAsia="仿宋" w:cs="仿宋"/>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2、区住建局</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次绩效评价区住建局涉及2个评价项目，一是政府债务项目（微循环道路建设），涉及资金1,129万元，主要用于新建道路，新建钢结构凉亭，新建玻璃雨棚；二是重点投资项目状元洲街道办事处机关老旧小区改造配套基础设施建设项目，涉及资金89.42万元，主要用于状元机关小区涉及改造房屋16栋，户数130户，总建筑面积1.3万平方米。</w:t>
      </w:r>
    </w:p>
    <w:p>
      <w:pPr>
        <w:pStyle w:val="10"/>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3、区疾控中心</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政府采购（疾控中心新冠肺炎病毒提取仪采购）项目资金40万元，用于新冠肺炎病毒提取仪采购，实际使用38.70万元。</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4、区商务局</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企业去年对外贸易数据及本年对外贸易数据对比得出对外贸易增量，根据《邵阳市人民政府关于印发（推进保税改革试点促进开放型经济发展的若干政策措施）通知》（邵市政发〔2018〕9号），按照管理办法规定的相应比例计算得出企业奖补资金，由邵阳市财政局下达指标文至邵阳市北塔区财政局，再由区财政局下达指标至区商务局，最终由区商务局按要求将奖补资金拨付至相关企业。2022年拨付奖补资金82.49万元。</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5、区社保服务中心</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rPr>
      </w:pPr>
      <w:bookmarkStart w:id="0" w:name="_Toc4919"/>
      <w:r>
        <w:rPr>
          <w:rFonts w:hint="eastAsia" w:ascii="仿宋" w:hAnsi="仿宋" w:eastAsia="仿宋" w:cs="仿宋"/>
          <w:sz w:val="32"/>
          <w:szCs w:val="32"/>
          <w:lang w:val="en-US" w:eastAsia="zh-CN"/>
        </w:rPr>
        <w:t>区社保服务中心根据北财预指</w:t>
      </w:r>
      <w:r>
        <w:rPr>
          <w:rFonts w:hint="eastAsia" w:ascii="仿宋" w:hAnsi="仿宋" w:eastAsia="仿宋" w:cs="仿宋"/>
          <w:color w:val="auto"/>
          <w:spacing w:val="-2"/>
          <w:sz w:val="32"/>
          <w:szCs w:val="32"/>
          <w:lang w:val="en-US" w:eastAsia="zh-CN"/>
        </w:rPr>
        <w:t>〔2021〕237号下达区级财政补助资金发放基础养老金补助。</w:t>
      </w:r>
      <w:bookmarkEnd w:id="0"/>
      <w:r>
        <w:rPr>
          <w:rFonts w:hint="eastAsia" w:ascii="仿宋" w:hAnsi="仿宋" w:eastAsia="仿宋" w:cs="仿宋"/>
          <w:sz w:val="32"/>
          <w:szCs w:val="32"/>
        </w:rPr>
        <w:t>依照国家基础养老金正常调整机制，在国家、省、州的统一部署下，结合县实际情况适时调整全县基础养老金标准。鼓励参保人员长期缴费，参保人缴费累计超过15年的</w:t>
      </w:r>
      <w:r>
        <w:rPr>
          <w:rFonts w:hint="eastAsia" w:ascii="仿宋" w:hAnsi="仿宋" w:eastAsia="仿宋" w:cs="仿宋"/>
          <w:sz w:val="32"/>
          <w:szCs w:val="32"/>
          <w:lang w:eastAsia="zh-CN"/>
        </w:rPr>
        <w:t>，</w:t>
      </w:r>
      <w:r>
        <w:rPr>
          <w:rFonts w:hint="eastAsia" w:ascii="仿宋" w:hAnsi="仿宋" w:eastAsia="仿宋" w:cs="仿宋"/>
          <w:sz w:val="32"/>
          <w:szCs w:val="32"/>
        </w:rPr>
        <w:t>每增加1年缴费，其基础养老金每月增加1元（不含补缴年限）。各级政府对正常参保缴费人员给予补贴，具体补助标准根据系统补助参数自动核算。</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6、各镇政府（街道）、市园艺场、区交通局（扶贫资金项目）</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扶贫项目由各街道办，市园艺场，区交通局开展，其中陈家桥办事处涉及项目48个，项目资金863.72万元；茶元头街道办事处涉及项目32个，项目资金679.78万元；田江街道办事处涉及项目19个，项目资金348.46万元；市园艺场涉及项目1个，项目资金11.88万元；区交通局涉及项目2个，项目资金128万元。</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各村、社区通过开展“四议两公开”的方式对计划开展的项目进行提议、商议、审议、决议，同时对项目制定了相应的实施方案，通过村民自建或委托有资质的公司代建的方式对项目进行建设，项目建设完后，由驻村帮扶工作队、各乡镇、街道及相关验收组成员签字完成项目验收，并在各村、社区的公示栏中对项目实施结果进行公示。</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6、各镇政府（街道）（一事一议资金项目）</w:t>
      </w:r>
    </w:p>
    <w:p>
      <w:pPr>
        <w:pageBreakBefore w:val="0"/>
        <w:widowControl w:val="0"/>
        <w:kinsoku/>
        <w:wordWrap/>
        <w:overflowPunct/>
        <w:topLinePunct w:val="0"/>
        <w:autoSpaceDE/>
        <w:autoSpaceDN/>
        <w:bidi w:val="0"/>
        <w:adjustRightInd/>
        <w:spacing w:line="600" w:lineRule="exact"/>
        <w:ind w:leftChars="0" w:firstLine="640" w:firstLineChars="200"/>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邵阳市北塔区2018-2021年开展“一事一议”资金项目中98个项目，其中陈家桥街道办事处47个项目，涉及资金525.50万元；茶元头街道办事处25个项目，涉及资金368万元；田江街道办事处21个项目，涉及资金195万元；新滩镇街道办事处4个项目，涉及资金25万元；状元洲街道办事处1个项目，涉及资金7万元。</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各村、社区通过《一事一议资金申报报告》、《一事一议资金项目申报审批表》向财政局申请“一事一议”项目资金；通过开展“一事一议筹资筹劳议案”、“一事一议筹资筹劳村民民主决议”确实项目向村民筹资事宜；各村、社区制定了相应的项目方案，通过“四议两公开”的方式对项目进行决策；项目建设通过村民自建或委托有资质的建筑公司代建的方式进行；项目完工后，村委会报《一事一议财政奖补项目验收及资金结算审批表》由所在财政所、乡办审批，再报《一事一议财政奖补资金审批表》由综改办进行审批；各村、社区按要求对项目收支、项目决议、项目实施结果、项目事前事中事后图片等相关资料进行公开公示。</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三、项目实施效益</w:t>
      </w:r>
    </w:p>
    <w:p>
      <w:pPr>
        <w:keepNext w:val="0"/>
        <w:keepLines w:val="0"/>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1、区教育局</w:t>
      </w:r>
    </w:p>
    <w:p>
      <w:pPr>
        <w:pStyle w:val="10"/>
        <w:keepNext w:val="0"/>
        <w:keepLines w:val="0"/>
        <w:pageBreakBefore w:val="0"/>
        <w:widowControl w:val="0"/>
        <w:kinsoku/>
        <w:wordWrap/>
        <w:overflowPunct/>
        <w:topLinePunct w:val="0"/>
        <w:autoSpaceDE/>
        <w:autoSpaceDN/>
        <w:bidi w:val="0"/>
        <w:adjustRightInd/>
        <w:spacing w:line="600" w:lineRule="exact"/>
        <w:ind w:leftChars="0"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 w:val="0"/>
          <w:bCs/>
          <w:kern w:val="2"/>
          <w:sz w:val="32"/>
          <w:szCs w:val="32"/>
          <w:lang w:val="en-US" w:eastAsia="zh-CN" w:bidi="ar-SA"/>
        </w:rPr>
        <w:t>一是校车奖补资金项目，校车安全管理电子监控平台系统车载网络服务项目的落实，规范了校车运营，有效消除了校车安全隐患，保障了入园安全，推动了教育的稳定可持续发展；二是</w:t>
      </w:r>
      <w:r>
        <w:rPr>
          <w:rFonts w:hint="eastAsia" w:ascii="仿宋" w:hAnsi="仿宋" w:eastAsia="仿宋" w:cs="仿宋"/>
          <w:bCs/>
          <w:sz w:val="32"/>
          <w:szCs w:val="32"/>
          <w:lang w:val="en-US" w:eastAsia="zh-CN"/>
        </w:rPr>
        <w:t>茶元头办公幼儿园建设项目2023年事前评估，从项目的立项必要性、绩效目标合理性、投入经济性、实施方案可行性、筹资合规性五个方面进行查看，结合专家组意见，在单位补充完善制度建设、绩效目标设置、成本控制措施后，建议给予资金支持；三是教育系统整体支出项目，保障教育供给更加公平，提升了教书育人能力，改善了学校硬件设施水平，保障学校师生安全。</w:t>
      </w:r>
    </w:p>
    <w:p>
      <w:pPr>
        <w:keepNext w:val="0"/>
        <w:keepLines w:val="0"/>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2、区住建局</w:t>
      </w:r>
    </w:p>
    <w:p>
      <w:pPr>
        <w:pStyle w:val="10"/>
        <w:keepNext w:val="0"/>
        <w:keepLines w:val="0"/>
        <w:pageBreakBefore w:val="0"/>
        <w:widowControl w:val="0"/>
        <w:kinsoku/>
        <w:wordWrap/>
        <w:overflowPunct/>
        <w:topLinePunct w:val="0"/>
        <w:autoSpaceDE/>
        <w:autoSpaceDN/>
        <w:bidi w:val="0"/>
        <w:adjustRightInd/>
        <w:spacing w:line="600" w:lineRule="exact"/>
        <w:ind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是政府债务项目（微循环道路建设），项目的实施能提升城市交通效能，缓解城市交通压力，改善居民出行和居住环境，提升道路交通条件；完善城市功能布局，推进工业化、城市化进程，推进公共服务建设；提升城市形象，改善城市环境，完善区域路网，拓宽城市骨架，加快城市扩容，促进城市发展；二是重点投资项目状元洲街道办事处机关老旧小区改造配套基础设施建设项目，状元机关小区改造项目完成后改善了老旧小区周边生活条件，提高了状元办事处机关小区老旧小区居民生活质量，改善了该区域范围内的城市基础设条件，提高了该区域范围内环境治理和城市整体形象。</w:t>
      </w:r>
    </w:p>
    <w:p>
      <w:pPr>
        <w:pStyle w:val="10"/>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3、区疾控中心</w:t>
      </w:r>
    </w:p>
    <w:p>
      <w:pPr>
        <w:keepNext w:val="0"/>
        <w:keepLines w:val="0"/>
        <w:pageBreakBefore w:val="0"/>
        <w:widowControl w:val="0"/>
        <w:kinsoku/>
        <w:wordWrap/>
        <w:overflowPunct/>
        <w:topLinePunct w:val="0"/>
        <w:autoSpaceDE/>
        <w:autoSpaceDN/>
        <w:bidi w:val="0"/>
        <w:adjustRightInd/>
        <w:snapToGrid/>
        <w:spacing w:line="600" w:lineRule="exact"/>
        <w:ind w:leftChars="0"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项目的开展为基层医疗机构应对突发新冠疫情情况提供了强大的物质和技术基础，强有力地保障了人民生命安全，缓解了县级医疗机构的压力，提高了救援救治能力。</w:t>
      </w:r>
    </w:p>
    <w:p>
      <w:pPr>
        <w:pStyle w:val="10"/>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4、区商务局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全面落实省委、省人民政府“创新引领、开放崛起”发展战略，加速推进“二中心一枢纽”战略实施，全力推进保税改革试点工作，促进外向型经济高质量发展。</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sz w:val="32"/>
          <w:szCs w:val="32"/>
        </w:rPr>
      </w:pPr>
      <w:r>
        <w:rPr>
          <w:rFonts w:hint="eastAsia" w:ascii="仿宋" w:hAnsi="仿宋" w:eastAsia="仿宋" w:cs="仿宋"/>
          <w:b w:val="0"/>
          <w:bCs/>
          <w:sz w:val="32"/>
          <w:szCs w:val="32"/>
          <w:lang w:val="en-US" w:eastAsia="zh-CN"/>
        </w:rPr>
        <w:t>5、区社保服务中心</w:t>
      </w:r>
    </w:p>
    <w:p>
      <w:pPr>
        <w:keepNext w:val="0"/>
        <w:keepLines w:val="0"/>
        <w:pageBreakBefore w:val="0"/>
        <w:widowControl w:val="0"/>
        <w:kinsoku/>
        <w:wordWrap/>
        <w:overflowPunct/>
        <w:topLinePunct w:val="0"/>
        <w:autoSpaceDE/>
        <w:autoSpaceDN/>
        <w:bidi w:val="0"/>
        <w:adjustRightInd/>
        <w:spacing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社会保险为手段保障了老年人的基本生活需求，为其提供稳定可靠的生活来源，做到老有所养，实现城乡居民养老“遍地开花”，较好地解决了近年来农村由于土地养老和家庭养老功能逐步弱化，大量农民老无所养的突出问题，促进社会和谐、稳定，巩固党执政地位，减少了人口老龄化所带来的风险。</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6、各镇政府（街道）、市园艺场、区交通局（扶贫资金项目）</w:t>
      </w:r>
    </w:p>
    <w:p>
      <w:pPr>
        <w:keepNext w:val="0"/>
        <w:keepLines w:val="0"/>
        <w:pageBreakBefore w:val="0"/>
        <w:widowControl w:val="0"/>
        <w:kinsoku/>
        <w:wordWrap/>
        <w:overflowPunct/>
        <w:topLinePunct w:val="0"/>
        <w:autoSpaceDE/>
        <w:autoSpaceDN/>
        <w:bidi w:val="0"/>
        <w:adjustRightInd/>
        <w:snapToGrid/>
        <w:spacing w:line="600" w:lineRule="exact"/>
        <w:ind w:leftChars="0" w:firstLine="632" w:firstLineChars="200"/>
        <w:textAlignment w:val="auto"/>
        <w:rPr>
          <w:rFonts w:hint="eastAsia" w:ascii="仿宋" w:hAnsi="仿宋" w:eastAsia="仿宋" w:cs="仿宋"/>
          <w:b w:val="0"/>
          <w:bCs/>
          <w:color w:val="auto"/>
          <w:spacing w:val="-2"/>
          <w:sz w:val="32"/>
          <w:szCs w:val="32"/>
          <w:lang w:val="en-US" w:eastAsia="zh-CN"/>
        </w:rPr>
      </w:pPr>
      <w:r>
        <w:rPr>
          <w:rFonts w:hint="eastAsia" w:ascii="仿宋" w:hAnsi="仿宋" w:eastAsia="仿宋" w:cs="仿宋"/>
          <w:b w:val="0"/>
          <w:bCs/>
          <w:color w:val="auto"/>
          <w:spacing w:val="-2"/>
          <w:sz w:val="32"/>
          <w:szCs w:val="32"/>
          <w:lang w:val="en-US" w:eastAsia="zh-CN"/>
        </w:rPr>
        <w:t>一是产业方面，项目的实施能壮大乡村集体产业、吸引更多游客来访，带动集体经济收入，同时打造乡村宜居宜游产业，促进当地的招商引资，提升当地经济发展；二是村基础设施建设方面，道路的建设，加强了邻村的沟通，方便了村民的出行，有利于新农村的建设，改善村民的生活生产水平，山塘清淤能有效缓解用水问题，确保蔬菜种植产业增收，能有效解决水土流失，构建美丽乡村；三是环境整治方面，能有效改善居民生活环境，丰富村民精神生活，提升群众的生活品质，推动建设和谐宜居的美丽乡村。</w:t>
      </w:r>
    </w:p>
    <w:p>
      <w:pPr>
        <w:pageBreakBefore w:val="0"/>
        <w:widowControl w:val="0"/>
        <w:kinsoku/>
        <w:wordWrap/>
        <w:overflowPunct/>
        <w:topLinePunct w:val="0"/>
        <w:autoSpaceDE/>
        <w:autoSpaceDN/>
        <w:bidi w:val="0"/>
        <w:adjustRightInd/>
        <w:spacing w:line="600" w:lineRule="exact"/>
        <w:ind w:leftChars="0" w:firstLine="640" w:firstLineChars="200"/>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7、各镇政府（街道）（一事一议资金项目）</w:t>
      </w:r>
    </w:p>
    <w:p>
      <w:pPr>
        <w:keepNext w:val="0"/>
        <w:keepLines w:val="0"/>
        <w:pageBreakBefore w:val="0"/>
        <w:widowControl w:val="0"/>
        <w:kinsoku/>
        <w:wordWrap/>
        <w:overflowPunct/>
        <w:topLinePunct w:val="0"/>
        <w:autoSpaceDE/>
        <w:autoSpaceDN/>
        <w:bidi w:val="0"/>
        <w:adjustRightInd/>
        <w:snapToGrid/>
        <w:spacing w:line="600" w:lineRule="exact"/>
        <w:ind w:leftChars="0" w:firstLine="632" w:firstLineChars="200"/>
        <w:textAlignment w:val="auto"/>
        <w:rPr>
          <w:rFonts w:hint="eastAsia" w:ascii="仿宋" w:hAnsi="仿宋" w:eastAsia="仿宋" w:cs="仿宋"/>
          <w:b w:val="0"/>
          <w:bCs/>
          <w:color w:val="auto"/>
          <w:spacing w:val="-2"/>
          <w:sz w:val="32"/>
          <w:szCs w:val="32"/>
          <w:lang w:val="en-US" w:eastAsia="zh-CN"/>
        </w:rPr>
      </w:pPr>
      <w:r>
        <w:rPr>
          <w:rFonts w:hint="eastAsia" w:ascii="仿宋" w:hAnsi="仿宋" w:eastAsia="仿宋" w:cs="仿宋"/>
          <w:b w:val="0"/>
          <w:bCs/>
          <w:color w:val="auto"/>
          <w:spacing w:val="-2"/>
          <w:sz w:val="32"/>
          <w:szCs w:val="32"/>
          <w:lang w:val="en-US" w:eastAsia="zh-CN"/>
        </w:rPr>
        <w:t>项目的实施，加强了村基础设施建设、道路的建设，加强了邻村的沟通，方便了村民的出行，有利于新农村的建设，改善村民的生活生产水平，山塘清淤能有效缓解用水问题，确保蔬菜种植产业增收，能有效解决水土流失，构建美丽乡村。</w:t>
      </w:r>
    </w:p>
    <w:p>
      <w:pPr>
        <w:pStyle w:val="4"/>
        <w:pageBreakBefore w:val="0"/>
        <w:widowControl w:val="0"/>
        <w:numPr>
          <w:ilvl w:val="0"/>
          <w:numId w:val="0"/>
        </w:numPr>
        <w:kinsoku/>
        <w:wordWrap/>
        <w:overflowPunct/>
        <w:topLinePunct w:val="0"/>
        <w:autoSpaceDE/>
        <w:autoSpaceDN/>
        <w:bidi w:val="0"/>
        <w:adjustRightInd/>
        <w:spacing w:before="0" w:after="0" w:line="600" w:lineRule="exact"/>
        <w:ind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绩效工作中存在的困难</w:t>
      </w:r>
    </w:p>
    <w:p>
      <w:pPr>
        <w:pageBreakBefore w:val="0"/>
        <w:widowControl w:val="0"/>
        <w:kinsoku/>
        <w:wordWrap/>
        <w:overflowPunct/>
        <w:topLinePunct w:val="0"/>
        <w:autoSpaceDE/>
        <w:autoSpaceDN/>
        <w:bidi w:val="0"/>
        <w:adjustRightInd/>
        <w:spacing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1.缺乏绩效评价专业人才。</w:t>
      </w:r>
      <w:r>
        <w:rPr>
          <w:rFonts w:hint="eastAsia" w:ascii="仿宋" w:hAnsi="仿宋" w:eastAsia="仿宋" w:cs="仿宋"/>
          <w:sz w:val="32"/>
          <w:szCs w:val="32"/>
        </w:rPr>
        <w:t>虽然我局已经单独设立了预算绩效管理股室，</w:t>
      </w:r>
      <w:r>
        <w:rPr>
          <w:rFonts w:hint="eastAsia" w:ascii="仿宋" w:hAnsi="仿宋" w:eastAsia="仿宋" w:cs="仿宋"/>
          <w:sz w:val="32"/>
          <w:szCs w:val="32"/>
          <w:lang w:eastAsia="zh-CN"/>
        </w:rPr>
        <w:t>但是</w:t>
      </w:r>
      <w:r>
        <w:rPr>
          <w:rFonts w:hint="eastAsia" w:ascii="仿宋" w:hAnsi="仿宋" w:eastAsia="仿宋" w:cs="仿宋"/>
          <w:sz w:val="32"/>
          <w:szCs w:val="32"/>
        </w:rPr>
        <w:t>绩效评价工作</w:t>
      </w:r>
      <w:r>
        <w:rPr>
          <w:rFonts w:hint="eastAsia" w:ascii="仿宋" w:hAnsi="仿宋" w:eastAsia="仿宋" w:cs="仿宋"/>
          <w:sz w:val="32"/>
          <w:szCs w:val="32"/>
          <w:lang w:eastAsia="zh-CN"/>
        </w:rPr>
        <w:t>人手不足，</w:t>
      </w:r>
      <w:r>
        <w:rPr>
          <w:rFonts w:hint="eastAsia" w:ascii="仿宋" w:hAnsi="仿宋" w:eastAsia="仿宋" w:cs="仿宋"/>
          <w:sz w:val="32"/>
          <w:szCs w:val="32"/>
        </w:rPr>
        <w:t>绩效评价工作涉及面广、技术性强，而工作人员的知识体系还难以适应，造成绩效评价工作开展起来有相当大的难度。</w:t>
      </w:r>
    </w:p>
    <w:p>
      <w:pPr>
        <w:pageBreakBefore w:val="0"/>
        <w:widowControl w:val="0"/>
        <w:kinsoku/>
        <w:wordWrap/>
        <w:overflowPunct/>
        <w:topLinePunct w:val="0"/>
        <w:autoSpaceDE/>
        <w:autoSpaceDN/>
        <w:bidi w:val="0"/>
        <w:adjustRightInd/>
        <w:spacing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2.预算绩效财审联动有待进一步提高。</w:t>
      </w:r>
      <w:r>
        <w:rPr>
          <w:rFonts w:hint="eastAsia" w:ascii="仿宋" w:hAnsi="仿宋" w:eastAsia="仿宋" w:cs="仿宋"/>
          <w:sz w:val="32"/>
          <w:szCs w:val="32"/>
        </w:rPr>
        <w:t>虽然我区今年出台了《北塔区关于建立全面预算绩效管理工作协同联动机制的意见》。但是财审联动在广度、深度、力度上仍存不足，有待进一步进行优势互补，深度融合。</w:t>
      </w:r>
    </w:p>
    <w:p>
      <w:pPr>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下一步打算</w:t>
      </w:r>
    </w:p>
    <w:p>
      <w:pPr>
        <w:pageBreakBefore w:val="0"/>
        <w:widowControl w:val="0"/>
        <w:kinsoku/>
        <w:wordWrap/>
        <w:overflowPunct/>
        <w:topLinePunct w:val="0"/>
        <w:autoSpaceDE/>
        <w:autoSpaceDN/>
        <w:bidi w:val="0"/>
        <w:adjustRightInd/>
        <w:spacing w:line="600" w:lineRule="exact"/>
        <w:ind w:left="0" w:leftChars="0" w:firstLine="643" w:firstLineChars="200"/>
        <w:jc w:val="both"/>
        <w:textAlignment w:val="auto"/>
        <w:rPr>
          <w:rFonts w:hint="eastAsia" w:ascii="仿宋" w:hAnsi="仿宋" w:eastAsia="仿宋" w:cs="仿宋"/>
          <w:b w:val="0"/>
          <w:sz w:val="32"/>
          <w:szCs w:val="32"/>
        </w:rPr>
      </w:pPr>
      <w:r>
        <w:rPr>
          <w:rFonts w:hint="eastAsia" w:ascii="仿宋" w:hAnsi="仿宋" w:eastAsia="仿宋" w:cs="仿宋"/>
          <w:b/>
          <w:bCs w:val="0"/>
          <w:sz w:val="32"/>
          <w:szCs w:val="32"/>
        </w:rPr>
        <w:t>1.进一步加强绩效目标管理。</w:t>
      </w:r>
      <w:r>
        <w:rPr>
          <w:rFonts w:hint="eastAsia" w:ascii="仿宋" w:hAnsi="仿宋" w:eastAsia="仿宋" w:cs="仿宋"/>
          <w:b w:val="0"/>
          <w:sz w:val="32"/>
          <w:szCs w:val="32"/>
        </w:rPr>
        <w:t>依据国家相关政策、财政支出方向和重点、部门职能及事业发展规划等预算单位提出的绩效目标进行审核，包括绩效目标与部门职能的相关性、绩效目标的实现所采取措施的可行性、实现绩效目标所需资金的合理性等。定期采集绩效运行信息并汇总分析，对绩效目标运行情况进行跟踪管理和督促检查，纠偏扬长，促进绩效目标的顺利实现。</w:t>
      </w:r>
    </w:p>
    <w:p>
      <w:pPr>
        <w:pageBreakBefore w:val="0"/>
        <w:widowControl w:val="0"/>
        <w:kinsoku/>
        <w:wordWrap/>
        <w:overflowPunct/>
        <w:topLinePunct w:val="0"/>
        <w:autoSpaceDE/>
        <w:autoSpaceDN/>
        <w:bidi w:val="0"/>
        <w:adjustRightInd/>
        <w:spacing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2.加大宣传力度，强化业务培训</w:t>
      </w:r>
      <w:r>
        <w:rPr>
          <w:rFonts w:hint="eastAsia" w:ascii="仿宋" w:hAnsi="仿宋" w:eastAsia="仿宋" w:cs="仿宋"/>
          <w:sz w:val="32"/>
          <w:szCs w:val="32"/>
        </w:rPr>
        <w:t>。充分运用新闻媒体、政府网络等平台，加大全面实施预算绩效管理宣传力度；采取多种形式强化对部门、单位的业务指导，引导部门、单位转变思想观念，牢固树立绩效理念，进一步强化预算绩效管理主体责任，为推进全面是是预算绩效管理创造良好的氛围和环境。</w:t>
      </w:r>
    </w:p>
    <w:p>
      <w:pPr>
        <w:pageBreakBefore w:val="0"/>
        <w:kinsoku/>
        <w:wordWrap/>
        <w:overflowPunct/>
        <w:topLinePunct w:val="0"/>
        <w:autoSpaceDE/>
        <w:autoSpaceDN/>
        <w:bidi w:val="0"/>
        <w:spacing w:line="680" w:lineRule="exact"/>
        <w:ind w:left="0" w:firstLine="640" w:firstLineChars="200"/>
        <w:textAlignment w:val="auto"/>
        <w:rPr>
          <w:rFonts w:ascii="仿宋_GB2312" w:hAnsi="仿宋_GB2312" w:eastAsia="仿宋_GB2312" w:cs="仿宋_GB2312"/>
          <w:sz w:val="32"/>
          <w:szCs w:val="32"/>
        </w:rPr>
      </w:pPr>
    </w:p>
    <w:p>
      <w:pPr>
        <w:pageBreakBefore w:val="0"/>
        <w:kinsoku/>
        <w:wordWrap/>
        <w:overflowPunct/>
        <w:topLinePunct w:val="0"/>
        <w:autoSpaceDE/>
        <w:autoSpaceDN/>
        <w:bidi w:val="0"/>
        <w:spacing w:line="680" w:lineRule="exact"/>
        <w:ind w:left="0" w:firstLine="600" w:firstLineChars="200"/>
        <w:textAlignment w:val="auto"/>
        <w:rPr>
          <w:rFonts w:ascii="仿宋_GB2312" w:hAnsi="仿宋_GB2312" w:eastAsia="仿宋_GB2312" w:cs="仿宋_GB2312"/>
          <w:sz w:val="30"/>
          <w:szCs w:val="30"/>
        </w:rPr>
      </w:pPr>
      <w:bookmarkStart w:id="1" w:name="_GoBack"/>
      <w:bookmarkEnd w:id="1"/>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06E5F"/>
    <w:multiLevelType w:val="singleLevel"/>
    <w:tmpl w:val="DA006E5F"/>
    <w:lvl w:ilvl="0" w:tentative="0">
      <w:start w:val="1"/>
      <w:numFmt w:val="chineseCounting"/>
      <w:suff w:val="nothing"/>
      <w:lvlText w:val="%1、"/>
      <w:lvlJc w:val="left"/>
      <w:rPr>
        <w:rFonts w:hint="eastAsia"/>
      </w:rPr>
    </w:lvl>
  </w:abstractNum>
  <w:abstractNum w:abstractNumId="1">
    <w:nsid w:val="5D37A5C7"/>
    <w:multiLevelType w:val="singleLevel"/>
    <w:tmpl w:val="5D37A5C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6B"/>
    <w:rsid w:val="00224BAB"/>
    <w:rsid w:val="002D7DB4"/>
    <w:rsid w:val="00676F69"/>
    <w:rsid w:val="00B26B49"/>
    <w:rsid w:val="00BC446B"/>
    <w:rsid w:val="04AC5A73"/>
    <w:rsid w:val="05A36D5C"/>
    <w:rsid w:val="06B61822"/>
    <w:rsid w:val="0A895F5A"/>
    <w:rsid w:val="0D475219"/>
    <w:rsid w:val="0DE65714"/>
    <w:rsid w:val="0E992C64"/>
    <w:rsid w:val="101D306B"/>
    <w:rsid w:val="10524547"/>
    <w:rsid w:val="11846CBD"/>
    <w:rsid w:val="11EA5C3F"/>
    <w:rsid w:val="148A2B64"/>
    <w:rsid w:val="151376D7"/>
    <w:rsid w:val="18726DA3"/>
    <w:rsid w:val="1BAC27E3"/>
    <w:rsid w:val="1D41632C"/>
    <w:rsid w:val="1D883D9C"/>
    <w:rsid w:val="1EC244E8"/>
    <w:rsid w:val="1EC7222F"/>
    <w:rsid w:val="1F9A4B85"/>
    <w:rsid w:val="20800BB9"/>
    <w:rsid w:val="21D16526"/>
    <w:rsid w:val="24D103C7"/>
    <w:rsid w:val="2B5A5D6F"/>
    <w:rsid w:val="2B9514C9"/>
    <w:rsid w:val="2B9A0EBD"/>
    <w:rsid w:val="2BD17CF8"/>
    <w:rsid w:val="2CB12EC8"/>
    <w:rsid w:val="2D791EF5"/>
    <w:rsid w:val="2E0D2480"/>
    <w:rsid w:val="2E7B1C2F"/>
    <w:rsid w:val="30967637"/>
    <w:rsid w:val="309961E9"/>
    <w:rsid w:val="3122533F"/>
    <w:rsid w:val="32B41706"/>
    <w:rsid w:val="32F65CB5"/>
    <w:rsid w:val="342420A7"/>
    <w:rsid w:val="34882F39"/>
    <w:rsid w:val="35C73CE2"/>
    <w:rsid w:val="36E71977"/>
    <w:rsid w:val="38BC27D9"/>
    <w:rsid w:val="38E21247"/>
    <w:rsid w:val="39224465"/>
    <w:rsid w:val="397B0B49"/>
    <w:rsid w:val="3B673D33"/>
    <w:rsid w:val="3C5E106A"/>
    <w:rsid w:val="3FD33FCA"/>
    <w:rsid w:val="40E60322"/>
    <w:rsid w:val="4183517B"/>
    <w:rsid w:val="425141DE"/>
    <w:rsid w:val="43B33902"/>
    <w:rsid w:val="43F13C5A"/>
    <w:rsid w:val="446260EE"/>
    <w:rsid w:val="44D75E22"/>
    <w:rsid w:val="46A1783B"/>
    <w:rsid w:val="479B495F"/>
    <w:rsid w:val="4806207F"/>
    <w:rsid w:val="48B103CC"/>
    <w:rsid w:val="49A6283C"/>
    <w:rsid w:val="4B1F7ABD"/>
    <w:rsid w:val="4B5D7D2B"/>
    <w:rsid w:val="4C022DAC"/>
    <w:rsid w:val="4C426AC2"/>
    <w:rsid w:val="4E5602CE"/>
    <w:rsid w:val="4F407105"/>
    <w:rsid w:val="4F855819"/>
    <w:rsid w:val="4FC62472"/>
    <w:rsid w:val="51B716D7"/>
    <w:rsid w:val="52643A60"/>
    <w:rsid w:val="53545642"/>
    <w:rsid w:val="547010F1"/>
    <w:rsid w:val="566651C1"/>
    <w:rsid w:val="568515D4"/>
    <w:rsid w:val="57142C7A"/>
    <w:rsid w:val="586D3C8D"/>
    <w:rsid w:val="58C91D0F"/>
    <w:rsid w:val="58CC7C61"/>
    <w:rsid w:val="59A46B56"/>
    <w:rsid w:val="5A7D2604"/>
    <w:rsid w:val="5A8A7ADB"/>
    <w:rsid w:val="5B124A4B"/>
    <w:rsid w:val="60666A14"/>
    <w:rsid w:val="60E81EF7"/>
    <w:rsid w:val="61BD5B6C"/>
    <w:rsid w:val="62D75B6B"/>
    <w:rsid w:val="62F963D5"/>
    <w:rsid w:val="64AA4EB1"/>
    <w:rsid w:val="65CE4293"/>
    <w:rsid w:val="66FB03B7"/>
    <w:rsid w:val="67DF0B9E"/>
    <w:rsid w:val="68C34A77"/>
    <w:rsid w:val="696C4595"/>
    <w:rsid w:val="6AEE181E"/>
    <w:rsid w:val="6DB2396A"/>
    <w:rsid w:val="6DCE7822"/>
    <w:rsid w:val="6DDF72F1"/>
    <w:rsid w:val="6DF556A1"/>
    <w:rsid w:val="6FE00CD3"/>
    <w:rsid w:val="74052C8B"/>
    <w:rsid w:val="7587365D"/>
    <w:rsid w:val="78B65BB3"/>
    <w:rsid w:val="79403F54"/>
    <w:rsid w:val="7F280929"/>
    <w:rsid w:val="7FE5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unhideWhenUsed/>
    <w:qFormat/>
    <w:uiPriority w:val="99"/>
    <w:pPr>
      <w:snapToGrid w:val="0"/>
      <w:jc w:val="left"/>
    </w:pPr>
    <w:rPr>
      <w:sz w:val="18"/>
      <w:szCs w:val="18"/>
    </w:rPr>
  </w:style>
  <w:style w:type="paragraph" w:customStyle="1" w:styleId="13">
    <w:name w:val="p0"/>
    <w:next w:val="9"/>
    <w:qFormat/>
    <w:uiPriority w:val="0"/>
    <w:pPr>
      <w:spacing w:line="365" w:lineRule="atLeast"/>
      <w:ind w:left="1"/>
    </w:pPr>
    <w:rPr>
      <w:rFonts w:ascii="Times New Roman" w:hAnsi="Times New Roman" w:eastAsia="宋体" w:cs="Times New Roman"/>
      <w:sz w:val="24"/>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font71"/>
    <w:basedOn w:val="12"/>
    <w:qFormat/>
    <w:uiPriority w:val="0"/>
    <w:rPr>
      <w:rFonts w:hint="eastAsia" w:ascii="仿宋" w:hAnsi="仿宋" w:eastAsia="仿宋" w:cs="仿宋"/>
      <w:color w:val="FF0000"/>
      <w:sz w:val="22"/>
      <w:szCs w:val="22"/>
      <w:u w:val="none"/>
    </w:rPr>
  </w:style>
  <w:style w:type="character" w:customStyle="1" w:styleId="16">
    <w:name w:val="font81"/>
    <w:basedOn w:val="12"/>
    <w:qFormat/>
    <w:uiPriority w:val="0"/>
    <w:rPr>
      <w:rFonts w:hint="eastAsia" w:ascii="仿宋" w:hAnsi="仿宋" w:eastAsia="仿宋" w:cs="仿宋"/>
      <w:color w:val="000000"/>
      <w:sz w:val="22"/>
      <w:szCs w:val="22"/>
      <w:u w:val="none"/>
    </w:rPr>
  </w:style>
  <w:style w:type="character" w:customStyle="1" w:styleId="17">
    <w:name w:val="font5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3064</Words>
  <Characters>3201</Characters>
  <Lines>2</Lines>
  <Paragraphs>8</Paragraphs>
  <TotalTime>1</TotalTime>
  <ScaleCrop>false</ScaleCrop>
  <LinksUpToDate>false</LinksUpToDate>
  <CharactersWithSpaces>3213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2019-12-04T06:57:00Z</cp:lastPrinted>
  <dcterms:modified xsi:type="dcterms:W3CDTF">2023-05-16T09:01:20Z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093D07B1647A4060A16F3A3CF888B7FD</vt:lpwstr>
  </property>
</Properties>
</file>