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CBAE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880" w:firstLineChars="20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邵阳市北塔区委政法委员会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240B101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480" w:firstLineChars="20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39467D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1777687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06DEF0B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共邵阳市北塔区委政法委员会内设机构包括：内设6个股室，分别是：办公室、政工室、执法监督室、反邪教协调室、维稳指导室、综治指导室。</w:t>
      </w:r>
    </w:p>
    <w:p w14:paraId="693EEFB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（二）人员编制情况</w:t>
      </w:r>
    </w:p>
    <w:p w14:paraId="61BBB88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共有人员编制13名，行政编制5名，事业编制8名（含工勤编2人）。领导职数情况，书记1名；副书记3名（含常务副书记1名）；政工室主任1名。机关人员配备情况，目前在岗干部职工13人。其中行政编4人，事业编9人。 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（三）主要职能职责</w:t>
      </w:r>
    </w:p>
    <w:p w14:paraId="56E6DE3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1、根据党的路线、方针、政策和区委的部署，统一政法部门的思想和行动。对一定时期内的政法工作作出全局性部署，并督促贯彻落实。 </w:t>
      </w:r>
    </w:p>
    <w:p w14:paraId="54F8B9F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2、组织、协调、指导维护社会稳定的工作，必要时直接参与影响稳定的重大群体性事件的处置。 </w:t>
      </w:r>
    </w:p>
    <w:p w14:paraId="549CA21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3、检查政法部门执行法律法规和党的方针政策的情况，结合实际研究制订严肃执法、落实党的方针政策的具体措施。   4、支持和监督政法各部门依法行使职权，指导和协调政法各部门在依法相互制约的同时密切配合，督促、推动大案要案的查处工作，研究、协调有争议的重大、疑难案件。 </w:t>
      </w:r>
    </w:p>
    <w:p w14:paraId="6BFDAE7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5、组织、协调社会治安综合治理工作，推动社会治安综合治理各项措施的落实。 </w:t>
      </w:r>
    </w:p>
    <w:p w14:paraId="40366F7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6、组织、推动政法战线的调查研究工作，改革和加强政法工作。 </w:t>
      </w:r>
    </w:p>
    <w:p w14:paraId="69EA557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7、协助党委及其组织部门管理好政法部门的领导班子和干部队伍。 </w:t>
      </w:r>
    </w:p>
    <w:p w14:paraId="3C595AE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8、组织查处政法系统干部、干警中有重大影响的违法违纪案件。 </w:t>
      </w:r>
    </w:p>
    <w:p w14:paraId="1972684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9、承办区委、区政府和上级交办的其他事项。 </w:t>
      </w:r>
    </w:p>
    <w:p w14:paraId="4676F9B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 w14:paraId="7C476AE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本部门所有支出实行绩效目标管理。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本年度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所有财政性资金、专项资金都纳入绩效管理的范围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在使用各项资金时严格按照有关规章制度和工作流程，按照事前设定目标，事中跟踪监控目标实现过程，事后评价目标完成情况的科学可行的原则，保证各项财政资金使用安全、高效。年终时对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全年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财政资金的拨付、分配、使用和管理情况、建设进度以及资金使用效率等情况进行全面综合评价，形成部门整体支出绩效自评报告，接受社会监督。</w:t>
      </w:r>
    </w:p>
    <w:p w14:paraId="69DFD4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24F8CBD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78A3030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年度财政预算拨款收入为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517.91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万元，年初预算数为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270.95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年度实际支出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517.91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万元(基本支出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284.8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万元、项目支出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233.11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万元),其中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一般公共服务支出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:427.57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公共安全支出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47.17万元、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科学技术支出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万元、社会保障和就业支出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万元、卫生健康支出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11.9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住房保障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11.27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 w14:paraId="5EB2678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12850DF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支出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情况</w:t>
      </w:r>
    </w:p>
    <w:p w14:paraId="4CB2BC1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年度基本支出年初预算安排为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203.15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万元，本年实际支出为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284.8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万元，主要为人员经费支出和公用经费支出，其中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人员经费支出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221.24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万元、公用经费支出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63.56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 w14:paraId="3731A09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支出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情况</w:t>
      </w:r>
    </w:p>
    <w:p w14:paraId="7EEB0CE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年度项目支出年初预算安排为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67.8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万元，本年实际支出为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233.11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该指标年初为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3个项目，后合并成一个项目，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主要为政法运转经费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4469E7C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（三）"三公"经费使用和管理情况</w:t>
      </w:r>
    </w:p>
    <w:p w14:paraId="1A67C8A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年我单位厉行节约，缩节开支，“三公”经费预算数为0.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万元，其中公务接待费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0.5万元。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决算数为0万元，其中公务用车购置及运行维护费预算数为0万元，决算数0万元，公务接待费预算数0万元，决算数0万元。</w:t>
      </w:r>
    </w:p>
    <w:p w14:paraId="726C171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 w14:paraId="4733651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年，我单位无政府性基金预算支出。</w:t>
      </w:r>
    </w:p>
    <w:p w14:paraId="6C59628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四、国有资本经营预算支出情况</w:t>
      </w:r>
    </w:p>
    <w:p w14:paraId="2CCA8AE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2024年，我单位无国有资本经营预算支出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0A38C71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五、社会保险基金预算支出情况</w:t>
      </w:r>
    </w:p>
    <w:p w14:paraId="1394479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年，我单位无社会保险基金预算支出。</w:t>
      </w:r>
    </w:p>
    <w:p w14:paraId="561E290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2CCE1ED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02EA9C5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2024 年，我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委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扎实开展年度财政资金绩效评价工作，在资金使用与管理中，进一步强化统筹、优化结构，明确开支范围、细化使用用途，为部门职责任务顺利完成提供坚实保障。经综合评定，我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委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项目支出资金管理规范有序，使用效益显著，成效突出，2024 年度财政其他项目支出专项资金自评得分为 95 分，绩效评价等次确定为 “优秀”。</w:t>
      </w:r>
    </w:p>
    <w:p w14:paraId="3E94801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</w:t>
      </w:r>
    </w:p>
    <w:p w14:paraId="1EFC967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1、履职效能主要指标完成情况具体分析</w:t>
      </w:r>
    </w:p>
    <w:p w14:paraId="799CA91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我委严格按照财政批复的预算绩效目标实施方案推进绩效目标实施，秉持 “少花钱、多办事、办好事” 原则，规范资金使用与管理，全年支出资金未超出批复预算及年终财政追加指标总概算，预算执行管控成效良好。</w:t>
      </w:r>
    </w:p>
    <w:p w14:paraId="34B03D9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2、管理效率主要指标完成情况具体分析</w:t>
      </w:r>
    </w:p>
    <w:p w14:paraId="1F61135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本绩效目标实施周期为 2024 年 1 月 1 日至 2024 年 12 月 31 日。我委积极统筹推进各项行政管理事务，按时按质按量完成年度目标任务及绩效目标，资金支出规范有序。专项资金严格遵循 “申请、分配、管理、使用” 全流程规范程序，建立健全内部监督制约机制，坚守专款专用原则，强化项目资金使用的过程控制与追踪问效，进一步压实专项资金申请及使用各环节监管责任，确保资金使用合规高效。</w:t>
      </w:r>
    </w:p>
    <w:p w14:paraId="1589236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3、对履职效益主要指标的完成情况进行具体分析</w:t>
      </w:r>
    </w:p>
    <w:p w14:paraId="4151D52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全区政法机关以习近平新时代中国特色社会主义思想为指导，落实各级决策部署，围绕 “一条主线、两大任务、三个全面、四项工程” 思路，在防风险、保安全、护稳定、促发展中取得显著成效。​</w:t>
      </w:r>
    </w:p>
    <w:p w14:paraId="2C7157B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政治建设持续强化，严格执行《中国共产党政法工作条例》，落实 “第一议题” 制度，开展理论学习 60 次，配合市委巡察、推进 “走找想促” 活动，整改调研问题 158 个，政治忠诚根基牢固。​</w:t>
      </w:r>
    </w:p>
    <w:p w14:paraId="7A78949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平安建设成效显著，深化反邪教斗争，化解信访积案与历史遗留问题，圆满完成重大安保任务。开展 “春风行动” 排查矛盾纠纷 632 件，设置 “1、3、5 分钟” 快反圈，刑事、治安发案同比分别下降 33.43%、6.8%，电诈、涉毒问题有效遏制，群众安全感持续提升。​</w:t>
      </w:r>
    </w:p>
    <w:p w14:paraId="0851797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服务发展精准高效，常态化扫黑除恶，法院审结涉企案件 957 件、执行到位 3.1 亿元，检察院追赃挽损 4000 余万元，政法各单位走访企业 48 次、化解涉企纠纷 20 余件，法治化营商环境持续优化。​</w:t>
      </w:r>
    </w:p>
    <w:p w14:paraId="592524D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基层治理与队伍建设扎实推进，构建四级矛盾化解体系，调解成功率 98.6%，开展 “利剑护蕾” 等普法救助服务，党纪学习教育与警示教育常态化，队伍获省市级表彰 20 个集体、24 名个人，作风能力全面过硬。</w:t>
      </w:r>
    </w:p>
    <w:p w14:paraId="6920FF5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353C790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预算编制与业务工作衔接不紧密：预算编制前未充分开展业务工作调研与资金需求测算，部分项目预算额度与实际工作任务量、执行难度有偏移，存在 “重编制、轻执行” 倾向，影响资金统筹使用效率。​</w:t>
      </w:r>
    </w:p>
    <w:p w14:paraId="452F663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绩效评价专业能力有待提升：相关工作人员缺乏系统的绩效评价专业培训，对绩效指标设计、量化评估方法、资金效益分析等专业知识掌握不扎实，导致绩效评价工作流程不够规范，评价深度和专业性不足。</w:t>
      </w:r>
    </w:p>
    <w:p w14:paraId="1C122C1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 w14:paraId="1D094AB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强化预算编制与业务工作协同：建立 “业务调研 - 需求测算 - 预算编制” 联动机制，每年预算编制前，组织各业务科室梳理年度工作重点、任务目标及资金需求，结合上年度绩效评价结果优化预算分配；引入 “零基预算” 理念，打破预算编制 “基数递增” 惯性，按项目重要性、实施可行性精准测算预算额度；建立预算执行动态调整机制，每季度根据业务推进情况，对预算额度进行合理调剂，确保预算与业务工作同频共振。​</w:t>
      </w:r>
    </w:p>
    <w:p w14:paraId="4945406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提升绩效评价专业能力水平：制定年度培训计划，开展绩效评价政策、指标设计、数据统计分析等专题培训；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强化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内部绩效评价工作小组，吸纳各业务骨干参与，通过以干代训、案例研讨等方式积累实践经验；建立绩效评价工作复核机制，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如有需要可以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邀请第三方专业机构对年度绩效评价报告进行审核把关，提升评价工作的规范性和专业性。​</w:t>
      </w:r>
    </w:p>
    <w:p w14:paraId="12246D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577EF11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无。</w:t>
      </w:r>
    </w:p>
    <w:p w14:paraId="5ED75D9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8DA52B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7BFF11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0B0EB9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br w:type="page"/>
      </w:r>
    </w:p>
    <w:p w14:paraId="000ABDC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1390D30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附件1-1 </w:t>
      </w:r>
    </w:p>
    <w:p w14:paraId="6BC2CC88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526E5488">
      <w:pPr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91" w:firstLine="0" w:firstLineChars="0"/>
        <w:jc w:val="left"/>
        <w:textAlignment w:val="auto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  北塔区委政法委员会                                      </w:t>
      </w:r>
    </w:p>
    <w:tbl>
      <w:tblPr>
        <w:tblStyle w:val="9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697C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42F8D2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3E19D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F9AB14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7493C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 w14:paraId="337E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0DA49ED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465F08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113BBA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3A464F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D2A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6C49E9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EBA7C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2217A7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ABEC7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 w14:paraId="2824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64063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6537B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73AEC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97760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44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A3519D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79C98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8FE331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0FA37A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E05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D97BB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27FB4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C486D2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6F4CC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23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D35C81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DD766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F7D700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D0C4E3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83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28550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020983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820D3D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3986EE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77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BFCB95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DC05A5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A52590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38945A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4F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C441E3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42DC79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839C3E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67.8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72A9A4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233.11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7715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84E45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A2E015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1DBAE6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67.8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637ACE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233.11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6D2D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54" w:type="dxa"/>
            <w:noWrap w:val="0"/>
            <w:vAlign w:val="center"/>
          </w:tcPr>
          <w:p w14:paraId="694A82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BC00E0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4F50C2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C86B2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7326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54" w:type="dxa"/>
            <w:noWrap w:val="0"/>
            <w:vAlign w:val="center"/>
          </w:tcPr>
          <w:p w14:paraId="517CA59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87BEFB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51.63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D79D6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33.08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87CED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63.56</w:t>
            </w:r>
          </w:p>
        </w:tc>
      </w:tr>
      <w:tr w14:paraId="64BB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354" w:type="dxa"/>
            <w:noWrap w:val="0"/>
            <w:vAlign w:val="center"/>
          </w:tcPr>
          <w:p w14:paraId="2E73A69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BFE6D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3.75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E825E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88B5E9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6.16</w:t>
            </w:r>
          </w:p>
        </w:tc>
      </w:tr>
      <w:tr w14:paraId="39A6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33499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top"/>
          </w:tcPr>
          <w:p w14:paraId="20EB36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1.08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ABE7DC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7709D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1.06　</w:t>
            </w:r>
          </w:p>
        </w:tc>
      </w:tr>
      <w:tr w14:paraId="2CC2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0BD9B38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top"/>
          </w:tcPr>
          <w:p w14:paraId="02F6992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0.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726AC9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3F5FB6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0.11　</w:t>
            </w:r>
          </w:p>
        </w:tc>
      </w:tr>
      <w:tr w14:paraId="3A40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8B44BF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43709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566067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CE5F9B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57.84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7B1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BACE6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E8252C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F5176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852DEF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00AE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354" w:type="dxa"/>
            <w:noWrap w:val="0"/>
            <w:vAlign w:val="center"/>
          </w:tcPr>
          <w:p w14:paraId="3AAE15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2F1D98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B01AFA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FF81B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</w:tr>
      <w:tr w14:paraId="31F6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 w14:paraId="2718C3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464262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00EDC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2CB03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416F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62C9AB7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spacing w:val="1"/>
              </w:rPr>
              <w:t>厉行节约保障措施</w:t>
            </w:r>
          </w:p>
        </w:tc>
        <w:tc>
          <w:tcPr>
            <w:tcW w:w="1189" w:type="dxa"/>
            <w:noWrap w:val="0"/>
            <w:vAlign w:val="center"/>
          </w:tcPr>
          <w:p w14:paraId="72113A7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A0EC6D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321F9E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E90C5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1D26F0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4378918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 w14:paraId="51EA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04FB27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4DA99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6CF51DA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E2DF49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13242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noWrap w:val="0"/>
            <w:vAlign w:val="center"/>
          </w:tcPr>
          <w:p w14:paraId="50A5220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 w14:paraId="692B7C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04C9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 w14:paraId="69754BB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6110" w:type="dxa"/>
            <w:gridSpan w:val="6"/>
            <w:noWrap w:val="0"/>
            <w:vAlign w:val="center"/>
          </w:tcPr>
          <w:p w14:paraId="0F5FE1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</w:tbl>
    <w:p w14:paraId="3A33CA13">
      <w:pPr>
        <w:pStyle w:val="1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56F300F9">
      <w:pPr>
        <w:pStyle w:val="3"/>
        <w:spacing w:before="235" w:line="232" w:lineRule="auto"/>
        <w:ind w:left="455"/>
        <w:rPr>
          <w:rFonts w:hint="default" w:eastAsia="仿宋"/>
          <w:sz w:val="22"/>
          <w:szCs w:val="22"/>
          <w:lang w:val="en-US" w:eastAsia="zh-CN"/>
        </w:rPr>
      </w:pPr>
      <w:r>
        <w:rPr>
          <w:spacing w:val="6"/>
          <w:position w:val="-2"/>
          <w:sz w:val="22"/>
          <w:szCs w:val="22"/>
        </w:rPr>
        <w:t>填表人：</w:t>
      </w:r>
      <w:r>
        <w:rPr>
          <w:rFonts w:hint="eastAsia"/>
          <w:spacing w:val="6"/>
          <w:position w:val="-2"/>
          <w:sz w:val="22"/>
          <w:szCs w:val="22"/>
          <w:lang w:eastAsia="zh-CN"/>
        </w:rPr>
        <w:t>胡文娟</w:t>
      </w:r>
      <w:r>
        <w:rPr>
          <w:spacing w:val="6"/>
          <w:position w:val="-2"/>
          <w:sz w:val="22"/>
          <w:szCs w:val="22"/>
        </w:rPr>
        <w:t xml:space="preserve">     </w:t>
      </w:r>
      <w:r>
        <w:rPr>
          <w:spacing w:val="6"/>
          <w:sz w:val="22"/>
          <w:szCs w:val="22"/>
        </w:rPr>
        <w:t>填报日期：202</w:t>
      </w:r>
      <w:r>
        <w:rPr>
          <w:rFonts w:hint="eastAsia"/>
          <w:spacing w:val="6"/>
          <w:sz w:val="22"/>
          <w:szCs w:val="22"/>
          <w:lang w:val="en-US" w:eastAsia="zh-CN"/>
        </w:rPr>
        <w:t>5</w:t>
      </w:r>
      <w:r>
        <w:rPr>
          <w:spacing w:val="6"/>
          <w:sz w:val="22"/>
          <w:szCs w:val="22"/>
        </w:rPr>
        <w:t>年</w:t>
      </w:r>
      <w:r>
        <w:rPr>
          <w:rFonts w:hint="eastAsia"/>
          <w:spacing w:val="6"/>
          <w:sz w:val="22"/>
          <w:szCs w:val="22"/>
          <w:lang w:val="en-US" w:eastAsia="zh-CN"/>
        </w:rPr>
        <w:t>9</w:t>
      </w:r>
      <w:r>
        <w:rPr>
          <w:spacing w:val="6"/>
          <w:sz w:val="22"/>
          <w:szCs w:val="22"/>
        </w:rPr>
        <w:t>月</w:t>
      </w:r>
      <w:r>
        <w:rPr>
          <w:rFonts w:hint="eastAsia"/>
          <w:spacing w:val="6"/>
          <w:sz w:val="22"/>
          <w:szCs w:val="22"/>
          <w:lang w:val="en-US" w:eastAsia="zh-CN"/>
        </w:rPr>
        <w:t>15</w:t>
      </w:r>
      <w:r>
        <w:rPr>
          <w:spacing w:val="6"/>
          <w:sz w:val="22"/>
          <w:szCs w:val="22"/>
        </w:rPr>
        <w:t>日</w:t>
      </w:r>
      <w:r>
        <w:rPr>
          <w:spacing w:val="5"/>
          <w:sz w:val="22"/>
          <w:szCs w:val="22"/>
        </w:rPr>
        <w:t xml:space="preserve">       </w:t>
      </w:r>
      <w:r>
        <w:rPr>
          <w:spacing w:val="6"/>
          <w:sz w:val="22"/>
          <w:szCs w:val="22"/>
        </w:rPr>
        <w:t>联系</w:t>
      </w:r>
      <w:r>
        <w:rPr>
          <w:spacing w:val="5"/>
          <w:sz w:val="22"/>
          <w:szCs w:val="22"/>
        </w:rPr>
        <w:t>电话：</w:t>
      </w:r>
      <w:r>
        <w:rPr>
          <w:rFonts w:hint="eastAsia"/>
          <w:spacing w:val="5"/>
          <w:sz w:val="22"/>
          <w:szCs w:val="22"/>
          <w:lang w:val="en-US" w:eastAsia="zh-CN"/>
        </w:rPr>
        <w:t>18107396508</w:t>
      </w:r>
    </w:p>
    <w:p w14:paraId="62D7B8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</w:p>
    <w:p w14:paraId="4D8234C5">
      <w:pP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br w:type="page"/>
      </w:r>
    </w:p>
    <w:p w14:paraId="2890B8D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附件1-2</w:t>
      </w:r>
    </w:p>
    <w:p w14:paraId="4C5E4636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9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08"/>
        <w:gridCol w:w="1042"/>
        <w:gridCol w:w="976"/>
        <w:gridCol w:w="88"/>
        <w:gridCol w:w="1149"/>
        <w:gridCol w:w="1096"/>
        <w:gridCol w:w="686"/>
        <w:gridCol w:w="916"/>
        <w:gridCol w:w="1099"/>
      </w:tblGrid>
      <w:tr w14:paraId="54AC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02" w:type="dxa"/>
            <w:noWrap w:val="0"/>
            <w:vAlign w:val="center"/>
          </w:tcPr>
          <w:p w14:paraId="10A74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160" w:type="dxa"/>
            <w:gridSpan w:val="9"/>
            <w:noWrap w:val="0"/>
            <w:vAlign w:val="center"/>
          </w:tcPr>
          <w:p w14:paraId="708B1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北塔区委政法委员会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0D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679B6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 w14:paraId="2B04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05EAD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76" w:type="dxa"/>
            <w:noWrap w:val="0"/>
            <w:vAlign w:val="center"/>
          </w:tcPr>
          <w:p w14:paraId="5E073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0B6C8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03D67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096" w:type="dxa"/>
            <w:noWrap w:val="0"/>
            <w:vAlign w:val="center"/>
          </w:tcPr>
          <w:p w14:paraId="740F8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 w14:paraId="2C541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686" w:type="dxa"/>
            <w:noWrap w:val="0"/>
            <w:vAlign w:val="center"/>
          </w:tcPr>
          <w:p w14:paraId="66225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916" w:type="dxa"/>
            <w:noWrap w:val="0"/>
            <w:vAlign w:val="center"/>
          </w:tcPr>
          <w:p w14:paraId="327E6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099" w:type="dxa"/>
            <w:noWrap w:val="0"/>
            <w:vAlign w:val="center"/>
          </w:tcPr>
          <w:p w14:paraId="62FA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0A72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12300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301C1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76" w:type="dxa"/>
            <w:noWrap w:val="0"/>
            <w:vAlign w:val="center"/>
          </w:tcPr>
          <w:p w14:paraId="25742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270.95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2B7A1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517.91</w:t>
            </w:r>
          </w:p>
        </w:tc>
        <w:tc>
          <w:tcPr>
            <w:tcW w:w="1096" w:type="dxa"/>
            <w:noWrap w:val="0"/>
            <w:vAlign w:val="center"/>
          </w:tcPr>
          <w:p w14:paraId="2D32F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517.91</w:t>
            </w:r>
          </w:p>
        </w:tc>
        <w:tc>
          <w:tcPr>
            <w:tcW w:w="686" w:type="dxa"/>
            <w:noWrap w:val="0"/>
            <w:vAlign w:val="center"/>
          </w:tcPr>
          <w:p w14:paraId="44913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1B0A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99" w:type="dxa"/>
            <w:noWrap w:val="0"/>
            <w:vAlign w:val="center"/>
          </w:tcPr>
          <w:p w14:paraId="5E179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</w:t>
            </w:r>
          </w:p>
        </w:tc>
      </w:tr>
      <w:tr w14:paraId="2D33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5B7DC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7DC0B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4341B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0254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22D1E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23BA8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517.91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34A91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284.8</w:t>
            </w:r>
          </w:p>
        </w:tc>
      </w:tr>
      <w:tr w14:paraId="2BD2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10E04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120CB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39361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233.11</w:t>
            </w:r>
          </w:p>
        </w:tc>
      </w:tr>
      <w:tr w14:paraId="26D7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2A1A4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65737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579C5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481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1DCB0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23ACA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2BA0F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76D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6AD06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363" w:type="dxa"/>
            <w:gridSpan w:val="5"/>
            <w:noWrap w:val="0"/>
            <w:vAlign w:val="center"/>
          </w:tcPr>
          <w:p w14:paraId="03C67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56F15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6165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C999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18E07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</w:rPr>
              <w:t>一是强信念、守初心，政治忠诚更加牢固。二是防风险、护稳定，幸福指数更加充实。三是促发展、惠民生，服务发展更加高效。四是强基础、重法治，平安底色更加鲜明。五是提能力、优作风，队伍建设更加过硬。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70CD1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spacing w:val="-1"/>
                <w:sz w:val="20"/>
                <w:szCs w:val="20"/>
              </w:rPr>
              <w:t>全年各项工作有序开展，取得较好成绩。</w:t>
            </w:r>
          </w:p>
        </w:tc>
      </w:tr>
      <w:tr w14:paraId="3B7F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1E6D8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39C18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44B72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55B56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08" w:type="dxa"/>
            <w:noWrap w:val="0"/>
            <w:vAlign w:val="center"/>
          </w:tcPr>
          <w:p w14:paraId="016FF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42" w:type="dxa"/>
            <w:noWrap w:val="0"/>
            <w:vAlign w:val="center"/>
          </w:tcPr>
          <w:p w14:paraId="206DE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7DB38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49" w:type="dxa"/>
            <w:noWrap w:val="0"/>
            <w:vAlign w:val="center"/>
          </w:tcPr>
          <w:p w14:paraId="2E96A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 w14:paraId="585AD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96" w:type="dxa"/>
            <w:noWrap w:val="0"/>
            <w:vAlign w:val="center"/>
          </w:tcPr>
          <w:p w14:paraId="23FBC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 w14:paraId="0645F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686" w:type="dxa"/>
            <w:noWrap w:val="0"/>
            <w:vAlign w:val="center"/>
          </w:tcPr>
          <w:p w14:paraId="71479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6" w:type="dxa"/>
            <w:noWrap w:val="0"/>
            <w:vAlign w:val="center"/>
          </w:tcPr>
          <w:p w14:paraId="314A5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99" w:type="dxa"/>
            <w:noWrap w:val="0"/>
            <w:vAlign w:val="top"/>
          </w:tcPr>
          <w:p w14:paraId="3DFE4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 w14:paraId="62B15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 w14:paraId="308EC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71DC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326CD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noWrap w:val="0"/>
            <w:vAlign w:val="center"/>
          </w:tcPr>
          <w:p w14:paraId="4AEF3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43376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50分)</w:t>
            </w:r>
          </w:p>
        </w:tc>
        <w:tc>
          <w:tcPr>
            <w:tcW w:w="1042" w:type="dxa"/>
            <w:vMerge w:val="restart"/>
            <w:noWrap w:val="0"/>
            <w:vAlign w:val="center"/>
          </w:tcPr>
          <w:p w14:paraId="2DF1D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</w:t>
            </w:r>
          </w:p>
          <w:p w14:paraId="5C375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17B74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召开政法委员会全体（扩大）会议</w:t>
            </w:r>
          </w:p>
        </w:tc>
        <w:tc>
          <w:tcPr>
            <w:tcW w:w="1149" w:type="dxa"/>
            <w:noWrap w:val="0"/>
            <w:vAlign w:val="center"/>
          </w:tcPr>
          <w:p w14:paraId="6DEC4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4次</w:t>
            </w:r>
          </w:p>
        </w:tc>
        <w:tc>
          <w:tcPr>
            <w:tcW w:w="1096" w:type="dxa"/>
            <w:noWrap w:val="0"/>
            <w:vAlign w:val="center"/>
          </w:tcPr>
          <w:p w14:paraId="4ECC5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4次</w:t>
            </w:r>
          </w:p>
        </w:tc>
        <w:tc>
          <w:tcPr>
            <w:tcW w:w="686" w:type="dxa"/>
            <w:noWrap w:val="0"/>
            <w:vAlign w:val="center"/>
          </w:tcPr>
          <w:p w14:paraId="2C03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535B4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 w14:paraId="7A495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AF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3FA4E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5F01A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 w14:paraId="65AA3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3D982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政法系统开展理论中心组学习</w:t>
            </w:r>
          </w:p>
        </w:tc>
        <w:tc>
          <w:tcPr>
            <w:tcW w:w="1149" w:type="dxa"/>
            <w:noWrap w:val="0"/>
            <w:vAlign w:val="center"/>
          </w:tcPr>
          <w:p w14:paraId="48285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60次</w:t>
            </w:r>
          </w:p>
        </w:tc>
        <w:tc>
          <w:tcPr>
            <w:tcW w:w="1096" w:type="dxa"/>
            <w:noWrap w:val="0"/>
            <w:vAlign w:val="center"/>
          </w:tcPr>
          <w:p w14:paraId="6D9D3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60次</w:t>
            </w:r>
          </w:p>
        </w:tc>
        <w:tc>
          <w:tcPr>
            <w:tcW w:w="686" w:type="dxa"/>
            <w:noWrap w:val="0"/>
            <w:vAlign w:val="center"/>
          </w:tcPr>
          <w:p w14:paraId="29D4D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4FB56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 w14:paraId="74B30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44F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1A15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6C196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443F2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 w14:paraId="4A17D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0D17E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切实提升政法干警政治能力和业务本领</w:t>
            </w:r>
          </w:p>
        </w:tc>
        <w:tc>
          <w:tcPr>
            <w:tcW w:w="1149" w:type="dxa"/>
            <w:noWrap w:val="0"/>
            <w:vAlign w:val="center"/>
          </w:tcPr>
          <w:p w14:paraId="142F3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法干警担当作为，奋勇争先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96" w:type="dxa"/>
            <w:noWrap w:val="0"/>
            <w:vAlign w:val="center"/>
          </w:tcPr>
          <w:p w14:paraId="6533B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 w14:paraId="07DBC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7F855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 w14:paraId="383C4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7C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37AC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2E8E9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6D39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 w14:paraId="60F34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2ADCF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eastAsia="zh-CN"/>
              </w:rPr>
              <w:t>年前各项工作按时完成</w:t>
            </w:r>
          </w:p>
        </w:tc>
        <w:tc>
          <w:tcPr>
            <w:tcW w:w="1149" w:type="dxa"/>
            <w:noWrap w:val="0"/>
            <w:vAlign w:val="center"/>
          </w:tcPr>
          <w:p w14:paraId="152CA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按时完成</w:t>
            </w:r>
          </w:p>
        </w:tc>
        <w:tc>
          <w:tcPr>
            <w:tcW w:w="1096" w:type="dxa"/>
            <w:noWrap w:val="0"/>
            <w:vAlign w:val="center"/>
          </w:tcPr>
          <w:p w14:paraId="4F77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按时完成</w:t>
            </w:r>
          </w:p>
        </w:tc>
        <w:tc>
          <w:tcPr>
            <w:tcW w:w="686" w:type="dxa"/>
            <w:noWrap w:val="0"/>
            <w:vAlign w:val="center"/>
          </w:tcPr>
          <w:p w14:paraId="3142A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60220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 w14:paraId="72BEB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F2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100EF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75267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FACA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</w:t>
            </w:r>
          </w:p>
          <w:p w14:paraId="065C6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15D04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经济成本</w:t>
            </w:r>
          </w:p>
        </w:tc>
        <w:tc>
          <w:tcPr>
            <w:tcW w:w="1149" w:type="dxa"/>
            <w:noWrap w:val="0"/>
            <w:vAlign w:val="center"/>
          </w:tcPr>
          <w:p w14:paraId="3D468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财政资金保障到位</w:t>
            </w:r>
          </w:p>
        </w:tc>
        <w:tc>
          <w:tcPr>
            <w:tcW w:w="1096" w:type="dxa"/>
            <w:noWrap w:val="0"/>
            <w:vAlign w:val="center"/>
          </w:tcPr>
          <w:p w14:paraId="0422D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 w14:paraId="3D422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5AAFE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 w14:paraId="2BA0D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0850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61D47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noWrap w:val="0"/>
            <w:vAlign w:val="center"/>
          </w:tcPr>
          <w:p w14:paraId="4B613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61F08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042" w:type="dxa"/>
            <w:noWrap w:val="0"/>
            <w:vAlign w:val="center"/>
          </w:tcPr>
          <w:p w14:paraId="17F6C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 w14:paraId="2BEFB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7B42B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优化提升法治化营商环境</w:t>
            </w:r>
          </w:p>
        </w:tc>
        <w:tc>
          <w:tcPr>
            <w:tcW w:w="1149" w:type="dxa"/>
            <w:noWrap w:val="0"/>
            <w:vAlign w:val="center"/>
          </w:tcPr>
          <w:p w14:paraId="74ABE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问需于企护航市场健康发展</w:t>
            </w:r>
          </w:p>
        </w:tc>
        <w:tc>
          <w:tcPr>
            <w:tcW w:w="1096" w:type="dxa"/>
            <w:noWrap w:val="0"/>
            <w:vAlign w:val="center"/>
          </w:tcPr>
          <w:p w14:paraId="221F8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顺利完成</w:t>
            </w:r>
          </w:p>
        </w:tc>
        <w:tc>
          <w:tcPr>
            <w:tcW w:w="686" w:type="dxa"/>
            <w:noWrap w:val="0"/>
            <w:vAlign w:val="center"/>
          </w:tcPr>
          <w:p w14:paraId="65D14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16" w:type="dxa"/>
            <w:noWrap w:val="0"/>
            <w:vAlign w:val="center"/>
          </w:tcPr>
          <w:p w14:paraId="58552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99" w:type="dxa"/>
            <w:noWrap w:val="0"/>
            <w:vAlign w:val="center"/>
          </w:tcPr>
          <w:p w14:paraId="47993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261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736E2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59718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248FE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 w14:paraId="6E04C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454D9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安保维稳</w:t>
            </w:r>
          </w:p>
        </w:tc>
        <w:tc>
          <w:tcPr>
            <w:tcW w:w="1149" w:type="dxa"/>
            <w:noWrap w:val="0"/>
            <w:vAlign w:val="center"/>
          </w:tcPr>
          <w:p w14:paraId="0E848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  <w:t>社会治安良好、各项活动安全有序开展</w:t>
            </w:r>
          </w:p>
        </w:tc>
        <w:tc>
          <w:tcPr>
            <w:tcW w:w="1096" w:type="dxa"/>
            <w:noWrap w:val="0"/>
            <w:vAlign w:val="center"/>
          </w:tcPr>
          <w:p w14:paraId="3AE20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顺利完成</w:t>
            </w:r>
          </w:p>
        </w:tc>
        <w:tc>
          <w:tcPr>
            <w:tcW w:w="686" w:type="dxa"/>
            <w:noWrap w:val="0"/>
            <w:vAlign w:val="center"/>
          </w:tcPr>
          <w:p w14:paraId="7AA96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16" w:type="dxa"/>
            <w:noWrap w:val="0"/>
            <w:vAlign w:val="center"/>
          </w:tcPr>
          <w:p w14:paraId="4436D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99" w:type="dxa"/>
            <w:noWrap w:val="0"/>
            <w:vAlign w:val="center"/>
          </w:tcPr>
          <w:p w14:paraId="67DA4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637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5DF1D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70307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68563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 w14:paraId="0E92A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0B9A5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  <w:t>聚焦违法犯罪和治安突出问题</w:t>
            </w:r>
          </w:p>
        </w:tc>
        <w:tc>
          <w:tcPr>
            <w:tcW w:w="1149" w:type="dxa"/>
            <w:noWrap w:val="0"/>
            <w:vAlign w:val="center"/>
          </w:tcPr>
          <w:p w14:paraId="23879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  <w:t>刑事、治安同比下降</w:t>
            </w:r>
          </w:p>
        </w:tc>
        <w:tc>
          <w:tcPr>
            <w:tcW w:w="1096" w:type="dxa"/>
            <w:noWrap w:val="0"/>
            <w:vAlign w:val="center"/>
          </w:tcPr>
          <w:p w14:paraId="5757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顺利完成</w:t>
            </w:r>
          </w:p>
        </w:tc>
        <w:tc>
          <w:tcPr>
            <w:tcW w:w="686" w:type="dxa"/>
            <w:noWrap w:val="0"/>
            <w:vAlign w:val="center"/>
          </w:tcPr>
          <w:p w14:paraId="15090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16" w:type="dxa"/>
            <w:noWrap w:val="0"/>
            <w:vAlign w:val="center"/>
          </w:tcPr>
          <w:p w14:paraId="3C6F4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99" w:type="dxa"/>
            <w:noWrap w:val="0"/>
            <w:vAlign w:val="center"/>
          </w:tcPr>
          <w:p w14:paraId="66FC5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32A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58DE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54C94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4A6D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73B5C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  <w:t>重大敏感案事件</w:t>
            </w:r>
          </w:p>
        </w:tc>
        <w:tc>
          <w:tcPr>
            <w:tcW w:w="1149" w:type="dxa"/>
            <w:noWrap w:val="0"/>
            <w:vAlign w:val="center"/>
          </w:tcPr>
          <w:p w14:paraId="5F892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  <w:t>持续“零发生”</w:t>
            </w:r>
          </w:p>
        </w:tc>
        <w:tc>
          <w:tcPr>
            <w:tcW w:w="1096" w:type="dxa"/>
            <w:noWrap w:val="0"/>
            <w:vAlign w:val="center"/>
          </w:tcPr>
          <w:p w14:paraId="1C1B4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顺利完成</w:t>
            </w:r>
          </w:p>
        </w:tc>
        <w:tc>
          <w:tcPr>
            <w:tcW w:w="686" w:type="dxa"/>
            <w:noWrap w:val="0"/>
            <w:vAlign w:val="center"/>
          </w:tcPr>
          <w:p w14:paraId="67E6F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16" w:type="dxa"/>
            <w:noWrap w:val="0"/>
            <w:vAlign w:val="center"/>
          </w:tcPr>
          <w:p w14:paraId="1DF8F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99" w:type="dxa"/>
            <w:noWrap w:val="0"/>
            <w:vAlign w:val="center"/>
          </w:tcPr>
          <w:p w14:paraId="742FD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2FE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308F4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3FF86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214B1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66842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042" w:type="dxa"/>
            <w:noWrap w:val="0"/>
            <w:vAlign w:val="center"/>
          </w:tcPr>
          <w:p w14:paraId="08191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16A28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1149" w:type="dxa"/>
            <w:noWrap w:val="0"/>
            <w:vAlign w:val="center"/>
          </w:tcPr>
          <w:p w14:paraId="56B27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096" w:type="dxa"/>
            <w:noWrap w:val="0"/>
            <w:vAlign w:val="center"/>
          </w:tcPr>
          <w:p w14:paraId="6CE6E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686" w:type="dxa"/>
            <w:noWrap w:val="0"/>
            <w:vAlign w:val="center"/>
          </w:tcPr>
          <w:p w14:paraId="7B953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0FBCA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 w14:paraId="15030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63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61" w:type="dxa"/>
            <w:gridSpan w:val="7"/>
            <w:noWrap w:val="0"/>
            <w:vAlign w:val="center"/>
          </w:tcPr>
          <w:p w14:paraId="19B43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686" w:type="dxa"/>
            <w:noWrap w:val="0"/>
            <w:vAlign w:val="center"/>
          </w:tcPr>
          <w:p w14:paraId="56808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6" w:type="dxa"/>
            <w:noWrap w:val="0"/>
            <w:vAlign w:val="center"/>
          </w:tcPr>
          <w:p w14:paraId="0C02F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099" w:type="dxa"/>
            <w:noWrap w:val="0"/>
            <w:vAlign w:val="center"/>
          </w:tcPr>
          <w:p w14:paraId="1CD86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8A0A201">
      <w:pPr>
        <w:pStyle w:val="3"/>
        <w:spacing w:before="235" w:line="232" w:lineRule="auto"/>
        <w:rPr>
          <w:rFonts w:hint="default"/>
          <w:lang w:val="en-US" w:eastAsia="zh-CN"/>
        </w:rPr>
      </w:pPr>
      <w:r>
        <w:rPr>
          <w:spacing w:val="6"/>
          <w:position w:val="-2"/>
          <w:sz w:val="22"/>
          <w:szCs w:val="22"/>
        </w:rPr>
        <w:t>填表人：</w:t>
      </w:r>
      <w:r>
        <w:rPr>
          <w:rFonts w:hint="eastAsia"/>
          <w:spacing w:val="6"/>
          <w:position w:val="-2"/>
          <w:sz w:val="22"/>
          <w:szCs w:val="22"/>
          <w:lang w:eastAsia="zh-CN"/>
        </w:rPr>
        <w:t>胡文娟</w:t>
      </w:r>
      <w:r>
        <w:rPr>
          <w:spacing w:val="6"/>
          <w:position w:val="-2"/>
          <w:sz w:val="22"/>
          <w:szCs w:val="22"/>
        </w:rPr>
        <w:t xml:space="preserve">     </w:t>
      </w:r>
      <w:r>
        <w:rPr>
          <w:spacing w:val="6"/>
          <w:sz w:val="22"/>
          <w:szCs w:val="22"/>
        </w:rPr>
        <w:t>填报日期：202</w:t>
      </w:r>
      <w:r>
        <w:rPr>
          <w:rFonts w:hint="eastAsia"/>
          <w:spacing w:val="6"/>
          <w:sz w:val="22"/>
          <w:szCs w:val="22"/>
          <w:lang w:val="en-US" w:eastAsia="zh-CN"/>
        </w:rPr>
        <w:t>5</w:t>
      </w:r>
      <w:r>
        <w:rPr>
          <w:spacing w:val="6"/>
          <w:sz w:val="22"/>
          <w:szCs w:val="22"/>
        </w:rPr>
        <w:t>年</w:t>
      </w:r>
      <w:r>
        <w:rPr>
          <w:rFonts w:hint="eastAsia"/>
          <w:spacing w:val="6"/>
          <w:sz w:val="22"/>
          <w:szCs w:val="22"/>
          <w:lang w:val="en-US" w:eastAsia="zh-CN"/>
        </w:rPr>
        <w:t>9</w:t>
      </w:r>
      <w:r>
        <w:rPr>
          <w:spacing w:val="6"/>
          <w:sz w:val="22"/>
          <w:szCs w:val="22"/>
        </w:rPr>
        <w:t>月</w:t>
      </w:r>
      <w:r>
        <w:rPr>
          <w:rFonts w:hint="eastAsia"/>
          <w:spacing w:val="6"/>
          <w:sz w:val="22"/>
          <w:szCs w:val="22"/>
          <w:lang w:val="en-US" w:eastAsia="zh-CN"/>
        </w:rPr>
        <w:t>15</w:t>
      </w:r>
      <w:r>
        <w:rPr>
          <w:spacing w:val="6"/>
          <w:sz w:val="22"/>
          <w:szCs w:val="22"/>
        </w:rPr>
        <w:t>日</w:t>
      </w:r>
      <w:r>
        <w:rPr>
          <w:spacing w:val="5"/>
          <w:sz w:val="22"/>
          <w:szCs w:val="22"/>
        </w:rPr>
        <w:t xml:space="preserve">       </w:t>
      </w:r>
      <w:r>
        <w:rPr>
          <w:spacing w:val="6"/>
          <w:sz w:val="22"/>
          <w:szCs w:val="22"/>
        </w:rPr>
        <w:t>联系</w:t>
      </w:r>
      <w:r>
        <w:rPr>
          <w:spacing w:val="5"/>
          <w:sz w:val="22"/>
          <w:szCs w:val="22"/>
        </w:rPr>
        <w:t>电话：</w:t>
      </w:r>
      <w:r>
        <w:rPr>
          <w:rFonts w:hint="eastAsia"/>
          <w:spacing w:val="5"/>
          <w:sz w:val="22"/>
          <w:szCs w:val="22"/>
          <w:lang w:val="en-US" w:eastAsia="zh-CN"/>
        </w:rPr>
        <w:t>18107396508</w:t>
      </w:r>
    </w:p>
    <w:sectPr>
      <w:footerReference r:id="rId3" w:type="default"/>
      <w:pgSz w:w="11906" w:h="16838"/>
      <w:pgMar w:top="1134" w:right="1800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199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3209A">
                          <w:pPr>
                            <w:pStyle w:val="5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3209A">
                    <w:pPr>
                      <w:pStyle w:val="5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00172A27"/>
    <w:rsid w:val="04FE4606"/>
    <w:rsid w:val="05E95AA6"/>
    <w:rsid w:val="0AD876A7"/>
    <w:rsid w:val="0C180A78"/>
    <w:rsid w:val="0D276746"/>
    <w:rsid w:val="0D464D9C"/>
    <w:rsid w:val="0DD52794"/>
    <w:rsid w:val="0E956870"/>
    <w:rsid w:val="10C666A5"/>
    <w:rsid w:val="1223366A"/>
    <w:rsid w:val="143877FD"/>
    <w:rsid w:val="19E805B2"/>
    <w:rsid w:val="1FE91F73"/>
    <w:rsid w:val="22FE234B"/>
    <w:rsid w:val="277E6F02"/>
    <w:rsid w:val="29990575"/>
    <w:rsid w:val="2AF6742D"/>
    <w:rsid w:val="2E833798"/>
    <w:rsid w:val="2F483684"/>
    <w:rsid w:val="312A2265"/>
    <w:rsid w:val="36FC0F5D"/>
    <w:rsid w:val="375773F8"/>
    <w:rsid w:val="393E32BB"/>
    <w:rsid w:val="3BD72EE0"/>
    <w:rsid w:val="419B2857"/>
    <w:rsid w:val="41D71DA8"/>
    <w:rsid w:val="42DA45A9"/>
    <w:rsid w:val="45604A99"/>
    <w:rsid w:val="4799B96F"/>
    <w:rsid w:val="47B13E94"/>
    <w:rsid w:val="4A044A63"/>
    <w:rsid w:val="4C6611ED"/>
    <w:rsid w:val="4ECF43E7"/>
    <w:rsid w:val="552A0475"/>
    <w:rsid w:val="578D10CB"/>
    <w:rsid w:val="5A5915AC"/>
    <w:rsid w:val="6A12486A"/>
    <w:rsid w:val="6A3271D4"/>
    <w:rsid w:val="6CF36092"/>
    <w:rsid w:val="6EC45F46"/>
    <w:rsid w:val="70FF9BE4"/>
    <w:rsid w:val="753C4E9B"/>
    <w:rsid w:val="7599EBC1"/>
    <w:rsid w:val="77A71041"/>
    <w:rsid w:val="781113A7"/>
    <w:rsid w:val="791E6510"/>
    <w:rsid w:val="79EDA3D7"/>
    <w:rsid w:val="7C8D4A41"/>
    <w:rsid w:val="7DA53BCA"/>
    <w:rsid w:val="7F7F84FD"/>
    <w:rsid w:val="8D6BB4FF"/>
    <w:rsid w:val="9698FF7F"/>
    <w:rsid w:val="EB3DB652"/>
    <w:rsid w:val="EFBFB4C4"/>
    <w:rsid w:val="EFD932A5"/>
    <w:rsid w:val="F97C3E75"/>
    <w:rsid w:val="FBF5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1">
    <w:name w:val="标题1"/>
    <w:basedOn w:val="2"/>
    <w:qFormat/>
    <w:uiPriority w:val="0"/>
    <w:rPr>
      <w:rFonts w:eastAsia="黑体"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3954</Words>
  <Characters>4242</Characters>
  <Lines>0</Lines>
  <Paragraphs>0</Paragraphs>
  <TotalTime>10</TotalTime>
  <ScaleCrop>false</ScaleCrop>
  <LinksUpToDate>false</LinksUpToDate>
  <CharactersWithSpaces>4390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2024-02-22T18:03:00Z</dcterms:created>
  <dc:creator>1402836399</dc:creator>
  <cp:lastModifiedBy>Salted fish</cp:lastModifiedBy>
  <cp:lastPrinted>2024-02-26T19:24:00Z</cp:lastPrinted>
  <dcterms:modified xsi:type="dcterms:W3CDTF">2025-12-21T16:57:17Z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230FEC74A7DD4EB3B0A569775A7273A0_13</vt:lpwstr>
  </property>
  <property fmtid="{D5CDD505-2E9C-101B-9397-08002B2CF9AE}" pid="4" name="KSOTemplateDocerSaveRecord">
    <vt:lpwstr>eyJoZGlkIjoiYWI1N2VkMTc2YzYzZDY5YWZjYmNmNWY0Mjc1Y2FmODciLCJ1c2VySWQiOiIzMzUwOTA3MTcifQ==</vt:lpwstr>
  </property>
</Properties>
</file>