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2C97">
      <w:pPr>
        <w:rPr>
          <w:rFonts w:ascii="黑体" w:hAnsi="黑体" w:eastAsia="黑体" w:cs="黑体"/>
          <w:b/>
          <w:bCs/>
          <w:color w:val="000000"/>
          <w:kern w:val="0"/>
          <w:sz w:val="52"/>
          <w:szCs w:val="52"/>
          <w:shd w:val="clear" w:color="auto" w:fill="FFFFFF"/>
        </w:rPr>
      </w:pPr>
    </w:p>
    <w:p w14:paraId="721500E1">
      <w:pPr>
        <w:pStyle w:val="7"/>
        <w:widowControl/>
        <w:shd w:val="clear" w:color="auto" w:fill="FFFFFF"/>
        <w:snapToGrid w:val="0"/>
        <w:spacing w:beforeAutospacing="0" w:afterAutospacing="0" w:line="520" w:lineRule="exact"/>
        <w:jc w:val="center"/>
        <w:rPr>
          <w:rFonts w:ascii="黑体" w:hAnsi="黑体" w:eastAsia="黑体" w:cs="黑体"/>
          <w:b/>
          <w:bCs/>
          <w:color w:val="000000"/>
          <w:sz w:val="52"/>
          <w:szCs w:val="52"/>
          <w:shd w:val="clear" w:color="auto" w:fill="FFFFFF"/>
        </w:rPr>
      </w:pPr>
      <w:r>
        <w:rPr>
          <w:rFonts w:hint="eastAsia" w:ascii="黑体" w:hAnsi="黑体" w:eastAsia="黑体" w:cs="黑体"/>
          <w:b/>
          <w:bCs/>
          <w:color w:val="000000"/>
          <w:sz w:val="52"/>
          <w:szCs w:val="52"/>
          <w:shd w:val="clear" w:color="auto" w:fill="FFFFFF"/>
        </w:rPr>
        <w:t>中共邵阳市北塔区委社会工作部</w:t>
      </w:r>
    </w:p>
    <w:p w14:paraId="4E6FC326">
      <w:pPr>
        <w:pStyle w:val="7"/>
        <w:widowControl/>
        <w:shd w:val="clear" w:color="auto" w:fill="FFFFFF"/>
        <w:snapToGrid w:val="0"/>
        <w:spacing w:beforeAutospacing="0" w:afterAutospacing="0" w:line="520" w:lineRule="exact"/>
        <w:jc w:val="center"/>
        <w:rPr>
          <w:rFonts w:ascii="黑体" w:hAnsi="黑体" w:eastAsia="黑体" w:cs="黑体"/>
          <w:b/>
          <w:bCs/>
          <w:color w:val="000000"/>
          <w:sz w:val="52"/>
          <w:szCs w:val="52"/>
        </w:rPr>
      </w:pPr>
      <w:r>
        <w:rPr>
          <w:rFonts w:hint="eastAsia" w:ascii="黑体" w:hAnsi="黑体" w:eastAsia="黑体" w:cs="黑体"/>
          <w:b/>
          <w:bCs/>
          <w:color w:val="000000"/>
          <w:sz w:val="52"/>
          <w:szCs w:val="52"/>
          <w:shd w:val="clear" w:color="auto" w:fill="FFFFFF"/>
        </w:rPr>
        <w:t>部门整体支出绩效自评报告</w:t>
      </w:r>
    </w:p>
    <w:p w14:paraId="6252C190">
      <w:pPr>
        <w:pStyle w:val="7"/>
        <w:widowControl/>
        <w:shd w:val="clear" w:color="auto" w:fill="FFFFFF"/>
        <w:snapToGrid w:val="0"/>
        <w:spacing w:beforeAutospacing="0" w:afterAutospacing="0" w:line="560" w:lineRule="exact"/>
        <w:jc w:val="center"/>
        <w:rPr>
          <w:rFonts w:ascii="仿宋_GB2312" w:eastAsia="仿宋_GB2312" w:cs="仿宋_GB2312"/>
          <w:color w:val="000000"/>
        </w:rPr>
      </w:pPr>
    </w:p>
    <w:p w14:paraId="5F331F91">
      <w:pPr>
        <w:pStyle w:val="7"/>
        <w:widowControl/>
        <w:shd w:val="clear" w:color="auto" w:fill="FFFFFF"/>
        <w:snapToGrid w:val="0"/>
        <w:spacing w:beforeAutospacing="0" w:afterAutospacing="0" w:line="56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3FB783C8">
      <w:pPr>
        <w:pStyle w:val="7"/>
        <w:widowControl/>
        <w:numPr>
          <w:ilvl w:val="0"/>
          <w:numId w:val="1"/>
        </w:numPr>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机构设置情况</w:t>
      </w:r>
    </w:p>
    <w:p w14:paraId="79D001C1">
      <w:pPr>
        <w:widowControl/>
        <w:spacing w:after="168" w:line="480" w:lineRule="atLeast"/>
        <w:ind w:right="150" w:firstLine="560" w:firstLineChars="200"/>
        <w:rPr>
          <w:rFonts w:ascii="仿宋_GB2312" w:hAnsi="仿宋" w:eastAsia="仿宋_GB2312"/>
          <w:sz w:val="32"/>
          <w:szCs w:val="32"/>
        </w:rPr>
      </w:pPr>
      <w:r>
        <w:rPr>
          <w:rFonts w:hint="eastAsia" w:ascii="宋体" w:hAnsi="宋体" w:eastAsia="宋体" w:cs="宋体"/>
          <w:sz w:val="28"/>
          <w:szCs w:val="28"/>
        </w:rPr>
        <w:t>根据邵北办发【2019】47号文件精神，中共邵阳市北塔区委社会工作部机关内设3股1室（办公室、社会工作服务股、两企三新党建和行业协会商会工作股、信访工作综合股）。下设区北塔区社会工作事务中心和北塔区信访接待中心两个二级机构，均为事业单位。</w:t>
      </w:r>
    </w:p>
    <w:p w14:paraId="0AA912FB">
      <w:pPr>
        <w:pStyle w:val="7"/>
        <w:widowControl/>
        <w:numPr>
          <w:ilvl w:val="0"/>
          <w:numId w:val="2"/>
        </w:numPr>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人员编制情况</w:t>
      </w:r>
    </w:p>
    <w:p w14:paraId="0F4A0D59">
      <w:pPr>
        <w:pStyle w:val="8"/>
        <w:ind w:firstLine="640"/>
      </w:pPr>
      <w:r>
        <w:rPr>
          <w:rFonts w:hint="eastAsia" w:ascii="宋体" w:hAnsi="宋体" w:eastAsia="宋体" w:cs="宋体"/>
          <w:sz w:val="28"/>
          <w:szCs w:val="28"/>
        </w:rPr>
        <w:t>2024年中共邵阳市北塔区委社会工作部在职实有人数11人，离退休人数1人，其中区委社会工作部机关行政编制6人，参照公务员法管理事业人员5人，财政全额供养11人。</w:t>
      </w:r>
    </w:p>
    <w:p w14:paraId="5D077661">
      <w:pPr>
        <w:pStyle w:val="7"/>
        <w:widowControl/>
        <w:numPr>
          <w:ilvl w:val="0"/>
          <w:numId w:val="2"/>
        </w:numPr>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主要职能职责</w:t>
      </w:r>
    </w:p>
    <w:p w14:paraId="6EACC3EF">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1、研究相关理论、政策和规划，及时向区委报告工作情况并提出建议。</w:t>
      </w:r>
    </w:p>
    <w:p w14:paraId="6A84F7E6">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2、统筹指导群众利益协调、诉求表达、矛盾调处、权益保障等人民信访工作，协调解决人民群众急难愁盼的重大问题。指导人民建议征集工作，负责征集、办理公民、法人和其他组织提出的意见建议，向区委、区人民政府及时反映公民、法人和其他组织提出的有关重要意见建议。指导、规范和监督全区民意反映渠道的运行管理工作。</w:t>
      </w:r>
    </w:p>
    <w:p w14:paraId="0356E098">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3、统筹推进党建引领基层治理和基层政权建设，协调推进城乡社区治理体系和治理能力建设，推动基层民主政治建设，指导监督基层群众自治制度的有效实施，健全基层群众自治机制。</w:t>
      </w:r>
    </w:p>
    <w:p w14:paraId="093CE412">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4、指导混合所有制企业、非公有制企业和新经济组织、新社会组织、新就业群体党建工作，指导协调相关企业单位、社会组织、就业群体中党员的教育、管理、监督和服务工作，研究完善相关领域群众利益协调机制。</w:t>
      </w:r>
    </w:p>
    <w:p w14:paraId="489B6957">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5、指导全区性社会组织党建工作，统一领导行业协会商会党的工作，协调推动行业协会商会深化改革和转型发展。</w:t>
      </w:r>
    </w:p>
    <w:p w14:paraId="1FBA8BB6">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6、负责全区志愿服务工作的统筹规划、协调指导、督促检查，指导社会工作人才队伍建设。</w:t>
      </w:r>
    </w:p>
    <w:p w14:paraId="4E3B5ABF">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7、负责处理权限内的人民群众给区委、区政府及其领导同志的来信，接待群众来访，为领导接待上访群众做好组织服务工作。负责协调北塔区内各责任单位与人民群众之间产生的各类社会纠纷；协同有关部门处理跨地区、跨部门的重大信访问题和纠纷问题；协调处理群众到市赴省进京上访和异常突发性信访事项。研究、起草有关信访工作的文件；开展信访工作宣传和社会矛盾大排查；指导全区信访业务和社会矛盾化解工作的开展，总结推广信访工作经验，提出加强和改进信访和社会矛盾化解工作的意见，为区委、区政府开展调查研究及时提供信访信息。抓好全区信访工作队伍的建设，对信访工作中的失职、渎职行为提出处理建议；组织信访干部培训，指导信访部门办公自动化建设。承办区委、区政府领导和上级党政领导及主管部门交办的信访和调处社会纠纷事项，督促检查有关单位落实各级领导对群众来信批示件的情况；负责交办镇（街道）和区直相关部门信访事项，并督促检查处理落实情况。</w:t>
      </w:r>
    </w:p>
    <w:p w14:paraId="19A0B9BE">
      <w:pPr>
        <w:widowControl/>
        <w:spacing w:after="168" w:line="480" w:lineRule="atLeast"/>
        <w:ind w:right="150" w:firstLine="560" w:firstLineChars="200"/>
        <w:rPr>
          <w:rFonts w:hint="eastAsia" w:ascii="宋体" w:hAnsi="宋体" w:eastAsia="宋体" w:cs="宋体"/>
          <w:sz w:val="28"/>
          <w:szCs w:val="28"/>
        </w:rPr>
      </w:pPr>
      <w:r>
        <w:rPr>
          <w:rFonts w:hint="eastAsia" w:ascii="宋体" w:hAnsi="宋体" w:eastAsia="宋体" w:cs="宋体"/>
          <w:sz w:val="28"/>
          <w:szCs w:val="28"/>
        </w:rPr>
        <w:t>8、完成区委、区政府交办的其他工作。</w:t>
      </w:r>
    </w:p>
    <w:p w14:paraId="2C7161EE">
      <w:pPr>
        <w:pStyle w:val="7"/>
        <w:widowControl/>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14:paraId="4FA3CB43">
      <w:pPr>
        <w:pStyle w:val="8"/>
        <w:ind w:firstLine="64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本部门高度重视绩效目标设定工作，北塔区信访工作得到了明显好转，特别是“强街道、村为主”基层治理“十无”工作法，将“无非访”工作列为重中之重，突出信访源头治理，夯实基层基础，攻坚化解信访积案，形成了领导重视、部门联动，各方配合、上下协调的工作格局，倾力化解了一批疑难信访事项和历史遗留积案,全区信访总量、越级访量明显下降，群众满意率不断上升，信访秩序得到明显好转，成功创建全省信访工作示范区。</w:t>
      </w:r>
    </w:p>
    <w:p w14:paraId="214D7322">
      <w:pPr>
        <w:snapToGrid w:val="0"/>
        <w:spacing w:line="560" w:lineRule="exac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7F628849">
      <w:pPr>
        <w:pStyle w:val="7"/>
        <w:widowControl/>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w:t>
      </w:r>
      <w:r>
        <w:rPr>
          <w:rFonts w:hint="eastAsia" w:ascii="楷体_GB2312" w:eastAsia="楷体_GB2312" w:cs="楷体_GB2312"/>
          <w:color w:val="000000"/>
          <w:sz w:val="32"/>
          <w:szCs w:val="32"/>
          <w:shd w:val="clear" w:color="auto" w:fill="FFFFFF"/>
        </w:rPr>
        <w:t>预算执行、使用、管理总体情况。</w:t>
      </w:r>
    </w:p>
    <w:p w14:paraId="50F91D28">
      <w:pPr>
        <w:spacing w:after="2" w:line="560" w:lineRule="exact"/>
        <w:ind w:firstLine="630"/>
        <w:rPr>
          <w:rFonts w:hint="eastAsia" w:ascii="宋体" w:hAnsi="宋体" w:eastAsia="宋体" w:cs="宋体"/>
          <w:color w:val="000000"/>
          <w:sz w:val="28"/>
          <w:szCs w:val="28"/>
          <w:shd w:val="clear" w:color="auto" w:fill="FFFFFF"/>
        </w:rPr>
      </w:pPr>
      <w:r>
        <w:rPr>
          <w:rFonts w:hint="eastAsia" w:ascii="宋体" w:hAnsi="宋体" w:eastAsia="宋体" w:cs="宋体"/>
          <w:color w:val="000000"/>
          <w:kern w:val="0"/>
          <w:sz w:val="28"/>
          <w:szCs w:val="28"/>
          <w:shd w:val="clear" w:color="auto" w:fill="FFFFFF"/>
        </w:rPr>
        <w:t>2024年度中共邵阳市北塔区委社会工作部财政预算拨款收入为767.27万元，年初预算数为231.06万元；2024年度实际支出767.27万元（基本支出661.27万元、项目支出106万元），其中一般公共服务支出550.02万元、社会保障和就业支出200.78万元、卫生健康支出8.93万元、住房保障支出7.53万元。</w:t>
      </w:r>
    </w:p>
    <w:p w14:paraId="62ECE828">
      <w:pPr>
        <w:pStyle w:val="7"/>
        <w:widowControl/>
        <w:shd w:val="clear" w:color="auto" w:fill="FFFFFF"/>
        <w:snapToGrid w:val="0"/>
        <w:spacing w:beforeAutospacing="0" w:afterAutospacing="0" w:line="560" w:lineRule="exact"/>
        <w:rPr>
          <w:rFonts w:ascii="楷体_GB2312" w:eastAsia="楷体_GB2312" w:cs="楷体_GB2312"/>
          <w:color w:val="000000"/>
          <w:sz w:val="32"/>
          <w:szCs w:val="32"/>
        </w:rPr>
      </w:pPr>
      <w:r>
        <w:rPr>
          <w:rFonts w:ascii="楷体_GB2312" w:eastAsia="楷体_GB2312" w:cs="楷体_GB2312"/>
          <w:color w:val="000000"/>
          <w:sz w:val="32"/>
          <w:szCs w:val="32"/>
          <w:shd w:val="clear" w:color="auto" w:fill="FFFFFF"/>
        </w:rPr>
        <w:t>（二）部门预算执行情况</w:t>
      </w:r>
    </w:p>
    <w:p w14:paraId="2990C43A">
      <w:pPr>
        <w:pStyle w:val="7"/>
        <w:widowControl/>
        <w:shd w:val="clear" w:color="auto" w:fill="FFFFFF"/>
        <w:snapToGrid w:val="0"/>
        <w:spacing w:beforeAutospacing="0" w:afterAutospacing="0" w:line="560" w:lineRule="exact"/>
        <w:ind w:left="64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1.基本支出情况</w:t>
      </w:r>
    </w:p>
    <w:p w14:paraId="7FE13CD5">
      <w:pPr>
        <w:spacing w:after="2" w:line="560" w:lineRule="exact"/>
        <w:ind w:firstLine="630"/>
        <w:rPr>
          <w:rFonts w:hint="eastAsia" w:ascii="宋体" w:hAnsi="宋体" w:eastAsia="宋体" w:cs="宋体"/>
          <w:color w:val="000000"/>
          <w:sz w:val="28"/>
          <w:szCs w:val="28"/>
          <w:shd w:val="clear" w:color="auto" w:fill="FFFFFF"/>
        </w:rPr>
      </w:pPr>
      <w:r>
        <w:rPr>
          <w:rFonts w:hint="eastAsia" w:ascii="宋体" w:hAnsi="宋体" w:eastAsia="宋体" w:cs="宋体"/>
          <w:color w:val="000000"/>
          <w:kern w:val="0"/>
          <w:sz w:val="28"/>
          <w:szCs w:val="28"/>
          <w:shd w:val="clear" w:color="auto" w:fill="FFFFFF"/>
        </w:rPr>
        <w:t>2024年度中共邵阳市北塔区委社会工作部基本支出年初预算安排为231.06万元，本年实际支出为767.27万元，主要为人员经费支出和公用经费支出，其中人员经费支出143.35万元、公用经费支出517.92万元。</w:t>
      </w:r>
    </w:p>
    <w:p w14:paraId="19EE3CCD">
      <w:pPr>
        <w:pStyle w:val="7"/>
        <w:widowControl/>
        <w:numPr>
          <w:ilvl w:val="0"/>
          <w:numId w:val="0"/>
        </w:numPr>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rPr>
        <w:t>项目支出情况</w:t>
      </w:r>
    </w:p>
    <w:p w14:paraId="65F65D8E">
      <w:pPr>
        <w:pStyle w:val="7"/>
        <w:widowControl/>
        <w:numPr>
          <w:ilvl w:val="0"/>
          <w:numId w:val="0"/>
        </w:numPr>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本年项目支出年初预算安排为106元，本年实际支出为106万元。</w:t>
      </w:r>
    </w:p>
    <w:p w14:paraId="68457F16">
      <w:pPr>
        <w:pStyle w:val="7"/>
        <w:widowControl/>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（三）</w:t>
      </w:r>
      <w:r>
        <w:rPr>
          <w:rFonts w:ascii="楷体_GB2312" w:eastAsia="楷体_GB2312" w:cs="楷体_GB2312"/>
          <w:color w:val="000000"/>
          <w:sz w:val="32"/>
          <w:szCs w:val="32"/>
          <w:shd w:val="clear" w:color="auto" w:fill="FFFFFF"/>
        </w:rPr>
        <w:t>"三公"经费使用和管理情况</w:t>
      </w:r>
    </w:p>
    <w:p w14:paraId="284D1D8C">
      <w:pPr>
        <w:pStyle w:val="7"/>
        <w:widowControl/>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2024年我单位厉行节约，缩节开支，“三公”经费预算数为0万元，决算数为0万元，其中公务用车购置及运行维护费预算数为0万元，决算数0万元，公务接待费预算数0万元，决算数0万元。</w:t>
      </w:r>
    </w:p>
    <w:p w14:paraId="333DE7CB">
      <w:pPr>
        <w:pStyle w:val="7"/>
        <w:widowControl/>
        <w:numPr>
          <w:ilvl w:val="0"/>
          <w:numId w:val="3"/>
        </w:numPr>
        <w:shd w:val="clear" w:color="auto" w:fill="FFFFFF"/>
        <w:snapToGrid w:val="0"/>
        <w:spacing w:beforeAutospacing="0" w:afterAutospacing="0" w:line="56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1761FE8C">
      <w:pPr>
        <w:pStyle w:val="7"/>
        <w:widowControl/>
        <w:shd w:val="clear" w:color="auto" w:fill="FFFFFF"/>
        <w:snapToGrid w:val="0"/>
        <w:spacing w:beforeAutospacing="0" w:afterAutospacing="0" w:line="560" w:lineRule="exact"/>
        <w:ind w:firstLine="320" w:firstLineChars="100"/>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　2024年，本单位无政府性基金预算支出。</w:t>
      </w:r>
    </w:p>
    <w:p w14:paraId="789C72F6">
      <w:pPr>
        <w:pStyle w:val="7"/>
        <w:widowControl/>
        <w:numPr>
          <w:ilvl w:val="0"/>
          <w:numId w:val="3"/>
        </w:numPr>
        <w:shd w:val="clear" w:color="auto" w:fill="FFFFFF"/>
        <w:snapToGrid w:val="0"/>
        <w:spacing w:beforeAutospacing="0" w:afterAutospacing="0" w:line="56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5D9A9D1D">
      <w:pPr>
        <w:pStyle w:val="7"/>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2024年，本单位无国有资本经营预算支出。</w:t>
      </w:r>
    </w:p>
    <w:p w14:paraId="292F38CD">
      <w:pPr>
        <w:pStyle w:val="7"/>
        <w:widowControl/>
        <w:numPr>
          <w:ilvl w:val="0"/>
          <w:numId w:val="3"/>
        </w:numPr>
        <w:shd w:val="clear" w:color="auto" w:fill="FFFFFF"/>
        <w:snapToGrid w:val="0"/>
        <w:spacing w:beforeAutospacing="0" w:afterAutospacing="0" w:line="56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55600DB7">
      <w:pPr>
        <w:pStyle w:val="7"/>
        <w:widowControl/>
        <w:shd w:val="clear" w:color="auto" w:fill="FFFFFF"/>
        <w:snapToGrid w:val="0"/>
        <w:spacing w:beforeAutospacing="0" w:afterAutospacing="0" w:line="560" w:lineRule="exact"/>
        <w:ind w:firstLine="640" w:firstLineChars="200"/>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2024年，本单位无社会保险基金预算支出。</w:t>
      </w:r>
    </w:p>
    <w:p w14:paraId="743A049C">
      <w:pPr>
        <w:pStyle w:val="7"/>
        <w:widowControl/>
        <w:shd w:val="clear" w:color="auto" w:fill="FFFFFF"/>
        <w:snapToGrid w:val="0"/>
        <w:spacing w:beforeAutospacing="0" w:afterAutospacing="0" w:line="56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7D314AFD">
      <w:pPr>
        <w:pStyle w:val="7"/>
        <w:widowControl/>
        <w:shd w:val="clear" w:color="auto" w:fill="FFFFFF"/>
        <w:snapToGrid w:val="0"/>
        <w:spacing w:beforeAutospacing="0" w:afterAutospacing="0" w:line="560" w:lineRule="exact"/>
        <w:rPr>
          <w:rFonts w:ascii="仿宋_GB2312" w:eastAsia="仿宋_GB2312" w:cs="仿宋_GB2312"/>
          <w:color w:val="000000"/>
          <w:sz w:val="32"/>
          <w:szCs w:val="32"/>
          <w:shd w:val="clear" w:color="auto" w:fill="FFFFFF"/>
        </w:rPr>
      </w:pPr>
      <w:r>
        <w:rPr>
          <w:rFonts w:ascii="楷体_GB2312" w:eastAsia="楷体_GB2312" w:cs="楷体_GB2312"/>
          <w:color w:val="000000"/>
          <w:sz w:val="32"/>
          <w:szCs w:val="32"/>
          <w:shd w:val="clear" w:color="auto" w:fill="FFFFFF"/>
        </w:rPr>
        <w:t>（一）综合评价结论。</w:t>
      </w:r>
    </w:p>
    <w:p w14:paraId="14D9CB52">
      <w:pPr>
        <w:pStyle w:val="8"/>
        <w:ind w:firstLine="64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2024年，我单位整体预算绩效支出年度总体目标基本完成，</w:t>
      </w:r>
      <w:r>
        <w:rPr>
          <w:rFonts w:hint="eastAsia" w:ascii="宋体" w:hAnsi="宋体" w:eastAsia="宋体" w:cs="宋体"/>
          <w:sz w:val="28"/>
          <w:szCs w:val="28"/>
        </w:rPr>
        <w:t>全区信访工作整体向好，全国、全省、全市“两会”、亚运会等重大活动、会议期间，信访维稳工作均取得了“零进京、零非访、零登记、零滞留、零滋事”的良好成效，圆满实现了省、市、区确定的工作目标。</w:t>
      </w:r>
      <w:r>
        <w:rPr>
          <w:rFonts w:hint="eastAsia" w:ascii="宋体" w:hAnsi="宋体" w:eastAsia="宋体" w:cs="宋体"/>
          <w:color w:val="000000"/>
          <w:kern w:val="0"/>
          <w:sz w:val="28"/>
          <w:szCs w:val="28"/>
          <w:shd w:val="clear" w:color="auto" w:fill="FFFFFF"/>
        </w:rPr>
        <w:t>并充分履行职责职能，严格执行各项管理制度，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经济、社会等效益显著、社会公众满意度上升。2024年度部门整体支出绩效自评分数为94</w:t>
      </w:r>
      <w:r>
        <w:rPr>
          <w:rFonts w:hint="eastAsia" w:ascii="宋体" w:hAnsi="宋体" w:eastAsia="宋体" w:cs="宋体"/>
          <w:color w:val="000000"/>
          <w:kern w:val="0"/>
          <w:sz w:val="28"/>
          <w:szCs w:val="28"/>
          <w:shd w:val="clear" w:color="auto" w:fill="FFFFFF"/>
          <w:lang w:val="en-US" w:eastAsia="zh-CN"/>
        </w:rPr>
        <w:t>.28</w:t>
      </w:r>
      <w:r>
        <w:rPr>
          <w:rFonts w:hint="eastAsia" w:ascii="宋体" w:hAnsi="宋体" w:eastAsia="宋体" w:cs="宋体"/>
          <w:color w:val="000000"/>
          <w:kern w:val="0"/>
          <w:sz w:val="28"/>
          <w:szCs w:val="28"/>
          <w:shd w:val="clear" w:color="auto" w:fill="FFFFFF"/>
        </w:rPr>
        <w:t>分，绩效评价等次为“优秀”。</w:t>
      </w:r>
    </w:p>
    <w:p w14:paraId="4B7A6377">
      <w:pPr>
        <w:pStyle w:val="7"/>
        <w:widowControl/>
        <w:numPr>
          <w:ilvl w:val="0"/>
          <w:numId w:val="4"/>
        </w:numPr>
        <w:shd w:val="clear" w:color="auto" w:fill="FFFFFF"/>
        <w:snapToGrid w:val="0"/>
        <w:spacing w:beforeAutospacing="0" w:afterAutospacing="0" w:line="56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评价指标分析（或综合评价情况）。</w:t>
      </w:r>
    </w:p>
    <w:p w14:paraId="56E6B221">
      <w:pPr>
        <w:pStyle w:val="7"/>
        <w:widowControl/>
        <w:shd w:val="clear" w:color="auto" w:fill="FFFFFF"/>
        <w:snapToGrid w:val="0"/>
        <w:spacing w:beforeAutospacing="0" w:afterAutospacing="0" w:line="52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1.对履职效能主要指标的完成情况进行具体分析</w:t>
      </w:r>
    </w:p>
    <w:p w14:paraId="766F5410">
      <w:pPr>
        <w:pStyle w:val="7"/>
        <w:widowControl/>
        <w:shd w:val="clear" w:color="auto" w:fill="FFFFFF"/>
        <w:snapToGrid w:val="0"/>
        <w:spacing w:beforeAutospacing="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宋体" w:hAnsi="宋体" w:eastAsia="宋体" w:cs="宋体"/>
          <w:color w:val="000000"/>
          <w:sz w:val="28"/>
          <w:szCs w:val="28"/>
          <w:shd w:val="clear" w:color="auto" w:fill="FFFFFF"/>
        </w:rPr>
        <w:t>我单位绩效目标实施按财政批复的预算绩效目标实施方案进行，本着“少花钱、多办事、办好事”的原则，支出资金没有超过批复预算和年终财政追加指标总概算。</w:t>
      </w:r>
    </w:p>
    <w:p w14:paraId="607E012C">
      <w:pPr>
        <w:pStyle w:val="7"/>
        <w:widowControl/>
        <w:shd w:val="clear" w:color="auto" w:fill="FFFFFF"/>
        <w:snapToGrid w:val="0"/>
        <w:spacing w:beforeAutospacing="0" w:afterAutospacing="0" w:line="520" w:lineRule="exact"/>
        <w:rPr>
          <w:rFonts w:ascii="仿宋" w:hAnsi="仿宋" w:eastAsia="仿宋" w:cs="仿宋"/>
          <w:b/>
          <w:bCs/>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　2.对管理效率主要指标的完成情况进行具体分析</w:t>
      </w:r>
    </w:p>
    <w:p w14:paraId="643D9A39">
      <w:pPr>
        <w:pStyle w:val="7"/>
        <w:widowControl/>
        <w:shd w:val="clear" w:color="auto" w:fill="FFFFFF"/>
        <w:snapToGrid w:val="0"/>
        <w:spacing w:beforeAutospacing="0" w:afterAutospacing="0" w:line="52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绩效目标开始时间为2024年1月1日，完成时间2024年12月31日。我单位积极及时组织实施各项行政管理事务，当年按质、按量完成了各项目标任务和绩效目标支出资金。专项资金按照规范程序提请申请、分配、管理和使用，建立了专项资金内部监督制约制衡机制，坚持专款专用，强化专项资金使用项目使用专项资金，加强专项资金使用过程的控制和追踪问效，进一步推进专项资金申请和使用中的监管。</w:t>
      </w:r>
    </w:p>
    <w:p w14:paraId="65F01F97">
      <w:pPr>
        <w:pStyle w:val="7"/>
        <w:widowControl/>
        <w:numPr>
          <w:ilvl w:val="0"/>
          <w:numId w:val="5"/>
        </w:numPr>
        <w:shd w:val="clear" w:color="auto" w:fill="FFFFFF"/>
        <w:snapToGrid w:val="0"/>
        <w:spacing w:beforeAutospacing="0" w:afterAutospacing="0" w:line="52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对履职效益主要指标的完成情况进行具体分析</w:t>
      </w:r>
    </w:p>
    <w:p w14:paraId="00619788">
      <w:pPr>
        <w:spacing w:line="580" w:lineRule="exact"/>
        <w:rPr>
          <w:rFonts w:hint="eastAsia" w:ascii="宋体" w:hAnsi="宋体" w:eastAsia="宋体" w:cs="宋体"/>
          <w:sz w:val="28"/>
          <w:szCs w:val="28"/>
        </w:rPr>
      </w:pPr>
      <w:r>
        <w:rPr>
          <w:rFonts w:hint="eastAsia" w:ascii="宋体" w:hAnsi="宋体" w:eastAsia="宋体" w:cs="宋体"/>
          <w:sz w:val="28"/>
          <w:szCs w:val="28"/>
        </w:rPr>
        <w:t>（一）基层治理提质增效。2024年，区委社会工作部以维护社会稳定、优化治理结构、巩固基层政权为核心目标，扎实推进基层治理，取得了显著成效。一方面，通过积极落实“枫桥经验”本土化和信访工作法治化的重要举措，构建了区、街镇、居村、网格“四级联调”矛盾纠纷多元排查化解体系，全年共排查矛盾纠纷问题1316件，化解1280件，调解率达到97.26%，全区初访同比下降27.2%，初信同比下降63.33%。成功化解信访问题43件，其中包括区级领导包案的积案14件，有效维护了社会和谐稳定。另一方面，坚持以“强街镇、优居村”基层治理“十无”工作法为总抓手，对标对表建立党建引领基层治理协调机制，在全区44个村（社区）建立10个党建引领基层治理观察联系点，全力推动社区工作者配备达标，落实社区“两委”成员工资、绩效工资、体检补助、健康险意外险补助等保障，确保了基层队伍的稳定。</w:t>
      </w:r>
    </w:p>
    <w:p w14:paraId="661DA189">
      <w:pPr>
        <w:spacing w:line="580" w:lineRule="exact"/>
        <w:rPr>
          <w:rFonts w:hint="eastAsia" w:ascii="宋体" w:hAnsi="宋体" w:eastAsia="宋体" w:cs="宋体"/>
          <w:sz w:val="28"/>
          <w:szCs w:val="28"/>
        </w:rPr>
      </w:pPr>
      <w:r>
        <w:rPr>
          <w:rFonts w:hint="eastAsia" w:ascii="宋体" w:hAnsi="宋体" w:eastAsia="宋体" w:cs="宋体"/>
          <w:sz w:val="28"/>
          <w:szCs w:val="28"/>
        </w:rPr>
        <w:t>（二）新兴领域党建工作扎实开展。自区委社会工作部接手新兴领域党建工作以来，始终当作重中之重来抓，对标市委工作，全面摸清新兴领域党建信息，加快推进行业协会商会改革和转型各项工作落实落细。目前，我区新兴领域现有党组织65个，其中非公有制企业党支部57个、社会组织党支部6个、新就业群体党支部3个。在条件不成熟的非公企业和社会组织中坚持工青妇群团组织协同推进，工作已覆盖231家非公企业，141家“四上非公企业”，35家非公企业成立工会，4家成立妇联，1家社会组织成立团组织。在新就业群体党支部设立党员示范岗，培育新就业群体2023年市级标杆党组织1个，规范党支部建设65个，撤销空壳支部9个。指导新兴领域党组织抓好党员教育管理，“三会一课”覆盖277人次，引导19人次到社区报到参与基层治理。成功召开北塔区商业协会商会深化改革和转型发展联席会议第一次会议，并起草制定《北塔区行业协会商会深化改革和转型发展部门联席会议工作规则》、《北塔区行业协会商会深化改革和转型发展工作要点》</w:t>
      </w:r>
    </w:p>
    <w:p w14:paraId="390F4AF8">
      <w:pPr>
        <w:spacing w:line="580" w:lineRule="exact"/>
        <w:rPr>
          <w:rFonts w:hint="eastAsia" w:ascii="宋体" w:hAnsi="宋体" w:eastAsia="宋体" w:cs="宋体"/>
          <w:sz w:val="28"/>
          <w:szCs w:val="28"/>
        </w:rPr>
      </w:pPr>
      <w:r>
        <w:rPr>
          <w:rFonts w:hint="eastAsia" w:ascii="宋体" w:hAnsi="宋体" w:eastAsia="宋体" w:cs="宋体"/>
          <w:sz w:val="28"/>
          <w:szCs w:val="28"/>
        </w:rPr>
        <w:t>（三）推动志愿服务高质量发展。聚焦志愿服务高质量发展，建立文明志愿服务实践所5个、文明志愿服务实践站44个、文明志愿服务实践点78个、文明志愿服务社10个、组建志愿服务队27支、注册志愿服务团队137个、志愿者达19285人，打造出“状元红”等一批志愿服务品牌。在全市志愿服务高质量发展座谈会上，我区被指定为经验交流发言单位，受到市领导高度关注。</w:t>
      </w:r>
    </w:p>
    <w:p w14:paraId="0E8A2ACA">
      <w:pPr>
        <w:pStyle w:val="7"/>
        <w:rPr>
          <w:rFonts w:hint="eastAsia" w:ascii="宋体" w:hAnsi="宋体" w:eastAsia="宋体" w:cs="宋体"/>
          <w:kern w:val="2"/>
          <w:sz w:val="28"/>
          <w:szCs w:val="28"/>
        </w:rPr>
      </w:pPr>
      <w:r>
        <w:rPr>
          <w:rFonts w:hint="eastAsia" w:ascii="宋体" w:hAnsi="宋体" w:eastAsia="宋体" w:cs="宋体"/>
          <w:sz w:val="28"/>
          <w:szCs w:val="28"/>
        </w:rPr>
        <w:t>（四）</w:t>
      </w:r>
      <w:r>
        <w:rPr>
          <w:rFonts w:hint="eastAsia" w:ascii="宋体" w:hAnsi="宋体" w:eastAsia="宋体" w:cs="宋体"/>
          <w:kern w:val="2"/>
          <w:sz w:val="28"/>
          <w:szCs w:val="28"/>
        </w:rPr>
        <w:t>深化“四下基层”，解决实际问题。区委社会工作部深入推进“四下基层”工作法落实落细。全年，12345热线共</w:t>
      </w:r>
    </w:p>
    <w:p w14:paraId="32853FA9">
      <w:pPr>
        <w:pStyle w:val="7"/>
        <w:spacing w:line="240" w:lineRule="auto"/>
        <w:rPr>
          <w:rFonts w:hint="eastAsia" w:ascii="宋体" w:hAnsi="宋体" w:eastAsia="宋体" w:cs="宋体"/>
          <w:kern w:val="2"/>
          <w:sz w:val="28"/>
          <w:szCs w:val="28"/>
        </w:rPr>
      </w:pPr>
      <w:r>
        <w:rPr>
          <w:rFonts w:hint="eastAsia" w:ascii="宋体" w:hAnsi="宋体" w:eastAsia="宋体" w:cs="宋体"/>
          <w:kern w:val="2"/>
          <w:sz w:val="28"/>
          <w:szCs w:val="28"/>
        </w:rPr>
        <w:t>受理群众诉求5004件，办结4856件，及时受理率100%，办结率为97%，群众满意率90.48%；省长信箱、市长留言、中国政府网共受理来信44件，办结42件；网络问政（区长信箱）共受理来信102件，办结99件。走找想促问题调研总数1263个，金点子总数33个，全市第三，为党委政府和各级职能部门提供了决策参考，也为理顺民意、创建和谐稳定的社会环境发挥了重要作用。</w:t>
      </w:r>
    </w:p>
    <w:p w14:paraId="0FDE5A58">
      <w:pPr>
        <w:pStyle w:val="7"/>
        <w:spacing w:line="240" w:lineRule="auto"/>
        <w:rPr>
          <w:rFonts w:hint="eastAsia" w:ascii="宋体" w:hAnsi="宋体" w:eastAsia="宋体" w:cs="宋体"/>
          <w:sz w:val="28"/>
          <w:szCs w:val="28"/>
        </w:rPr>
      </w:pPr>
      <w:r>
        <w:rPr>
          <w:rFonts w:hint="eastAsia" w:ascii="宋体" w:hAnsi="宋体" w:eastAsia="宋体" w:cs="宋体"/>
          <w:sz w:val="28"/>
          <w:szCs w:val="28"/>
        </w:rPr>
        <w:t>（五）优化服务流程，减轻基层负担。全面落实中央、省市区着力破解基层治理“小马拉大车” 突出问题各项措施，加强部门统筹协调，精减会务文件，为基层减负赋能。2024年，按照工作要求。联合区属相关部门清理村级组织不规范挂牌1253块，切切实实给基层添了动力、增了活力、强了效力。</w:t>
      </w:r>
    </w:p>
    <w:p w14:paraId="479A8950">
      <w:pPr>
        <w:pStyle w:val="7"/>
        <w:widowControl/>
        <w:shd w:val="clear" w:color="auto" w:fill="FFFFFF"/>
        <w:snapToGrid w:val="0"/>
        <w:spacing w:beforeAutospacing="0" w:afterAutospacing="0" w:line="560" w:lineRule="exact"/>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49FF91BE">
      <w:pPr>
        <w:pStyle w:val="7"/>
        <w:widowControl/>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1.预算执行进度不够均衡，部分项目支出进度较慢。</w:t>
      </w:r>
    </w:p>
    <w:p w14:paraId="3585D7A6">
      <w:pPr>
        <w:pStyle w:val="7"/>
        <w:widowControl/>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2.预算绩效管理的指标体系还不够完善，部分指标的可衡量性和可操作性有待提高。</w:t>
      </w:r>
    </w:p>
    <w:p w14:paraId="19EE3829">
      <w:pPr>
        <w:pStyle w:val="7"/>
        <w:widowControl/>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3.预算绩效管理的信息化水平还不够高，信息共享和数据分析能力有待加强。</w:t>
      </w:r>
    </w:p>
    <w:p w14:paraId="550214BB">
      <w:pPr>
        <w:pStyle w:val="7"/>
        <w:widowControl/>
        <w:shd w:val="clear" w:color="auto" w:fill="FFFFFF"/>
        <w:snapToGrid w:val="0"/>
        <w:spacing w:beforeAutospacing="0" w:afterAutospacing="0" w:line="56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78A56256">
      <w:pPr>
        <w:pStyle w:val="7"/>
        <w:widowControl/>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1.加强预算执行的监控和管理，建立健全预算执行进度通报和督促机制，确保预算支出按时完成。</w:t>
      </w:r>
    </w:p>
    <w:p w14:paraId="76104A45">
      <w:pPr>
        <w:pStyle w:val="7"/>
        <w:widowControl/>
        <w:shd w:val="clear" w:color="auto" w:fill="FFFFFF"/>
        <w:snapToGrid w:val="0"/>
        <w:spacing w:beforeAutospacing="0" w:afterAutospacing="0"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2.进一步完善预算绩效管理的指标体系，结合组织工作的实际情况，科学合理地设置指标，提高指标的可衡量性和可操作性。</w:t>
      </w:r>
    </w:p>
    <w:p w14:paraId="331C51B4">
      <w:pPr>
        <w:pStyle w:val="7"/>
        <w:widowControl/>
        <w:shd w:val="clear" w:color="auto" w:fill="FFFFFF"/>
        <w:snapToGrid w:val="0"/>
        <w:spacing w:beforeAutospacing="0" w:afterAutospacing="0" w:line="560" w:lineRule="exact"/>
        <w:ind w:firstLine="560" w:firstLineChars="200"/>
        <w:rPr>
          <w:rFonts w:ascii="仿宋_GB2312" w:eastAsia="仿宋_GB2312" w:cs="仿宋_GB2312"/>
          <w:color w:val="000000"/>
          <w:sz w:val="32"/>
          <w:szCs w:val="32"/>
          <w:shd w:val="clear" w:color="auto" w:fill="FFFFFF"/>
        </w:rPr>
      </w:pPr>
      <w:r>
        <w:rPr>
          <w:rFonts w:hint="eastAsia" w:ascii="宋体" w:hAnsi="宋体" w:eastAsia="宋体" w:cs="宋体"/>
          <w:color w:val="000000"/>
          <w:sz w:val="28"/>
          <w:szCs w:val="28"/>
          <w:shd w:val="clear" w:color="auto" w:fill="FFFFFF"/>
        </w:rPr>
        <w:t>3.加强预算绩效管理的信息化建设，建立预算绩效管理信息系统，实现预算绩效管理的信息化、规范化和科学化。</w:t>
      </w:r>
    </w:p>
    <w:p w14:paraId="00E3CE2A">
      <w:pPr>
        <w:pStyle w:val="7"/>
        <w:widowControl/>
        <w:shd w:val="clear" w:color="auto" w:fill="FFFFFF"/>
        <w:snapToGrid w:val="0"/>
        <w:spacing w:beforeAutospacing="0" w:afterAutospacing="0" w:line="560" w:lineRule="exac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九、其他需要说明的情况</w:t>
      </w:r>
    </w:p>
    <w:p w14:paraId="66CD556A">
      <w:pPr>
        <w:pStyle w:val="7"/>
        <w:widowControl/>
        <w:shd w:val="clear" w:color="auto" w:fill="FFFFFF"/>
        <w:snapToGrid w:val="0"/>
        <w:spacing w:beforeAutospacing="0" w:afterAutospacing="0" w:line="560" w:lineRule="exact"/>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无其他说明情况</w:t>
      </w:r>
    </w:p>
    <w:p w14:paraId="29B19EAE">
      <w:pPr>
        <w:pStyle w:val="7"/>
        <w:widowControl/>
        <w:shd w:val="clear" w:color="auto" w:fill="FFFFFF"/>
        <w:snapToGrid w:val="0"/>
        <w:spacing w:beforeAutospacing="0" w:afterAutospacing="0" w:line="560" w:lineRule="exact"/>
        <w:ind w:firstLine="640" w:firstLineChars="200"/>
        <w:rPr>
          <w:rFonts w:ascii="仿宋_GB2312" w:eastAsia="仿宋_GB2312" w:cs="仿宋_GB2312"/>
          <w:color w:val="000000"/>
          <w:sz w:val="32"/>
          <w:szCs w:val="32"/>
          <w:shd w:val="clear" w:color="auto" w:fill="FFFFFF"/>
        </w:rPr>
      </w:pPr>
    </w:p>
    <w:p w14:paraId="45DC413C">
      <w:pPr>
        <w:pStyle w:val="7"/>
        <w:widowControl/>
        <w:shd w:val="clear" w:color="auto" w:fill="FFFFFF"/>
        <w:snapToGrid w:val="0"/>
        <w:spacing w:line="560" w:lineRule="exact"/>
        <w:rPr>
          <w:rFonts w:ascii="仿宋_GB2312" w:eastAsia="仿宋_GB2312" w:cs="仿宋_GB2312"/>
          <w:color w:val="000000"/>
          <w:sz w:val="32"/>
          <w:szCs w:val="32"/>
          <w:shd w:val="clear" w:color="auto" w:fill="FFFFFF"/>
        </w:rPr>
      </w:pPr>
      <w:r>
        <w:rPr>
          <w:rFonts w:hint="eastAsia" w:ascii="宋体" w:hAnsi="宋体" w:eastAsia="宋体" w:cs="宋体"/>
          <w:color w:val="000000"/>
          <w:sz w:val="32"/>
          <w:szCs w:val="32"/>
          <w:shd w:val="clear" w:color="auto" w:fill="FFFFFF"/>
        </w:rPr>
        <w:t>附</w:t>
      </w:r>
      <w:r>
        <w:rPr>
          <w:rFonts w:hint="eastAsia" w:ascii="___WRD_EMBED_SUB_40" w:hAnsi="___WRD_EMBED_SUB_40" w:eastAsia="___WRD_EMBED_SUB_40" w:cs="___WRD_EMBED_SUB_40"/>
          <w:color w:val="000000"/>
          <w:sz w:val="32"/>
          <w:szCs w:val="32"/>
          <w:shd w:val="clear" w:color="auto" w:fill="FFFFFF"/>
        </w:rPr>
        <w:t>件：</w:t>
      </w:r>
    </w:p>
    <w:p w14:paraId="530BBC73">
      <w:pPr>
        <w:pStyle w:val="7"/>
        <w:widowControl/>
        <w:shd w:val="clear" w:color="auto" w:fill="FFFFFF"/>
        <w:snapToGrid w:val="0"/>
        <w:spacing w:line="560" w:lineRule="exact"/>
        <w:rPr>
          <w:rFonts w:hint="eastAsia"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1.部门整体支出绩效评价基础数据表</w:t>
      </w:r>
    </w:p>
    <w:p w14:paraId="032F574F">
      <w:pPr>
        <w:pStyle w:val="7"/>
        <w:widowControl/>
        <w:shd w:val="clear" w:color="auto" w:fill="FFFFFF"/>
        <w:snapToGrid w:val="0"/>
        <w:spacing w:line="560" w:lineRule="exact"/>
        <w:rPr>
          <w:rFonts w:hint="eastAsia"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2.部门整体支出绩效自评表</w:t>
      </w:r>
    </w:p>
    <w:p w14:paraId="315446B4">
      <w:pPr>
        <w:pStyle w:val="7"/>
        <w:widowControl/>
        <w:shd w:val="clear" w:color="auto" w:fill="FFFFFF"/>
        <w:spacing w:beforeAutospacing="0" w:afterAutospacing="0" w:line="480" w:lineRule="atLeast"/>
        <w:jc w:val="both"/>
        <w:rPr>
          <w:rFonts w:ascii="Calibri" w:hAnsi="Calibri" w:cs="Calibri"/>
          <w:color w:val="000000"/>
        </w:rPr>
      </w:pPr>
    </w:p>
    <w:p w14:paraId="6EFEE320">
      <w:pPr>
        <w:pStyle w:val="7"/>
        <w:widowControl/>
        <w:shd w:val="clear" w:color="auto" w:fill="FFFFFF"/>
        <w:spacing w:beforeAutospacing="0" w:afterAutospacing="0" w:line="480" w:lineRule="atLeast"/>
        <w:jc w:val="both"/>
        <w:rPr>
          <w:rFonts w:ascii="Calibri" w:hAnsi="Calibri" w:cs="Calibri"/>
          <w:color w:val="000000"/>
        </w:rPr>
      </w:pPr>
    </w:p>
    <w:p w14:paraId="43CF0A2C">
      <w:pPr>
        <w:pStyle w:val="7"/>
        <w:widowControl/>
        <w:shd w:val="clear" w:color="auto" w:fill="FFFFFF"/>
        <w:spacing w:beforeAutospacing="0" w:afterAutospacing="0" w:line="480" w:lineRule="atLeast"/>
        <w:jc w:val="both"/>
        <w:rPr>
          <w:rFonts w:ascii="Calibri" w:hAnsi="Calibri" w:cs="Calibri"/>
          <w:color w:val="000000"/>
        </w:rPr>
      </w:pPr>
    </w:p>
    <w:p w14:paraId="4EE68483">
      <w:pPr>
        <w:pStyle w:val="7"/>
        <w:widowControl/>
        <w:shd w:val="clear" w:color="auto" w:fill="FFFFFF"/>
        <w:spacing w:beforeAutospacing="0" w:afterAutospacing="0" w:line="480" w:lineRule="atLeast"/>
        <w:jc w:val="both"/>
        <w:rPr>
          <w:rFonts w:ascii="Calibri" w:hAnsi="Calibri" w:cs="Calibri"/>
          <w:color w:val="000000"/>
        </w:rPr>
      </w:pPr>
    </w:p>
    <w:p w14:paraId="1DA17DD8">
      <w:pPr>
        <w:pStyle w:val="7"/>
        <w:widowControl/>
        <w:shd w:val="clear" w:color="auto" w:fill="FFFFFF"/>
        <w:spacing w:beforeAutospacing="0" w:afterAutospacing="0" w:line="480" w:lineRule="atLeast"/>
        <w:jc w:val="both"/>
        <w:rPr>
          <w:rFonts w:ascii="Calibri" w:hAnsi="Calibri" w:cs="Calibri"/>
          <w:color w:val="000000"/>
        </w:rPr>
      </w:pPr>
    </w:p>
    <w:p w14:paraId="243A199B">
      <w:pPr>
        <w:pStyle w:val="7"/>
        <w:widowControl/>
        <w:shd w:val="clear" w:color="auto" w:fill="FFFFFF"/>
        <w:spacing w:beforeAutospacing="0" w:afterAutospacing="0" w:line="480" w:lineRule="atLeast"/>
        <w:jc w:val="both"/>
        <w:rPr>
          <w:rFonts w:ascii="Calibri" w:hAnsi="Calibri" w:cs="Calibri"/>
          <w:color w:val="000000"/>
        </w:rPr>
      </w:pPr>
    </w:p>
    <w:p w14:paraId="4F4534EB">
      <w:pPr>
        <w:pStyle w:val="7"/>
        <w:widowControl/>
        <w:shd w:val="clear" w:color="auto" w:fill="FFFFFF"/>
        <w:spacing w:beforeAutospacing="0" w:afterAutospacing="0" w:line="480" w:lineRule="atLeast"/>
        <w:jc w:val="both"/>
        <w:rPr>
          <w:rFonts w:ascii="Calibri" w:hAnsi="Calibri" w:cs="Calibri"/>
          <w:color w:val="000000"/>
        </w:rPr>
      </w:pPr>
    </w:p>
    <w:p w14:paraId="7B08AAFF">
      <w:pPr>
        <w:pStyle w:val="7"/>
        <w:widowControl/>
        <w:shd w:val="clear" w:color="auto" w:fill="FFFFFF"/>
        <w:spacing w:beforeAutospacing="0" w:afterAutospacing="0" w:line="480" w:lineRule="atLeast"/>
        <w:jc w:val="both"/>
        <w:rPr>
          <w:rFonts w:ascii="Calibri" w:hAnsi="Calibri" w:cs="Calibri"/>
          <w:color w:val="000000"/>
        </w:rPr>
      </w:pPr>
    </w:p>
    <w:p w14:paraId="05E07A9F">
      <w:pPr>
        <w:pStyle w:val="7"/>
        <w:widowControl/>
        <w:shd w:val="clear" w:color="auto" w:fill="FFFFFF"/>
        <w:spacing w:beforeAutospacing="0" w:afterAutospacing="0" w:line="480" w:lineRule="atLeast"/>
        <w:jc w:val="both"/>
        <w:rPr>
          <w:rFonts w:ascii="Calibri" w:hAnsi="Calibri" w:cs="Calibri"/>
          <w:color w:val="000000"/>
        </w:rPr>
      </w:pPr>
    </w:p>
    <w:p w14:paraId="2A905D31">
      <w:pPr>
        <w:pStyle w:val="7"/>
        <w:widowControl/>
        <w:shd w:val="clear" w:color="auto" w:fill="FFFFFF"/>
        <w:spacing w:beforeAutospacing="0" w:afterAutospacing="0" w:line="480" w:lineRule="atLeast"/>
        <w:jc w:val="both"/>
        <w:rPr>
          <w:rFonts w:ascii="Calibri" w:hAnsi="Calibri" w:cs="Calibri"/>
          <w:color w:val="000000"/>
        </w:rPr>
      </w:pPr>
    </w:p>
    <w:p w14:paraId="1DE5BDD7">
      <w:pPr>
        <w:pStyle w:val="7"/>
        <w:widowControl/>
        <w:shd w:val="clear" w:color="auto" w:fill="FFFFFF"/>
        <w:spacing w:beforeAutospacing="0" w:afterAutospacing="0" w:line="480" w:lineRule="atLeast"/>
        <w:jc w:val="both"/>
        <w:rPr>
          <w:rFonts w:ascii="Calibri" w:hAnsi="Calibri" w:cs="Calibri"/>
          <w:color w:val="000000"/>
        </w:rPr>
      </w:pPr>
    </w:p>
    <w:p w14:paraId="4825D09A">
      <w:pPr>
        <w:pStyle w:val="7"/>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2C4E0F66">
      <w:pPr>
        <w:pStyle w:val="7"/>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 xml:space="preserve">附件1-1 </w:t>
      </w:r>
    </w:p>
    <w:p w14:paraId="6B341078">
      <w:pPr>
        <w:pStyle w:val="7"/>
        <w:widowControl/>
        <w:shd w:val="clear" w:color="auto" w:fill="FFFFFF"/>
        <w:spacing w:beforeAutospacing="0" w:afterAutospacing="0" w:line="480" w:lineRule="exact"/>
        <w:jc w:val="center"/>
        <w:rPr>
          <w:rFonts w:ascii="Arial Unicode MS" w:hAnsi="Arial Unicode MS" w:eastAsia="Arial Unicode MS" w:cs="Arial Unicode MS"/>
          <w:color w:val="000000"/>
          <w:sz w:val="44"/>
          <w:szCs w:val="44"/>
        </w:rPr>
      </w:pPr>
      <w:r>
        <w:rPr>
          <w:rFonts w:hint="eastAsia" w:ascii="Arial Unicode MS" w:hAnsi="Arial Unicode MS" w:eastAsia="Arial Unicode MS" w:cs="Arial Unicode MS"/>
          <w:color w:val="000000"/>
          <w:sz w:val="44"/>
          <w:szCs w:val="44"/>
        </w:rPr>
        <w:t>部门整体支出绩效评价基础数据表</w:t>
      </w:r>
    </w:p>
    <w:p w14:paraId="23C248F4">
      <w:pPr>
        <w:widowControl/>
        <w:tabs>
          <w:tab w:val="left" w:pos="3611"/>
          <w:tab w:val="left" w:pos="4791"/>
          <w:tab w:val="left" w:pos="5951"/>
          <w:tab w:val="left" w:pos="7071"/>
          <w:tab w:val="left" w:pos="8191"/>
          <w:tab w:val="left" w:pos="9311"/>
        </w:tabs>
        <w:jc w:val="left"/>
        <w:rPr>
          <w:rFonts w:eastAsia="仿宋_GB2312"/>
          <w:kern w:val="0"/>
          <w:sz w:val="24"/>
        </w:rPr>
      </w:pPr>
      <w:r>
        <w:rPr>
          <w:rFonts w:hint="eastAsia" w:eastAsia="仿宋_GB2312"/>
          <w:kern w:val="0"/>
          <w:sz w:val="24"/>
        </w:rPr>
        <w:t xml:space="preserve">填报单位：中共邵阳市北塔区委社会工作部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6D79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2EEC997A">
            <w:pPr>
              <w:widowControl/>
              <w:jc w:val="center"/>
              <w:rPr>
                <w:rFonts w:ascii="仿宋" w:hAnsi="仿宋" w:eastAsia="仿宋" w:cs="仿宋"/>
                <w:kern w:val="0"/>
                <w:sz w:val="20"/>
                <w:szCs w:val="20"/>
              </w:rPr>
            </w:pPr>
            <w:r>
              <w:rPr>
                <w:rFonts w:hint="eastAsia" w:ascii="仿宋" w:hAnsi="仿宋" w:eastAsia="仿宋" w:cs="仿宋"/>
                <w:kern w:val="0"/>
                <w:sz w:val="20"/>
                <w:szCs w:val="20"/>
              </w:rPr>
              <w:t>财政供养人员情况</w:t>
            </w:r>
          </w:p>
        </w:tc>
        <w:tc>
          <w:tcPr>
            <w:tcW w:w="2038" w:type="dxa"/>
            <w:gridSpan w:val="2"/>
            <w:vAlign w:val="center"/>
          </w:tcPr>
          <w:p w14:paraId="42AAD8F4">
            <w:pPr>
              <w:widowControl/>
              <w:jc w:val="center"/>
              <w:rPr>
                <w:rFonts w:ascii="仿宋" w:hAnsi="仿宋" w:eastAsia="仿宋" w:cs="仿宋"/>
                <w:kern w:val="0"/>
                <w:sz w:val="20"/>
                <w:szCs w:val="20"/>
              </w:rPr>
            </w:pPr>
            <w:r>
              <w:rPr>
                <w:rFonts w:hint="eastAsia" w:ascii="仿宋" w:hAnsi="仿宋" w:eastAsia="仿宋" w:cs="仿宋"/>
                <w:kern w:val="0"/>
                <w:sz w:val="20"/>
                <w:szCs w:val="20"/>
              </w:rPr>
              <w:t>编制数</w:t>
            </w:r>
          </w:p>
        </w:tc>
        <w:tc>
          <w:tcPr>
            <w:tcW w:w="2240" w:type="dxa"/>
            <w:gridSpan w:val="2"/>
            <w:vAlign w:val="center"/>
          </w:tcPr>
          <w:p w14:paraId="3062F32E">
            <w:pPr>
              <w:widowControl/>
              <w:jc w:val="center"/>
              <w:rPr>
                <w:rFonts w:ascii="仿宋" w:hAnsi="仿宋" w:eastAsia="仿宋" w:cs="仿宋"/>
                <w:kern w:val="0"/>
                <w:sz w:val="20"/>
                <w:szCs w:val="20"/>
              </w:rPr>
            </w:pPr>
            <w:r>
              <w:rPr>
                <w:rFonts w:hint="eastAsia" w:ascii="仿宋" w:hAnsi="仿宋" w:eastAsia="仿宋" w:cs="仿宋"/>
                <w:kern w:val="0"/>
                <w:sz w:val="20"/>
                <w:szCs w:val="20"/>
              </w:rPr>
              <w:t>2024年实际在职人数</w:t>
            </w:r>
          </w:p>
        </w:tc>
        <w:tc>
          <w:tcPr>
            <w:tcW w:w="1832" w:type="dxa"/>
            <w:gridSpan w:val="2"/>
            <w:vAlign w:val="center"/>
          </w:tcPr>
          <w:p w14:paraId="41CC9AC8">
            <w:pPr>
              <w:widowControl/>
              <w:jc w:val="center"/>
              <w:rPr>
                <w:rFonts w:ascii="仿宋" w:hAnsi="仿宋" w:eastAsia="仿宋" w:cs="仿宋"/>
                <w:kern w:val="0"/>
                <w:sz w:val="20"/>
                <w:szCs w:val="20"/>
              </w:rPr>
            </w:pPr>
            <w:r>
              <w:rPr>
                <w:rFonts w:hint="eastAsia" w:ascii="仿宋" w:hAnsi="仿宋" w:eastAsia="仿宋" w:cs="仿宋"/>
                <w:kern w:val="0"/>
                <w:sz w:val="20"/>
                <w:szCs w:val="20"/>
              </w:rPr>
              <w:t>控制率</w:t>
            </w:r>
          </w:p>
        </w:tc>
      </w:tr>
      <w:tr w14:paraId="2D84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Merge w:val="continue"/>
            <w:vAlign w:val="center"/>
          </w:tcPr>
          <w:p w14:paraId="310D4201">
            <w:pPr>
              <w:widowControl/>
              <w:jc w:val="left"/>
              <w:rPr>
                <w:rFonts w:ascii="仿宋" w:hAnsi="仿宋" w:eastAsia="仿宋" w:cs="仿宋"/>
                <w:kern w:val="0"/>
                <w:sz w:val="20"/>
                <w:szCs w:val="20"/>
              </w:rPr>
            </w:pPr>
          </w:p>
        </w:tc>
        <w:tc>
          <w:tcPr>
            <w:tcW w:w="2038" w:type="dxa"/>
            <w:gridSpan w:val="2"/>
            <w:vAlign w:val="center"/>
          </w:tcPr>
          <w:p w14:paraId="0337BCD1">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13</w:t>
            </w:r>
          </w:p>
        </w:tc>
        <w:tc>
          <w:tcPr>
            <w:tcW w:w="2240" w:type="dxa"/>
            <w:gridSpan w:val="2"/>
            <w:vAlign w:val="center"/>
          </w:tcPr>
          <w:p w14:paraId="38097120">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11</w:t>
            </w:r>
          </w:p>
        </w:tc>
        <w:tc>
          <w:tcPr>
            <w:tcW w:w="1832" w:type="dxa"/>
            <w:gridSpan w:val="2"/>
            <w:vAlign w:val="center"/>
          </w:tcPr>
          <w:p w14:paraId="258AC3EC">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84.62%</w:t>
            </w:r>
          </w:p>
        </w:tc>
      </w:tr>
      <w:tr w14:paraId="07D5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D70D02B">
            <w:pPr>
              <w:widowControl/>
              <w:jc w:val="center"/>
              <w:rPr>
                <w:rFonts w:ascii="仿宋" w:hAnsi="仿宋" w:eastAsia="仿宋" w:cs="仿宋"/>
                <w:kern w:val="0"/>
                <w:sz w:val="20"/>
                <w:szCs w:val="20"/>
              </w:rPr>
            </w:pPr>
            <w:r>
              <w:rPr>
                <w:rFonts w:hint="eastAsia" w:ascii="仿宋" w:hAnsi="仿宋" w:eastAsia="仿宋" w:cs="仿宋"/>
                <w:kern w:val="0"/>
                <w:sz w:val="20"/>
                <w:szCs w:val="20"/>
              </w:rPr>
              <w:t>经费控制情况</w:t>
            </w:r>
          </w:p>
        </w:tc>
        <w:tc>
          <w:tcPr>
            <w:tcW w:w="2038" w:type="dxa"/>
            <w:gridSpan w:val="2"/>
            <w:vAlign w:val="center"/>
          </w:tcPr>
          <w:p w14:paraId="4400252C">
            <w:pPr>
              <w:widowControl/>
              <w:jc w:val="center"/>
              <w:rPr>
                <w:rFonts w:ascii="仿宋" w:hAnsi="仿宋" w:eastAsia="仿宋" w:cs="仿宋"/>
                <w:kern w:val="0"/>
                <w:sz w:val="20"/>
                <w:szCs w:val="20"/>
              </w:rPr>
            </w:pPr>
            <w:r>
              <w:rPr>
                <w:rFonts w:hint="eastAsia" w:ascii="仿宋" w:hAnsi="仿宋" w:eastAsia="仿宋" w:cs="仿宋"/>
                <w:kern w:val="0"/>
                <w:sz w:val="20"/>
                <w:szCs w:val="20"/>
              </w:rPr>
              <w:t>2023年决算数</w:t>
            </w:r>
          </w:p>
        </w:tc>
        <w:tc>
          <w:tcPr>
            <w:tcW w:w="2240" w:type="dxa"/>
            <w:gridSpan w:val="2"/>
            <w:vAlign w:val="center"/>
          </w:tcPr>
          <w:p w14:paraId="63849D62">
            <w:pPr>
              <w:widowControl/>
              <w:jc w:val="center"/>
              <w:rPr>
                <w:rFonts w:ascii="仿宋" w:hAnsi="仿宋" w:eastAsia="仿宋" w:cs="仿宋"/>
                <w:kern w:val="0"/>
                <w:sz w:val="20"/>
                <w:szCs w:val="20"/>
              </w:rPr>
            </w:pPr>
            <w:r>
              <w:rPr>
                <w:rFonts w:hint="eastAsia" w:ascii="仿宋" w:hAnsi="仿宋" w:eastAsia="仿宋" w:cs="仿宋"/>
                <w:kern w:val="0"/>
                <w:sz w:val="20"/>
                <w:szCs w:val="20"/>
              </w:rPr>
              <w:t>2024年预算数</w:t>
            </w:r>
          </w:p>
        </w:tc>
        <w:tc>
          <w:tcPr>
            <w:tcW w:w="1832" w:type="dxa"/>
            <w:gridSpan w:val="2"/>
            <w:vAlign w:val="center"/>
          </w:tcPr>
          <w:p w14:paraId="7D77EEC9">
            <w:pPr>
              <w:widowControl/>
              <w:jc w:val="center"/>
              <w:rPr>
                <w:rFonts w:ascii="仿宋" w:hAnsi="仿宋" w:eastAsia="仿宋" w:cs="仿宋"/>
                <w:kern w:val="0"/>
                <w:sz w:val="20"/>
                <w:szCs w:val="20"/>
              </w:rPr>
            </w:pPr>
            <w:r>
              <w:rPr>
                <w:rFonts w:hint="eastAsia" w:ascii="仿宋" w:hAnsi="仿宋" w:eastAsia="仿宋" w:cs="仿宋"/>
                <w:kern w:val="0"/>
                <w:sz w:val="20"/>
                <w:szCs w:val="20"/>
              </w:rPr>
              <w:t>2024年决算数</w:t>
            </w:r>
          </w:p>
        </w:tc>
      </w:tr>
      <w:tr w14:paraId="0952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36416A5">
            <w:pPr>
              <w:widowControl/>
              <w:jc w:val="left"/>
              <w:rPr>
                <w:rFonts w:ascii="仿宋" w:hAnsi="仿宋" w:eastAsia="仿宋" w:cs="仿宋"/>
                <w:kern w:val="0"/>
                <w:sz w:val="20"/>
                <w:szCs w:val="20"/>
              </w:rPr>
            </w:pPr>
            <w:r>
              <w:rPr>
                <w:rFonts w:hint="eastAsia" w:ascii="仿宋" w:hAnsi="仿宋" w:eastAsia="仿宋" w:cs="仿宋"/>
                <w:kern w:val="0"/>
                <w:sz w:val="20"/>
                <w:szCs w:val="20"/>
              </w:rPr>
              <w:t>三公经费</w:t>
            </w:r>
          </w:p>
        </w:tc>
        <w:tc>
          <w:tcPr>
            <w:tcW w:w="2038" w:type="dxa"/>
            <w:gridSpan w:val="2"/>
            <w:vAlign w:val="center"/>
          </w:tcPr>
          <w:p w14:paraId="0567D2EC">
            <w:pPr>
              <w:widowControl/>
              <w:jc w:val="center"/>
              <w:textAlignment w:val="center"/>
              <w:rPr>
                <w:rFonts w:ascii="仿宋" w:hAnsi="仿宋" w:eastAsia="仿宋" w:cs="仿宋"/>
                <w:kern w:val="0"/>
                <w:sz w:val="20"/>
                <w:szCs w:val="20"/>
              </w:rPr>
            </w:pPr>
          </w:p>
        </w:tc>
        <w:tc>
          <w:tcPr>
            <w:tcW w:w="2240" w:type="dxa"/>
            <w:gridSpan w:val="2"/>
            <w:vAlign w:val="center"/>
          </w:tcPr>
          <w:p w14:paraId="6E3669B8">
            <w:pPr>
              <w:widowControl/>
              <w:jc w:val="center"/>
              <w:textAlignment w:val="center"/>
              <w:rPr>
                <w:rFonts w:ascii="仿宋" w:hAnsi="仿宋" w:eastAsia="仿宋" w:cs="仿宋"/>
                <w:kern w:val="0"/>
                <w:sz w:val="20"/>
                <w:szCs w:val="20"/>
              </w:rPr>
            </w:pPr>
          </w:p>
        </w:tc>
        <w:tc>
          <w:tcPr>
            <w:tcW w:w="1832" w:type="dxa"/>
            <w:gridSpan w:val="2"/>
            <w:vAlign w:val="center"/>
          </w:tcPr>
          <w:p w14:paraId="2108B179">
            <w:pPr>
              <w:widowControl/>
              <w:jc w:val="center"/>
              <w:rPr>
                <w:rFonts w:ascii="仿宋" w:hAnsi="仿宋" w:eastAsia="仿宋" w:cs="仿宋"/>
                <w:kern w:val="0"/>
                <w:sz w:val="20"/>
                <w:szCs w:val="20"/>
              </w:rPr>
            </w:pPr>
          </w:p>
        </w:tc>
      </w:tr>
      <w:tr w14:paraId="0253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48BE3D5">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1、公务用车购置和维护经费</w:t>
            </w:r>
          </w:p>
        </w:tc>
        <w:tc>
          <w:tcPr>
            <w:tcW w:w="2038" w:type="dxa"/>
            <w:gridSpan w:val="2"/>
            <w:vAlign w:val="center"/>
          </w:tcPr>
          <w:p w14:paraId="24E57294">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14:paraId="3E5AFFD6">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3BBA6BCB">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1166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AD404DF">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其中：公车购置</w:t>
            </w:r>
          </w:p>
        </w:tc>
        <w:tc>
          <w:tcPr>
            <w:tcW w:w="2038" w:type="dxa"/>
            <w:gridSpan w:val="2"/>
            <w:vAlign w:val="center"/>
          </w:tcPr>
          <w:p w14:paraId="2A4F96B1">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14:paraId="10117797">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62EC8492">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7FFC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F8E6FDD">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公车运行维护</w:t>
            </w:r>
          </w:p>
        </w:tc>
        <w:tc>
          <w:tcPr>
            <w:tcW w:w="2038" w:type="dxa"/>
            <w:gridSpan w:val="2"/>
            <w:vAlign w:val="center"/>
          </w:tcPr>
          <w:p w14:paraId="48616284">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14:paraId="6C81300B">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7DC168D4">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326C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F87BAC4">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2、出国经费</w:t>
            </w:r>
          </w:p>
        </w:tc>
        <w:tc>
          <w:tcPr>
            <w:tcW w:w="2038" w:type="dxa"/>
            <w:gridSpan w:val="2"/>
            <w:vAlign w:val="center"/>
          </w:tcPr>
          <w:p w14:paraId="01D3184E">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14:paraId="2C04052E">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5A78759D">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08E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05603EA">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3、公务接待</w:t>
            </w:r>
          </w:p>
        </w:tc>
        <w:tc>
          <w:tcPr>
            <w:tcW w:w="2038" w:type="dxa"/>
            <w:gridSpan w:val="2"/>
            <w:vAlign w:val="center"/>
          </w:tcPr>
          <w:p w14:paraId="5EC98433">
            <w:pPr>
              <w:widowControl/>
              <w:jc w:val="center"/>
              <w:textAlignment w:val="center"/>
              <w:rPr>
                <w:rFonts w:ascii="仿宋" w:hAnsi="仿宋" w:eastAsia="仿宋" w:cs="仿宋"/>
                <w:kern w:val="0"/>
                <w:sz w:val="20"/>
                <w:szCs w:val="20"/>
              </w:rPr>
            </w:pPr>
          </w:p>
        </w:tc>
        <w:tc>
          <w:tcPr>
            <w:tcW w:w="2240" w:type="dxa"/>
            <w:gridSpan w:val="2"/>
            <w:vAlign w:val="center"/>
          </w:tcPr>
          <w:p w14:paraId="1432D174">
            <w:pPr>
              <w:widowControl/>
              <w:jc w:val="center"/>
              <w:textAlignment w:val="center"/>
              <w:rPr>
                <w:rFonts w:ascii="仿宋" w:hAnsi="仿宋" w:eastAsia="仿宋" w:cs="仿宋"/>
                <w:kern w:val="0"/>
                <w:sz w:val="20"/>
                <w:szCs w:val="20"/>
              </w:rPr>
            </w:pPr>
          </w:p>
        </w:tc>
        <w:tc>
          <w:tcPr>
            <w:tcW w:w="1832" w:type="dxa"/>
            <w:gridSpan w:val="2"/>
            <w:vAlign w:val="center"/>
          </w:tcPr>
          <w:p w14:paraId="00C6AC0D">
            <w:pPr>
              <w:widowControl/>
              <w:jc w:val="center"/>
              <w:rPr>
                <w:rFonts w:ascii="仿宋" w:hAnsi="仿宋" w:eastAsia="仿宋" w:cs="仿宋"/>
                <w:kern w:val="0"/>
                <w:sz w:val="20"/>
                <w:szCs w:val="20"/>
              </w:rPr>
            </w:pPr>
          </w:p>
        </w:tc>
      </w:tr>
      <w:tr w14:paraId="34C0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4A0EF6D">
            <w:pPr>
              <w:widowControl/>
              <w:jc w:val="left"/>
              <w:rPr>
                <w:rFonts w:ascii="仿宋" w:hAnsi="仿宋" w:eastAsia="仿宋" w:cs="仿宋"/>
                <w:kern w:val="0"/>
                <w:sz w:val="20"/>
                <w:szCs w:val="20"/>
              </w:rPr>
            </w:pPr>
            <w:r>
              <w:rPr>
                <w:rFonts w:hint="eastAsia" w:ascii="仿宋" w:hAnsi="仿宋" w:eastAsia="仿宋" w:cs="仿宋"/>
                <w:kern w:val="0"/>
                <w:sz w:val="20"/>
                <w:szCs w:val="20"/>
              </w:rPr>
              <w:t>项目支出：</w:t>
            </w:r>
          </w:p>
        </w:tc>
        <w:tc>
          <w:tcPr>
            <w:tcW w:w="2038" w:type="dxa"/>
            <w:gridSpan w:val="2"/>
            <w:vAlign w:val="center"/>
          </w:tcPr>
          <w:p w14:paraId="2FB8967A">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0</w:t>
            </w:r>
          </w:p>
        </w:tc>
        <w:tc>
          <w:tcPr>
            <w:tcW w:w="2240" w:type="dxa"/>
            <w:gridSpan w:val="2"/>
            <w:vAlign w:val="center"/>
          </w:tcPr>
          <w:p w14:paraId="52E8C59C">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106</w:t>
            </w:r>
          </w:p>
        </w:tc>
        <w:tc>
          <w:tcPr>
            <w:tcW w:w="1832" w:type="dxa"/>
            <w:gridSpan w:val="2"/>
            <w:vAlign w:val="center"/>
          </w:tcPr>
          <w:p w14:paraId="44A7DF08">
            <w:pPr>
              <w:widowControl/>
              <w:jc w:val="center"/>
              <w:rPr>
                <w:rFonts w:ascii="仿宋" w:hAnsi="仿宋" w:eastAsia="仿宋" w:cs="仿宋"/>
                <w:kern w:val="0"/>
                <w:sz w:val="20"/>
                <w:szCs w:val="20"/>
              </w:rPr>
            </w:pPr>
            <w:r>
              <w:rPr>
                <w:rFonts w:hint="eastAsia" w:ascii="仿宋" w:hAnsi="仿宋" w:eastAsia="仿宋" w:cs="仿宋"/>
                <w:kern w:val="0"/>
                <w:sz w:val="20"/>
                <w:szCs w:val="20"/>
              </w:rPr>
              <w:t>106</w:t>
            </w:r>
          </w:p>
        </w:tc>
      </w:tr>
      <w:tr w14:paraId="69C4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B66DBCE">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1、业务工作经费</w:t>
            </w:r>
          </w:p>
        </w:tc>
        <w:tc>
          <w:tcPr>
            <w:tcW w:w="2038" w:type="dxa"/>
            <w:gridSpan w:val="2"/>
            <w:vAlign w:val="center"/>
          </w:tcPr>
          <w:p w14:paraId="556A5C70">
            <w:pPr>
              <w:jc w:val="center"/>
              <w:rPr>
                <w:rFonts w:ascii="仿宋" w:hAnsi="仿宋" w:eastAsia="仿宋" w:cs="仿宋"/>
                <w:kern w:val="0"/>
                <w:sz w:val="20"/>
                <w:szCs w:val="20"/>
              </w:rPr>
            </w:pPr>
          </w:p>
        </w:tc>
        <w:tc>
          <w:tcPr>
            <w:tcW w:w="2240" w:type="dxa"/>
            <w:gridSpan w:val="2"/>
            <w:vAlign w:val="center"/>
          </w:tcPr>
          <w:p w14:paraId="2C1344D2">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106</w:t>
            </w:r>
          </w:p>
        </w:tc>
        <w:tc>
          <w:tcPr>
            <w:tcW w:w="1832" w:type="dxa"/>
            <w:gridSpan w:val="2"/>
            <w:vAlign w:val="center"/>
          </w:tcPr>
          <w:p w14:paraId="56EDEDE8">
            <w:pPr>
              <w:widowControl/>
              <w:jc w:val="center"/>
              <w:rPr>
                <w:rFonts w:ascii="仿宋" w:hAnsi="仿宋" w:eastAsia="仿宋" w:cs="仿宋"/>
                <w:kern w:val="0"/>
                <w:sz w:val="20"/>
                <w:szCs w:val="20"/>
              </w:rPr>
            </w:pPr>
            <w:r>
              <w:rPr>
                <w:rFonts w:hint="eastAsia" w:ascii="仿宋" w:hAnsi="仿宋" w:eastAsia="仿宋" w:cs="仿宋"/>
                <w:kern w:val="0"/>
                <w:sz w:val="20"/>
                <w:szCs w:val="20"/>
              </w:rPr>
              <w:t>106</w:t>
            </w:r>
          </w:p>
        </w:tc>
      </w:tr>
      <w:tr w14:paraId="006B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464092C">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2、运行维护经费</w:t>
            </w:r>
          </w:p>
        </w:tc>
        <w:tc>
          <w:tcPr>
            <w:tcW w:w="2038" w:type="dxa"/>
            <w:gridSpan w:val="2"/>
            <w:vAlign w:val="center"/>
          </w:tcPr>
          <w:p w14:paraId="78484C8F">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14:paraId="46F9F0C7">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2C98C1FE">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3407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5234C723">
            <w:pPr>
              <w:widowControl/>
              <w:ind w:firstLine="400" w:firstLineChars="200"/>
              <w:jc w:val="left"/>
              <w:rPr>
                <w:rFonts w:ascii="仿宋" w:hAnsi="仿宋" w:eastAsia="仿宋" w:cs="仿宋"/>
                <w:kern w:val="0"/>
                <w:sz w:val="20"/>
                <w:szCs w:val="20"/>
              </w:rPr>
            </w:pPr>
            <w:r>
              <w:rPr>
                <w:rFonts w:hint="eastAsia" w:ascii="仿宋" w:hAnsi="仿宋" w:eastAsia="仿宋" w:cs="仿宋"/>
                <w:kern w:val="0"/>
                <w:sz w:val="20"/>
                <w:szCs w:val="20"/>
              </w:rPr>
              <w:t>3、市级专项资金</w:t>
            </w:r>
          </w:p>
          <w:p w14:paraId="3539F5BB">
            <w:pPr>
              <w:widowControl/>
              <w:ind w:firstLine="600" w:firstLineChars="300"/>
              <w:jc w:val="left"/>
              <w:rPr>
                <w:rFonts w:ascii="仿宋" w:hAnsi="仿宋" w:eastAsia="仿宋" w:cs="仿宋"/>
                <w:kern w:val="0"/>
                <w:sz w:val="20"/>
                <w:szCs w:val="20"/>
              </w:rPr>
            </w:pPr>
            <w:r>
              <w:rPr>
                <w:rFonts w:hint="eastAsia" w:ascii="仿宋" w:hAnsi="仿宋" w:eastAsia="仿宋" w:cs="仿宋"/>
                <w:kern w:val="0"/>
                <w:sz w:val="20"/>
                <w:szCs w:val="20"/>
              </w:rPr>
              <w:t>（一个专项一行）</w:t>
            </w:r>
          </w:p>
        </w:tc>
        <w:tc>
          <w:tcPr>
            <w:tcW w:w="2038" w:type="dxa"/>
            <w:gridSpan w:val="2"/>
            <w:vAlign w:val="center"/>
          </w:tcPr>
          <w:p w14:paraId="3224481B">
            <w:pPr>
              <w:widowControl/>
              <w:jc w:val="center"/>
              <w:rPr>
                <w:rFonts w:ascii="仿宋" w:hAnsi="仿宋" w:eastAsia="仿宋" w:cs="仿宋"/>
                <w:kern w:val="0"/>
                <w:sz w:val="20"/>
                <w:szCs w:val="20"/>
              </w:rPr>
            </w:pPr>
          </w:p>
        </w:tc>
        <w:tc>
          <w:tcPr>
            <w:tcW w:w="2240" w:type="dxa"/>
            <w:gridSpan w:val="2"/>
            <w:vAlign w:val="center"/>
          </w:tcPr>
          <w:p w14:paraId="07CC0432">
            <w:pPr>
              <w:widowControl/>
              <w:jc w:val="center"/>
              <w:rPr>
                <w:rFonts w:ascii="仿宋" w:hAnsi="仿宋" w:eastAsia="仿宋" w:cs="仿宋"/>
                <w:kern w:val="0"/>
                <w:sz w:val="20"/>
                <w:szCs w:val="20"/>
              </w:rPr>
            </w:pPr>
          </w:p>
        </w:tc>
        <w:tc>
          <w:tcPr>
            <w:tcW w:w="1832" w:type="dxa"/>
            <w:gridSpan w:val="2"/>
            <w:vAlign w:val="center"/>
          </w:tcPr>
          <w:p w14:paraId="4116D370">
            <w:pPr>
              <w:widowControl/>
              <w:jc w:val="center"/>
              <w:rPr>
                <w:rFonts w:ascii="仿宋" w:hAnsi="仿宋" w:eastAsia="仿宋" w:cs="仿宋"/>
                <w:kern w:val="0"/>
                <w:sz w:val="20"/>
                <w:szCs w:val="20"/>
              </w:rPr>
            </w:pPr>
          </w:p>
        </w:tc>
      </w:tr>
      <w:tr w14:paraId="66F5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139930A">
            <w:pPr>
              <w:widowControl/>
              <w:ind w:firstLine="400" w:firstLineChars="200"/>
              <w:jc w:val="left"/>
              <w:rPr>
                <w:rFonts w:ascii="仿宋" w:hAnsi="仿宋" w:eastAsia="仿宋" w:cs="仿宋"/>
                <w:kern w:val="0"/>
                <w:sz w:val="20"/>
                <w:szCs w:val="20"/>
              </w:rPr>
            </w:pPr>
            <w:r>
              <w:rPr>
                <w:rFonts w:hint="eastAsia" w:ascii="仿宋" w:hAnsi="仿宋" w:eastAsia="仿宋" w:cs="仿宋"/>
                <w:kern w:val="0"/>
                <w:sz w:val="20"/>
                <w:szCs w:val="20"/>
              </w:rPr>
              <w:t>4、其他事业类发展资金</w:t>
            </w:r>
          </w:p>
        </w:tc>
        <w:tc>
          <w:tcPr>
            <w:tcW w:w="2038" w:type="dxa"/>
            <w:gridSpan w:val="2"/>
            <w:vAlign w:val="center"/>
          </w:tcPr>
          <w:p w14:paraId="0ADF06C0">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14:paraId="4AA75DE4">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0EEC14B1">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5A7A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885D320">
            <w:pPr>
              <w:widowControl/>
              <w:jc w:val="center"/>
              <w:rPr>
                <w:rFonts w:ascii="仿宋" w:hAnsi="仿宋" w:eastAsia="仿宋" w:cs="仿宋"/>
                <w:kern w:val="0"/>
                <w:sz w:val="20"/>
                <w:szCs w:val="20"/>
              </w:rPr>
            </w:pPr>
            <w:r>
              <w:rPr>
                <w:rFonts w:hint="eastAsia" w:ascii="仿宋" w:hAnsi="仿宋" w:eastAsia="仿宋" w:cs="仿宋"/>
                <w:kern w:val="0"/>
                <w:sz w:val="20"/>
                <w:szCs w:val="20"/>
              </w:rPr>
              <w:t>……</w:t>
            </w:r>
          </w:p>
        </w:tc>
        <w:tc>
          <w:tcPr>
            <w:tcW w:w="2038" w:type="dxa"/>
            <w:gridSpan w:val="2"/>
            <w:vAlign w:val="center"/>
          </w:tcPr>
          <w:p w14:paraId="741382B2">
            <w:pPr>
              <w:widowControl/>
              <w:jc w:val="center"/>
              <w:rPr>
                <w:rFonts w:ascii="仿宋" w:hAnsi="仿宋" w:eastAsia="仿宋" w:cs="仿宋"/>
                <w:kern w:val="0"/>
                <w:sz w:val="20"/>
                <w:szCs w:val="20"/>
              </w:rPr>
            </w:pPr>
          </w:p>
        </w:tc>
        <w:tc>
          <w:tcPr>
            <w:tcW w:w="2240" w:type="dxa"/>
            <w:gridSpan w:val="2"/>
            <w:vAlign w:val="center"/>
          </w:tcPr>
          <w:p w14:paraId="5269AF31">
            <w:pPr>
              <w:widowControl/>
              <w:jc w:val="center"/>
              <w:rPr>
                <w:rFonts w:ascii="仿宋" w:hAnsi="仿宋" w:eastAsia="仿宋" w:cs="仿宋"/>
                <w:kern w:val="0"/>
                <w:sz w:val="20"/>
                <w:szCs w:val="20"/>
              </w:rPr>
            </w:pPr>
          </w:p>
        </w:tc>
        <w:tc>
          <w:tcPr>
            <w:tcW w:w="1832" w:type="dxa"/>
            <w:gridSpan w:val="2"/>
            <w:vAlign w:val="center"/>
          </w:tcPr>
          <w:p w14:paraId="1B3B3346">
            <w:pPr>
              <w:widowControl/>
              <w:jc w:val="center"/>
              <w:rPr>
                <w:rFonts w:ascii="仿宋" w:hAnsi="仿宋" w:eastAsia="仿宋" w:cs="仿宋"/>
                <w:kern w:val="0"/>
                <w:sz w:val="20"/>
                <w:szCs w:val="20"/>
              </w:rPr>
            </w:pPr>
          </w:p>
        </w:tc>
      </w:tr>
      <w:tr w14:paraId="0CAA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2C204D3">
            <w:pPr>
              <w:widowControl/>
              <w:jc w:val="left"/>
              <w:rPr>
                <w:rFonts w:ascii="仿宋" w:hAnsi="仿宋" w:eastAsia="仿宋" w:cs="仿宋"/>
                <w:kern w:val="0"/>
                <w:sz w:val="20"/>
                <w:szCs w:val="20"/>
              </w:rPr>
            </w:pPr>
            <w:r>
              <w:rPr>
                <w:rFonts w:hint="eastAsia" w:ascii="仿宋" w:hAnsi="仿宋" w:eastAsia="仿宋" w:cs="仿宋"/>
                <w:kern w:val="0"/>
                <w:sz w:val="20"/>
                <w:szCs w:val="20"/>
              </w:rPr>
              <w:t>公用经费</w:t>
            </w:r>
          </w:p>
        </w:tc>
        <w:tc>
          <w:tcPr>
            <w:tcW w:w="2038" w:type="dxa"/>
            <w:gridSpan w:val="2"/>
            <w:vAlign w:val="center"/>
          </w:tcPr>
          <w:p w14:paraId="6B4698D2">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399.38</w:t>
            </w:r>
          </w:p>
        </w:tc>
        <w:tc>
          <w:tcPr>
            <w:tcW w:w="2240" w:type="dxa"/>
            <w:gridSpan w:val="2"/>
            <w:vAlign w:val="center"/>
          </w:tcPr>
          <w:p w14:paraId="052A70DA">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12.39</w:t>
            </w:r>
          </w:p>
        </w:tc>
        <w:tc>
          <w:tcPr>
            <w:tcW w:w="1832" w:type="dxa"/>
            <w:gridSpan w:val="2"/>
            <w:vAlign w:val="center"/>
          </w:tcPr>
          <w:p w14:paraId="3528DD5C">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517.92</w:t>
            </w:r>
          </w:p>
        </w:tc>
      </w:tr>
      <w:tr w14:paraId="02F4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61558A6">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其中：办公费</w:t>
            </w:r>
          </w:p>
        </w:tc>
        <w:tc>
          <w:tcPr>
            <w:tcW w:w="2038" w:type="dxa"/>
            <w:gridSpan w:val="2"/>
            <w:vAlign w:val="center"/>
          </w:tcPr>
          <w:p w14:paraId="742E3486">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63.28</w:t>
            </w:r>
          </w:p>
        </w:tc>
        <w:tc>
          <w:tcPr>
            <w:tcW w:w="2240" w:type="dxa"/>
            <w:gridSpan w:val="2"/>
            <w:vAlign w:val="center"/>
          </w:tcPr>
          <w:p w14:paraId="0AB25D65">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2</w:t>
            </w:r>
          </w:p>
        </w:tc>
        <w:tc>
          <w:tcPr>
            <w:tcW w:w="1832" w:type="dxa"/>
            <w:gridSpan w:val="2"/>
            <w:vAlign w:val="center"/>
          </w:tcPr>
          <w:p w14:paraId="5D9C731F">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15.84</w:t>
            </w:r>
          </w:p>
        </w:tc>
      </w:tr>
      <w:tr w14:paraId="24CB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32611E8">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水费、电费、差旅费</w:t>
            </w:r>
          </w:p>
        </w:tc>
        <w:tc>
          <w:tcPr>
            <w:tcW w:w="2038" w:type="dxa"/>
            <w:gridSpan w:val="2"/>
            <w:vAlign w:val="center"/>
          </w:tcPr>
          <w:p w14:paraId="3240A0DD">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86.11</w:t>
            </w:r>
          </w:p>
        </w:tc>
        <w:tc>
          <w:tcPr>
            <w:tcW w:w="2240" w:type="dxa"/>
            <w:gridSpan w:val="2"/>
            <w:vAlign w:val="center"/>
          </w:tcPr>
          <w:p w14:paraId="0A62675E">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0</w:t>
            </w:r>
          </w:p>
        </w:tc>
        <w:tc>
          <w:tcPr>
            <w:tcW w:w="1832" w:type="dxa"/>
            <w:gridSpan w:val="2"/>
            <w:vAlign w:val="center"/>
          </w:tcPr>
          <w:p w14:paraId="1CA9ECFD">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6.31</w:t>
            </w:r>
          </w:p>
        </w:tc>
      </w:tr>
      <w:tr w14:paraId="7399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9FEEDC7">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          会议费、培训费</w:t>
            </w:r>
          </w:p>
        </w:tc>
        <w:tc>
          <w:tcPr>
            <w:tcW w:w="2038" w:type="dxa"/>
            <w:gridSpan w:val="2"/>
            <w:vAlign w:val="center"/>
          </w:tcPr>
          <w:p w14:paraId="454BC198">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4.51</w:t>
            </w:r>
          </w:p>
        </w:tc>
        <w:tc>
          <w:tcPr>
            <w:tcW w:w="2240" w:type="dxa"/>
            <w:gridSpan w:val="2"/>
            <w:vAlign w:val="center"/>
          </w:tcPr>
          <w:p w14:paraId="330BAD15">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0</w:t>
            </w:r>
          </w:p>
        </w:tc>
        <w:tc>
          <w:tcPr>
            <w:tcW w:w="1832" w:type="dxa"/>
            <w:gridSpan w:val="2"/>
            <w:vAlign w:val="center"/>
          </w:tcPr>
          <w:p w14:paraId="6BF08A45">
            <w:pPr>
              <w:widowControl/>
              <w:jc w:val="center"/>
              <w:textAlignment w:val="center"/>
              <w:rPr>
                <w:rFonts w:ascii="仿宋" w:hAnsi="仿宋" w:eastAsia="仿宋" w:cs="仿宋"/>
                <w:color w:val="FF0000"/>
                <w:kern w:val="0"/>
                <w:sz w:val="20"/>
                <w:szCs w:val="20"/>
              </w:rPr>
            </w:pPr>
            <w:r>
              <w:rPr>
                <w:rFonts w:hint="eastAsia" w:ascii="宋体" w:hAnsi="宋体" w:eastAsia="宋体" w:cs="宋体"/>
                <w:color w:val="000000"/>
                <w:kern w:val="0"/>
                <w:sz w:val="22"/>
                <w:szCs w:val="22"/>
              </w:rPr>
              <w:t>1.3</w:t>
            </w:r>
          </w:p>
        </w:tc>
      </w:tr>
      <w:tr w14:paraId="529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5568C7B">
            <w:pPr>
              <w:widowControl/>
              <w:jc w:val="left"/>
              <w:rPr>
                <w:rFonts w:ascii="仿宋" w:hAnsi="仿宋" w:eastAsia="仿宋" w:cs="仿宋"/>
                <w:kern w:val="0"/>
                <w:sz w:val="20"/>
                <w:szCs w:val="20"/>
              </w:rPr>
            </w:pPr>
            <w:r>
              <w:rPr>
                <w:rFonts w:hint="eastAsia" w:ascii="仿宋" w:hAnsi="仿宋" w:eastAsia="仿宋" w:cs="仿宋"/>
                <w:kern w:val="0"/>
                <w:sz w:val="20"/>
                <w:szCs w:val="20"/>
              </w:rPr>
              <w:t>政府采购金额</w:t>
            </w:r>
          </w:p>
        </w:tc>
        <w:tc>
          <w:tcPr>
            <w:tcW w:w="2038" w:type="dxa"/>
            <w:gridSpan w:val="2"/>
            <w:vAlign w:val="center"/>
          </w:tcPr>
          <w:p w14:paraId="66047AAE">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103.02</w:t>
            </w:r>
          </w:p>
        </w:tc>
        <w:tc>
          <w:tcPr>
            <w:tcW w:w="2240" w:type="dxa"/>
            <w:gridSpan w:val="2"/>
            <w:vAlign w:val="center"/>
          </w:tcPr>
          <w:p w14:paraId="219CB0B3">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11</w:t>
            </w:r>
          </w:p>
        </w:tc>
        <w:tc>
          <w:tcPr>
            <w:tcW w:w="1832" w:type="dxa"/>
            <w:gridSpan w:val="2"/>
            <w:vAlign w:val="center"/>
          </w:tcPr>
          <w:p w14:paraId="77FDB9F0">
            <w:pPr>
              <w:widowControl/>
              <w:jc w:val="center"/>
              <w:textAlignment w:val="center"/>
              <w:rPr>
                <w:rFonts w:ascii="仿宋" w:hAnsi="仿宋" w:eastAsia="仿宋" w:cs="仿宋"/>
                <w:kern w:val="0"/>
                <w:sz w:val="20"/>
                <w:szCs w:val="20"/>
              </w:rPr>
            </w:pPr>
            <w:r>
              <w:rPr>
                <w:rFonts w:hint="eastAsia" w:ascii="宋体" w:hAnsi="宋体" w:eastAsia="宋体" w:cs="宋体"/>
                <w:color w:val="000000"/>
                <w:kern w:val="0"/>
                <w:sz w:val="22"/>
                <w:szCs w:val="22"/>
              </w:rPr>
              <w:t>94.07</w:t>
            </w:r>
          </w:p>
        </w:tc>
      </w:tr>
      <w:tr w14:paraId="4C1F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7ACB8B6">
            <w:pPr>
              <w:widowControl/>
              <w:jc w:val="left"/>
              <w:rPr>
                <w:rFonts w:ascii="仿宋" w:hAnsi="仿宋" w:eastAsia="仿宋" w:cs="仿宋"/>
                <w:kern w:val="0"/>
                <w:sz w:val="20"/>
                <w:szCs w:val="20"/>
              </w:rPr>
            </w:pPr>
            <w:r>
              <w:rPr>
                <w:rFonts w:hint="eastAsia" w:ascii="仿宋" w:hAnsi="仿宋" w:eastAsia="仿宋" w:cs="仿宋"/>
                <w:kern w:val="0"/>
                <w:sz w:val="20"/>
                <w:szCs w:val="20"/>
              </w:rPr>
              <w:t xml:space="preserve">部门基本支出预算调整 </w:t>
            </w:r>
          </w:p>
        </w:tc>
        <w:tc>
          <w:tcPr>
            <w:tcW w:w="2038" w:type="dxa"/>
            <w:gridSpan w:val="2"/>
            <w:vAlign w:val="center"/>
          </w:tcPr>
          <w:p w14:paraId="60F90F15">
            <w:pPr>
              <w:widowControl/>
              <w:jc w:val="center"/>
              <w:rPr>
                <w:rFonts w:ascii="仿宋" w:hAnsi="仿宋" w:eastAsia="仿宋" w:cs="仿宋"/>
                <w:kern w:val="0"/>
                <w:sz w:val="20"/>
                <w:szCs w:val="20"/>
              </w:rPr>
            </w:pPr>
            <w:r>
              <w:rPr>
                <w:rFonts w:hint="eastAsia" w:ascii="仿宋" w:hAnsi="仿宋" w:eastAsia="仿宋" w:cs="仿宋"/>
                <w:kern w:val="0"/>
                <w:sz w:val="20"/>
                <w:szCs w:val="20"/>
              </w:rPr>
              <w:t>——</w:t>
            </w:r>
          </w:p>
        </w:tc>
        <w:tc>
          <w:tcPr>
            <w:tcW w:w="2240" w:type="dxa"/>
            <w:gridSpan w:val="2"/>
            <w:vAlign w:val="center"/>
          </w:tcPr>
          <w:p w14:paraId="76A0C9EA">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14:paraId="7C3A4E92">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r>
      <w:tr w14:paraId="1BCD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4D0E6A24">
            <w:pPr>
              <w:widowControl/>
              <w:jc w:val="center"/>
              <w:rPr>
                <w:rFonts w:ascii="仿宋" w:hAnsi="仿宋" w:eastAsia="仿宋" w:cs="仿宋"/>
                <w:kern w:val="0"/>
                <w:sz w:val="20"/>
                <w:szCs w:val="20"/>
              </w:rPr>
            </w:pPr>
            <w:r>
              <w:rPr>
                <w:rFonts w:hint="eastAsia" w:ascii="仿宋" w:hAnsi="仿宋" w:eastAsia="仿宋" w:cs="仿宋"/>
                <w:kern w:val="0"/>
                <w:sz w:val="20"/>
                <w:szCs w:val="20"/>
              </w:rPr>
              <w:t>楼堂馆所控制情况</w:t>
            </w:r>
          </w:p>
          <w:p w14:paraId="619E72F5">
            <w:pPr>
              <w:widowControl/>
              <w:jc w:val="center"/>
              <w:rPr>
                <w:rFonts w:ascii="仿宋" w:hAnsi="仿宋" w:eastAsia="仿宋" w:cs="仿宋"/>
                <w:kern w:val="0"/>
                <w:sz w:val="20"/>
                <w:szCs w:val="20"/>
              </w:rPr>
            </w:pPr>
            <w:r>
              <w:rPr>
                <w:rFonts w:hint="eastAsia" w:ascii="仿宋" w:hAnsi="仿宋" w:eastAsia="仿宋" w:cs="仿宋"/>
                <w:kern w:val="0"/>
                <w:sz w:val="20"/>
                <w:szCs w:val="20"/>
              </w:rPr>
              <w:t>（2022年完工项目）</w:t>
            </w:r>
          </w:p>
        </w:tc>
        <w:tc>
          <w:tcPr>
            <w:tcW w:w="1189" w:type="dxa"/>
            <w:vAlign w:val="center"/>
          </w:tcPr>
          <w:p w14:paraId="3136F08A">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批复规模</w:t>
            </w:r>
          </w:p>
          <w:p w14:paraId="7CB7CB92">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w:t>
            </w:r>
          </w:p>
        </w:tc>
        <w:tc>
          <w:tcPr>
            <w:tcW w:w="849" w:type="dxa"/>
            <w:vAlign w:val="center"/>
          </w:tcPr>
          <w:p w14:paraId="117806B5">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实际规模（㎡）</w:t>
            </w:r>
          </w:p>
        </w:tc>
        <w:tc>
          <w:tcPr>
            <w:tcW w:w="1129" w:type="dxa"/>
            <w:vAlign w:val="center"/>
          </w:tcPr>
          <w:p w14:paraId="195FE335">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规模控制率</w:t>
            </w:r>
          </w:p>
        </w:tc>
        <w:tc>
          <w:tcPr>
            <w:tcW w:w="1111" w:type="dxa"/>
            <w:vAlign w:val="center"/>
          </w:tcPr>
          <w:p w14:paraId="4056185E">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预算投资（万元）</w:t>
            </w:r>
          </w:p>
        </w:tc>
        <w:tc>
          <w:tcPr>
            <w:tcW w:w="969" w:type="dxa"/>
            <w:vAlign w:val="center"/>
          </w:tcPr>
          <w:p w14:paraId="510D7963">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实际投资（万元）</w:t>
            </w:r>
          </w:p>
        </w:tc>
        <w:tc>
          <w:tcPr>
            <w:tcW w:w="863" w:type="dxa"/>
            <w:vAlign w:val="center"/>
          </w:tcPr>
          <w:p w14:paraId="7740FEEC">
            <w:pPr>
              <w:widowControl/>
              <w:spacing w:line="240" w:lineRule="exact"/>
              <w:jc w:val="center"/>
              <w:rPr>
                <w:rFonts w:ascii="仿宋" w:hAnsi="仿宋" w:eastAsia="仿宋" w:cs="仿宋"/>
                <w:kern w:val="0"/>
                <w:sz w:val="20"/>
                <w:szCs w:val="20"/>
              </w:rPr>
            </w:pPr>
            <w:r>
              <w:rPr>
                <w:rFonts w:hint="eastAsia" w:ascii="仿宋" w:hAnsi="仿宋" w:eastAsia="仿宋" w:cs="仿宋"/>
                <w:kern w:val="0"/>
                <w:sz w:val="20"/>
                <w:szCs w:val="20"/>
              </w:rPr>
              <w:t>投资概算控制率</w:t>
            </w:r>
          </w:p>
        </w:tc>
      </w:tr>
      <w:tr w14:paraId="6981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14:paraId="51F64778">
            <w:pPr>
              <w:widowControl/>
              <w:jc w:val="left"/>
              <w:rPr>
                <w:rFonts w:ascii="仿宋" w:hAnsi="仿宋" w:eastAsia="仿宋" w:cs="仿宋"/>
                <w:kern w:val="0"/>
                <w:sz w:val="20"/>
                <w:szCs w:val="20"/>
              </w:rPr>
            </w:pPr>
          </w:p>
        </w:tc>
        <w:tc>
          <w:tcPr>
            <w:tcW w:w="1189" w:type="dxa"/>
            <w:vAlign w:val="center"/>
          </w:tcPr>
          <w:p w14:paraId="5DF5BB61">
            <w:pPr>
              <w:widowControl/>
              <w:jc w:val="center"/>
              <w:rPr>
                <w:rFonts w:ascii="仿宋" w:hAnsi="仿宋" w:eastAsia="仿宋" w:cs="仿宋"/>
                <w:kern w:val="0"/>
                <w:sz w:val="20"/>
                <w:szCs w:val="20"/>
              </w:rPr>
            </w:pPr>
            <w:r>
              <w:rPr>
                <w:rFonts w:hint="eastAsia" w:ascii="仿宋" w:hAnsi="仿宋" w:eastAsia="仿宋" w:cs="仿宋"/>
                <w:kern w:val="0"/>
                <w:sz w:val="20"/>
                <w:szCs w:val="20"/>
              </w:rPr>
              <w:t>　</w:t>
            </w:r>
          </w:p>
        </w:tc>
        <w:tc>
          <w:tcPr>
            <w:tcW w:w="849" w:type="dxa"/>
            <w:vAlign w:val="center"/>
          </w:tcPr>
          <w:p w14:paraId="5A1C9AC2">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1129" w:type="dxa"/>
            <w:vAlign w:val="center"/>
          </w:tcPr>
          <w:p w14:paraId="6B0FA9AC">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1111" w:type="dxa"/>
            <w:vAlign w:val="center"/>
          </w:tcPr>
          <w:p w14:paraId="59E5659E">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969" w:type="dxa"/>
            <w:vAlign w:val="center"/>
          </w:tcPr>
          <w:p w14:paraId="7C8074E9">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863" w:type="dxa"/>
            <w:vAlign w:val="center"/>
          </w:tcPr>
          <w:p w14:paraId="1EB875FE">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r>
      <w:tr w14:paraId="295A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vAlign w:val="center"/>
          </w:tcPr>
          <w:p w14:paraId="25FA6754">
            <w:pPr>
              <w:widowControl/>
              <w:jc w:val="center"/>
              <w:rPr>
                <w:rFonts w:ascii="仿宋" w:hAnsi="仿宋" w:eastAsia="仿宋" w:cs="仿宋"/>
                <w:kern w:val="0"/>
                <w:sz w:val="20"/>
                <w:szCs w:val="20"/>
              </w:rPr>
            </w:pPr>
            <w:r>
              <w:rPr>
                <w:rFonts w:hint="eastAsia" w:ascii="仿宋" w:hAnsi="仿宋" w:eastAsia="仿宋" w:cs="仿宋"/>
                <w:kern w:val="0"/>
                <w:sz w:val="20"/>
                <w:szCs w:val="20"/>
              </w:rPr>
              <w:t>厉行节约保障措施</w:t>
            </w:r>
          </w:p>
        </w:tc>
        <w:tc>
          <w:tcPr>
            <w:tcW w:w="6110" w:type="dxa"/>
            <w:gridSpan w:val="6"/>
            <w:vAlign w:val="center"/>
          </w:tcPr>
          <w:p w14:paraId="7A52A2D2">
            <w:pPr>
              <w:widowControl/>
              <w:jc w:val="left"/>
              <w:rPr>
                <w:rFonts w:ascii="仿宋" w:hAnsi="仿宋" w:eastAsia="仿宋" w:cs="仿宋"/>
                <w:kern w:val="0"/>
                <w:sz w:val="20"/>
                <w:szCs w:val="20"/>
              </w:rPr>
            </w:pPr>
          </w:p>
        </w:tc>
      </w:tr>
    </w:tbl>
    <w:p w14:paraId="26613970">
      <w:pPr>
        <w:pStyle w:val="7"/>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r>
        <w:rPr>
          <w:rFonts w:ascii="Times New Roman" w:hAnsi="Times New Roman" w:eastAsia="仿宋_GB2312"/>
          <w:color w:val="000000"/>
        </w:rPr>
        <w:t>填表人：</w:t>
      </w:r>
      <w:r>
        <w:rPr>
          <w:rFonts w:hint="eastAsia" w:ascii="Times New Roman" w:hAnsi="Times New Roman" w:eastAsia="仿宋_GB2312"/>
          <w:color w:val="000000"/>
        </w:rPr>
        <w:t xml:space="preserve">罗婷     </w:t>
      </w:r>
      <w:r>
        <w:rPr>
          <w:rFonts w:ascii="Times New Roman" w:hAnsi="Times New Roman" w:eastAsia="仿宋_GB2312"/>
          <w:color w:val="000000"/>
        </w:rPr>
        <w:t xml:space="preserve"> 填报日期：</w:t>
      </w:r>
      <w:r>
        <w:rPr>
          <w:rFonts w:hint="eastAsia" w:ascii="Times New Roman" w:hAnsi="Times New Roman" w:eastAsia="仿宋_GB2312"/>
          <w:color w:val="000000"/>
        </w:rPr>
        <w:t>2025年</w:t>
      </w:r>
      <w:r>
        <w:rPr>
          <w:rFonts w:hint="eastAsia" w:ascii="Times New Roman" w:hAnsi="Times New Roman" w:eastAsia="仿宋_GB2312"/>
          <w:color w:val="000000"/>
          <w:lang w:val="en-US" w:eastAsia="zh-CN"/>
        </w:rPr>
        <w:t>9</w:t>
      </w:r>
      <w:r>
        <w:rPr>
          <w:rFonts w:hint="eastAsia" w:ascii="Times New Roman" w:hAnsi="Times New Roman" w:eastAsia="仿宋_GB2312"/>
          <w:color w:val="000000"/>
        </w:rPr>
        <w:t>月</w:t>
      </w:r>
      <w:r>
        <w:rPr>
          <w:rFonts w:hint="eastAsia" w:ascii="Times New Roman" w:hAnsi="Times New Roman" w:eastAsia="仿宋_GB2312"/>
          <w:color w:val="000000"/>
          <w:lang w:val="en-US" w:eastAsia="zh-CN"/>
        </w:rPr>
        <w:t>16</w:t>
      </w:r>
      <w:r>
        <w:rPr>
          <w:rFonts w:hint="eastAsia" w:ascii="Times New Roman" w:hAnsi="Times New Roman" w:eastAsia="仿宋_GB2312"/>
          <w:color w:val="000000"/>
        </w:rPr>
        <w:t xml:space="preserve">日    </w:t>
      </w:r>
      <w:r>
        <w:rPr>
          <w:rFonts w:ascii="Times New Roman" w:hAnsi="Times New Roman" w:eastAsia="仿宋_GB2312"/>
          <w:color w:val="000000"/>
        </w:rPr>
        <w:t xml:space="preserve">  联系电话：</w:t>
      </w:r>
      <w:r>
        <w:rPr>
          <w:rFonts w:hint="eastAsia" w:ascii="Times New Roman" w:hAnsi="Times New Roman" w:eastAsia="仿宋_GB2312"/>
          <w:color w:val="000000"/>
        </w:rPr>
        <w:t>15243973273</w:t>
      </w:r>
    </w:p>
    <w:p w14:paraId="0AB792E4">
      <w:pPr>
        <w:pStyle w:val="7"/>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p>
    <w:p w14:paraId="2D9CD11B">
      <w:pPr>
        <w:pStyle w:val="7"/>
        <w:widowControl/>
        <w:shd w:val="clear" w:color="auto" w:fill="FFFFFF"/>
        <w:spacing w:beforeAutospacing="0" w:afterAutospacing="0" w:line="480" w:lineRule="exact"/>
        <w:jc w:val="both"/>
        <w:rPr>
          <w:rFonts w:ascii="方正小标宋_GBK" w:hAnsi="方正小标宋_GBK" w:eastAsia="方正小标宋_GBK" w:cs="方正小标宋_GBK"/>
          <w:color w:val="000000"/>
          <w:sz w:val="32"/>
          <w:szCs w:val="32"/>
          <w:shd w:val="clear" w:color="auto" w:fill="FFFFFF"/>
        </w:rPr>
      </w:pPr>
      <w:r>
        <w:rPr>
          <w:rFonts w:ascii="方正小标宋_GBK" w:hAnsi="方正小标宋_GBK" w:eastAsia="方正小标宋_GBK" w:cs="方正小标宋_GBK"/>
          <w:color w:val="000000"/>
          <w:sz w:val="32"/>
          <w:szCs w:val="32"/>
          <w:shd w:val="clear" w:color="auto" w:fill="FFFFFF"/>
        </w:rPr>
        <w:t>附件1-2</w:t>
      </w:r>
    </w:p>
    <w:p w14:paraId="119AADAE">
      <w:pPr>
        <w:widowControl/>
        <w:tabs>
          <w:tab w:val="left" w:pos="3611"/>
          <w:tab w:val="left" w:pos="4791"/>
          <w:tab w:val="left" w:pos="5951"/>
          <w:tab w:val="left" w:pos="7071"/>
          <w:tab w:val="left" w:pos="8191"/>
          <w:tab w:val="left" w:pos="9311"/>
        </w:tabs>
        <w:spacing w:line="480" w:lineRule="exact"/>
        <w:ind w:left="91"/>
        <w:jc w:val="center"/>
        <w:rPr>
          <w:rFonts w:ascii="Arial Unicode MS" w:hAnsi="Arial Unicode MS" w:eastAsia="Arial Unicode MS" w:cs="Arial Unicode MS"/>
          <w:color w:val="000000"/>
          <w:kern w:val="0"/>
          <w:sz w:val="44"/>
          <w:szCs w:val="44"/>
        </w:rPr>
      </w:pPr>
      <w:r>
        <w:rPr>
          <w:rFonts w:hint="eastAsia" w:ascii="Arial Unicode MS" w:hAnsi="Arial Unicode MS" w:eastAsia="Arial Unicode MS" w:cs="Arial Unicode MS"/>
          <w:color w:val="000000"/>
          <w:kern w:val="0"/>
          <w:sz w:val="44"/>
          <w:szCs w:val="44"/>
        </w:rPr>
        <w:t>整体支出绩效自评表</w:t>
      </w:r>
    </w:p>
    <w:tbl>
      <w:tblPr>
        <w:tblStyle w:val="9"/>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76"/>
        <w:gridCol w:w="961"/>
        <w:gridCol w:w="1165"/>
        <w:gridCol w:w="95"/>
        <w:gridCol w:w="1035"/>
        <w:gridCol w:w="1299"/>
        <w:gridCol w:w="709"/>
        <w:gridCol w:w="782"/>
        <w:gridCol w:w="871"/>
      </w:tblGrid>
      <w:tr w14:paraId="1DCA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06" w:type="dxa"/>
            <w:vAlign w:val="center"/>
          </w:tcPr>
          <w:p w14:paraId="73CB905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预算单位名称</w:t>
            </w:r>
          </w:p>
        </w:tc>
        <w:tc>
          <w:tcPr>
            <w:tcW w:w="8093" w:type="dxa"/>
            <w:gridSpan w:val="9"/>
            <w:vAlign w:val="center"/>
          </w:tcPr>
          <w:p w14:paraId="160B04C1">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中共邵阳市北塔区委社会工作部</w:t>
            </w:r>
          </w:p>
        </w:tc>
      </w:tr>
      <w:tr w14:paraId="28D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06" w:type="dxa"/>
            <w:vMerge w:val="restart"/>
            <w:vAlign w:val="center"/>
          </w:tcPr>
          <w:p w14:paraId="15959410">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3453B25A">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算申请</w:t>
            </w:r>
          </w:p>
          <w:p w14:paraId="198281FD">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137" w:type="dxa"/>
            <w:gridSpan w:val="2"/>
            <w:vAlign w:val="center"/>
          </w:tcPr>
          <w:p w14:paraId="402200C8">
            <w:pPr>
              <w:widowControl/>
              <w:spacing w:line="240" w:lineRule="exact"/>
              <w:jc w:val="center"/>
              <w:rPr>
                <w:rFonts w:ascii="仿宋" w:hAnsi="仿宋" w:eastAsia="仿宋" w:cs="仿宋"/>
                <w:sz w:val="20"/>
                <w:szCs w:val="20"/>
              </w:rPr>
            </w:pPr>
          </w:p>
        </w:tc>
        <w:tc>
          <w:tcPr>
            <w:tcW w:w="1165" w:type="dxa"/>
            <w:vAlign w:val="center"/>
          </w:tcPr>
          <w:p w14:paraId="4673956A">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年初</w:t>
            </w:r>
          </w:p>
          <w:p w14:paraId="279F01B3">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130" w:type="dxa"/>
            <w:gridSpan w:val="2"/>
            <w:vAlign w:val="center"/>
          </w:tcPr>
          <w:p w14:paraId="132E34C6">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全年预算数</w:t>
            </w:r>
          </w:p>
        </w:tc>
        <w:tc>
          <w:tcPr>
            <w:tcW w:w="1299" w:type="dxa"/>
            <w:vAlign w:val="center"/>
          </w:tcPr>
          <w:p w14:paraId="30D331D6">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全年</w:t>
            </w:r>
          </w:p>
          <w:p w14:paraId="49A30389">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执行数</w:t>
            </w:r>
          </w:p>
        </w:tc>
        <w:tc>
          <w:tcPr>
            <w:tcW w:w="709" w:type="dxa"/>
            <w:vAlign w:val="center"/>
          </w:tcPr>
          <w:p w14:paraId="0BC6BC5B">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782" w:type="dxa"/>
            <w:vAlign w:val="center"/>
          </w:tcPr>
          <w:p w14:paraId="77A538C3">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执行率</w:t>
            </w:r>
          </w:p>
        </w:tc>
        <w:tc>
          <w:tcPr>
            <w:tcW w:w="871" w:type="dxa"/>
            <w:vAlign w:val="center"/>
          </w:tcPr>
          <w:p w14:paraId="3C04F1EA">
            <w:pPr>
              <w:widowControl/>
              <w:spacing w:line="240" w:lineRule="exact"/>
              <w:jc w:val="center"/>
              <w:rPr>
                <w:rFonts w:ascii="仿宋" w:hAnsi="仿宋" w:eastAsia="仿宋" w:cs="仿宋"/>
                <w:sz w:val="20"/>
                <w:szCs w:val="20"/>
              </w:rPr>
            </w:pPr>
            <w:r>
              <w:rPr>
                <w:rFonts w:hint="eastAsia" w:ascii="仿宋" w:hAnsi="仿宋" w:eastAsia="仿宋" w:cs="仿宋"/>
                <w:sz w:val="20"/>
                <w:szCs w:val="20"/>
              </w:rPr>
              <w:t>得分</w:t>
            </w:r>
          </w:p>
        </w:tc>
      </w:tr>
      <w:tr w14:paraId="44D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6" w:type="dxa"/>
            <w:vMerge w:val="continue"/>
            <w:vAlign w:val="center"/>
          </w:tcPr>
          <w:p w14:paraId="55687E89">
            <w:pPr>
              <w:widowControl/>
              <w:spacing w:line="240" w:lineRule="exact"/>
              <w:jc w:val="center"/>
              <w:rPr>
                <w:rFonts w:ascii="仿宋" w:hAnsi="仿宋" w:eastAsia="仿宋" w:cs="仿宋"/>
                <w:color w:val="000000"/>
                <w:kern w:val="0"/>
                <w:sz w:val="20"/>
                <w:szCs w:val="20"/>
              </w:rPr>
            </w:pPr>
          </w:p>
        </w:tc>
        <w:tc>
          <w:tcPr>
            <w:tcW w:w="2137" w:type="dxa"/>
            <w:gridSpan w:val="2"/>
            <w:vAlign w:val="center"/>
          </w:tcPr>
          <w:p w14:paraId="1E80C5A6">
            <w:pPr>
              <w:widowControl/>
              <w:spacing w:line="240" w:lineRule="exact"/>
              <w:jc w:val="center"/>
              <w:rPr>
                <w:rFonts w:ascii="仿宋" w:hAnsi="仿宋" w:eastAsia="仿宋" w:cs="仿宋"/>
                <w:sz w:val="20"/>
                <w:szCs w:val="20"/>
              </w:rPr>
            </w:pPr>
            <w:r>
              <w:rPr>
                <w:rFonts w:hint="eastAsia" w:ascii="仿宋" w:hAnsi="仿宋" w:eastAsia="仿宋" w:cs="仿宋"/>
                <w:color w:val="000000"/>
                <w:kern w:val="0"/>
                <w:sz w:val="20"/>
                <w:szCs w:val="20"/>
              </w:rPr>
              <w:t>年度资金总额</w:t>
            </w:r>
          </w:p>
        </w:tc>
        <w:tc>
          <w:tcPr>
            <w:tcW w:w="1165" w:type="dxa"/>
            <w:vAlign w:val="center"/>
          </w:tcPr>
          <w:p w14:paraId="23B76CE9">
            <w:pPr>
              <w:widowControl/>
              <w:jc w:val="center"/>
              <w:textAlignment w:val="center"/>
              <w:rPr>
                <w:rFonts w:ascii="仿宋" w:hAnsi="仿宋" w:eastAsia="仿宋" w:cs="仿宋"/>
                <w:sz w:val="20"/>
                <w:szCs w:val="20"/>
              </w:rPr>
            </w:pPr>
            <w:r>
              <w:rPr>
                <w:rFonts w:ascii="Times New Roman" w:hAnsi="Times New Roman" w:eastAsia="宋体" w:cs="Times New Roman"/>
                <w:color w:val="000000"/>
                <w:kern w:val="0"/>
                <w:sz w:val="20"/>
                <w:szCs w:val="20"/>
              </w:rPr>
              <w:t>23</w:t>
            </w:r>
            <w:r>
              <w:rPr>
                <w:rFonts w:hint="eastAsia" w:ascii="Times New Roman" w:hAnsi="Times New Roman" w:eastAsia="宋体" w:cs="Times New Roman"/>
                <w:color w:val="000000"/>
                <w:kern w:val="0"/>
                <w:sz w:val="20"/>
                <w:szCs w:val="20"/>
              </w:rPr>
              <w:t>1.06</w:t>
            </w:r>
          </w:p>
        </w:tc>
        <w:tc>
          <w:tcPr>
            <w:tcW w:w="1130" w:type="dxa"/>
            <w:gridSpan w:val="2"/>
            <w:vAlign w:val="center"/>
          </w:tcPr>
          <w:p w14:paraId="264D35C7">
            <w:pPr>
              <w:widowControl/>
              <w:jc w:val="center"/>
              <w:textAlignment w:val="center"/>
              <w:rPr>
                <w:rFonts w:ascii="仿宋" w:hAnsi="仿宋" w:eastAsia="仿宋" w:cs="仿宋"/>
                <w:sz w:val="20"/>
                <w:szCs w:val="20"/>
              </w:rPr>
            </w:pPr>
            <w:r>
              <w:rPr>
                <w:rFonts w:hint="eastAsia" w:ascii="Times New Roman" w:hAnsi="Times New Roman" w:eastAsia="宋体" w:cs="Times New Roman"/>
                <w:color w:val="000000"/>
                <w:kern w:val="0"/>
                <w:sz w:val="20"/>
                <w:szCs w:val="20"/>
              </w:rPr>
              <w:t>826.36</w:t>
            </w:r>
          </w:p>
        </w:tc>
        <w:tc>
          <w:tcPr>
            <w:tcW w:w="1299" w:type="dxa"/>
            <w:vAlign w:val="center"/>
          </w:tcPr>
          <w:p w14:paraId="783551DB">
            <w:pPr>
              <w:widowControl/>
              <w:jc w:val="center"/>
              <w:textAlignment w:val="center"/>
              <w:rPr>
                <w:rFonts w:ascii="仿宋" w:hAnsi="仿宋" w:eastAsia="仿宋" w:cs="仿宋"/>
                <w:sz w:val="20"/>
                <w:szCs w:val="20"/>
              </w:rPr>
            </w:pPr>
            <w:r>
              <w:rPr>
                <w:rFonts w:hint="eastAsia" w:ascii="Times New Roman" w:hAnsi="Times New Roman" w:eastAsia="宋体" w:cs="Times New Roman"/>
                <w:color w:val="000000"/>
                <w:kern w:val="0"/>
                <w:sz w:val="20"/>
                <w:szCs w:val="20"/>
              </w:rPr>
              <w:t>767.27</w:t>
            </w:r>
          </w:p>
        </w:tc>
        <w:tc>
          <w:tcPr>
            <w:tcW w:w="709" w:type="dxa"/>
            <w:vAlign w:val="center"/>
          </w:tcPr>
          <w:p w14:paraId="39CD7089">
            <w:pPr>
              <w:widowControl/>
              <w:jc w:val="center"/>
              <w:textAlignment w:val="center"/>
              <w:rPr>
                <w:rFonts w:ascii="仿宋" w:hAnsi="仿宋" w:eastAsia="仿宋" w:cs="仿宋"/>
                <w:sz w:val="20"/>
                <w:szCs w:val="20"/>
              </w:rPr>
            </w:pPr>
            <w:r>
              <w:rPr>
                <w:rFonts w:ascii="Times New Roman" w:hAnsi="Times New Roman" w:eastAsia="宋体" w:cs="Times New Roman"/>
                <w:color w:val="000000"/>
                <w:kern w:val="0"/>
                <w:sz w:val="20"/>
                <w:szCs w:val="20"/>
              </w:rPr>
              <w:t>10</w:t>
            </w:r>
          </w:p>
        </w:tc>
        <w:tc>
          <w:tcPr>
            <w:tcW w:w="782" w:type="dxa"/>
            <w:vAlign w:val="center"/>
          </w:tcPr>
          <w:p w14:paraId="64EBED14">
            <w:pPr>
              <w:widowControl/>
              <w:jc w:val="center"/>
              <w:textAlignment w:val="center"/>
              <w:rPr>
                <w:rFonts w:ascii="仿宋" w:hAnsi="仿宋" w:eastAsia="仿宋" w:cs="仿宋"/>
                <w:sz w:val="20"/>
                <w:szCs w:val="20"/>
              </w:rPr>
            </w:pPr>
            <w:r>
              <w:rPr>
                <w:rFonts w:hint="eastAsia" w:ascii="Times New Roman" w:hAnsi="Times New Roman" w:eastAsia="宋体" w:cs="Times New Roman"/>
                <w:color w:val="000000"/>
                <w:kern w:val="0"/>
                <w:sz w:val="20"/>
                <w:szCs w:val="20"/>
              </w:rPr>
              <w:t>92.85</w:t>
            </w:r>
            <w:r>
              <w:rPr>
                <w:rFonts w:ascii="Times New Roman" w:hAnsi="Times New Roman" w:eastAsia="宋体" w:cs="Times New Roman"/>
                <w:color w:val="000000"/>
                <w:kern w:val="0"/>
                <w:sz w:val="20"/>
                <w:szCs w:val="20"/>
              </w:rPr>
              <w:t>%</w:t>
            </w:r>
          </w:p>
        </w:tc>
        <w:tc>
          <w:tcPr>
            <w:tcW w:w="871" w:type="dxa"/>
            <w:vAlign w:val="center"/>
          </w:tcPr>
          <w:p w14:paraId="1DA086B8">
            <w:pPr>
              <w:widowControl/>
              <w:jc w:val="center"/>
              <w:textAlignment w:val="center"/>
              <w:rPr>
                <w:rFonts w:ascii="仿宋" w:hAnsi="仿宋" w:eastAsia="仿宋" w:cs="仿宋"/>
                <w:sz w:val="20"/>
                <w:szCs w:val="20"/>
              </w:rPr>
            </w:pPr>
            <w:r>
              <w:rPr>
                <w:rFonts w:hint="eastAsia" w:ascii="Times New Roman" w:hAnsi="Times New Roman" w:eastAsia="宋体" w:cs="Times New Roman"/>
                <w:color w:val="000000"/>
                <w:kern w:val="0"/>
                <w:sz w:val="20"/>
                <w:szCs w:val="20"/>
              </w:rPr>
              <w:t>9.29</w:t>
            </w:r>
          </w:p>
        </w:tc>
      </w:tr>
      <w:tr w14:paraId="2757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707D700B">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473455F5">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661" w:type="dxa"/>
            <w:gridSpan w:val="4"/>
            <w:vAlign w:val="center"/>
          </w:tcPr>
          <w:p w14:paraId="18AAFE56">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0A8B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4DB57D95">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426A3746">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一般公共预算：605.21</w:t>
            </w:r>
          </w:p>
        </w:tc>
        <w:tc>
          <w:tcPr>
            <w:tcW w:w="3661" w:type="dxa"/>
            <w:gridSpan w:val="4"/>
            <w:vAlign w:val="center"/>
          </w:tcPr>
          <w:p w14:paraId="54F5A2B9">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其中：基本支出：661.27</w:t>
            </w:r>
          </w:p>
        </w:tc>
      </w:tr>
      <w:tr w14:paraId="144D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7FEEFF62">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16D853B3">
            <w:pPr>
              <w:widowControl/>
              <w:spacing w:line="240" w:lineRule="exact"/>
              <w:ind w:firstLine="800" w:firstLineChars="40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政府性基金拨款：0</w:t>
            </w:r>
          </w:p>
        </w:tc>
        <w:tc>
          <w:tcPr>
            <w:tcW w:w="3661" w:type="dxa"/>
            <w:gridSpan w:val="4"/>
            <w:vAlign w:val="center"/>
          </w:tcPr>
          <w:p w14:paraId="48F81F66">
            <w:pPr>
              <w:widowControl/>
              <w:spacing w:line="240" w:lineRule="exact"/>
              <w:ind w:firstLine="600" w:firstLineChars="30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项目支出：0</w:t>
            </w:r>
          </w:p>
        </w:tc>
      </w:tr>
      <w:tr w14:paraId="7D9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509ECE9B">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20E62CCA">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纳入专户管理的非税收入拨款：0</w:t>
            </w:r>
          </w:p>
        </w:tc>
        <w:tc>
          <w:tcPr>
            <w:tcW w:w="3661" w:type="dxa"/>
            <w:gridSpan w:val="4"/>
            <w:vAlign w:val="center"/>
          </w:tcPr>
          <w:p w14:paraId="751FDA27">
            <w:pPr>
              <w:widowControl/>
              <w:spacing w:line="240" w:lineRule="exact"/>
              <w:jc w:val="left"/>
              <w:rPr>
                <w:rFonts w:ascii="仿宋" w:hAnsi="仿宋" w:eastAsia="仿宋" w:cs="仿宋"/>
                <w:color w:val="000000"/>
                <w:kern w:val="0"/>
                <w:sz w:val="20"/>
                <w:szCs w:val="20"/>
              </w:rPr>
            </w:pPr>
          </w:p>
        </w:tc>
      </w:tr>
      <w:tr w14:paraId="7541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66228380">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234F92B4">
            <w:pPr>
              <w:widowControl/>
              <w:spacing w:line="240" w:lineRule="exact"/>
              <w:ind w:firstLine="1400" w:firstLineChars="70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其他资金：0</w:t>
            </w:r>
          </w:p>
        </w:tc>
        <w:tc>
          <w:tcPr>
            <w:tcW w:w="3661" w:type="dxa"/>
            <w:gridSpan w:val="4"/>
            <w:vAlign w:val="center"/>
          </w:tcPr>
          <w:p w14:paraId="6D396377">
            <w:pPr>
              <w:widowControl/>
              <w:spacing w:line="240" w:lineRule="exact"/>
              <w:jc w:val="left"/>
              <w:rPr>
                <w:rFonts w:ascii="仿宋" w:hAnsi="仿宋" w:eastAsia="仿宋" w:cs="仿宋"/>
                <w:color w:val="000000"/>
                <w:kern w:val="0"/>
                <w:sz w:val="20"/>
                <w:szCs w:val="20"/>
              </w:rPr>
            </w:pPr>
          </w:p>
        </w:tc>
      </w:tr>
      <w:tr w14:paraId="6E29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restart"/>
            <w:vAlign w:val="center"/>
          </w:tcPr>
          <w:p w14:paraId="0CE1AB81">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32" w:type="dxa"/>
            <w:gridSpan w:val="5"/>
            <w:vAlign w:val="center"/>
          </w:tcPr>
          <w:p w14:paraId="105F3C6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61" w:type="dxa"/>
            <w:gridSpan w:val="4"/>
            <w:vAlign w:val="center"/>
          </w:tcPr>
          <w:p w14:paraId="0C365AD0">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F97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106" w:type="dxa"/>
            <w:vMerge w:val="continue"/>
            <w:vAlign w:val="center"/>
          </w:tcPr>
          <w:p w14:paraId="533D1EA7">
            <w:pPr>
              <w:widowControl/>
              <w:spacing w:line="240" w:lineRule="exact"/>
              <w:jc w:val="left"/>
              <w:rPr>
                <w:rFonts w:ascii="仿宋" w:hAnsi="仿宋" w:eastAsia="仿宋" w:cs="仿宋"/>
                <w:color w:val="000000"/>
                <w:kern w:val="0"/>
                <w:sz w:val="20"/>
                <w:szCs w:val="20"/>
              </w:rPr>
            </w:pPr>
          </w:p>
        </w:tc>
        <w:tc>
          <w:tcPr>
            <w:tcW w:w="4432" w:type="dxa"/>
            <w:gridSpan w:val="5"/>
            <w:vAlign w:val="center"/>
          </w:tcPr>
          <w:p w14:paraId="075E3E24">
            <w:pPr>
              <w:widowControl/>
              <w:tabs>
                <w:tab w:val="left" w:pos="2952"/>
              </w:tabs>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1、基层治理提质增效。</w:t>
            </w:r>
          </w:p>
          <w:p w14:paraId="5FD6C346">
            <w:pPr>
              <w:widowControl/>
              <w:tabs>
                <w:tab w:val="left" w:pos="2952"/>
              </w:tabs>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2、新兴领域党建工作扎实开展。</w:t>
            </w:r>
          </w:p>
          <w:p w14:paraId="7EA97D90">
            <w:pPr>
              <w:widowControl/>
              <w:tabs>
                <w:tab w:val="left" w:pos="2952"/>
              </w:tabs>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3、推动志愿服务高质量发展。</w:t>
            </w:r>
          </w:p>
          <w:p w14:paraId="61ECF57E">
            <w:pPr>
              <w:widowControl/>
              <w:tabs>
                <w:tab w:val="left" w:pos="2952"/>
              </w:tabs>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4、深化“四下基层”，解决实际问题。</w:t>
            </w:r>
          </w:p>
          <w:p w14:paraId="191109CA">
            <w:pPr>
              <w:widowControl/>
              <w:tabs>
                <w:tab w:val="left" w:pos="2952"/>
              </w:tabs>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5、优化服务流程，减轻基层负担。</w:t>
            </w:r>
          </w:p>
        </w:tc>
        <w:tc>
          <w:tcPr>
            <w:tcW w:w="3661" w:type="dxa"/>
            <w:gridSpan w:val="4"/>
            <w:vAlign w:val="center"/>
          </w:tcPr>
          <w:p w14:paraId="724BDFDA">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　基本完成预期目标</w:t>
            </w:r>
          </w:p>
        </w:tc>
      </w:tr>
      <w:tr w14:paraId="515F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06" w:type="dxa"/>
            <w:vMerge w:val="restart"/>
            <w:vAlign w:val="center"/>
          </w:tcPr>
          <w:p w14:paraId="4B79BD5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0C8EB91">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76360D2">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5B0CDE7">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vAlign w:val="center"/>
          </w:tcPr>
          <w:p w14:paraId="430AEFFD">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961" w:type="dxa"/>
            <w:vAlign w:val="center"/>
          </w:tcPr>
          <w:p w14:paraId="7926065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60" w:type="dxa"/>
            <w:gridSpan w:val="2"/>
            <w:vAlign w:val="center"/>
          </w:tcPr>
          <w:p w14:paraId="4D67610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35" w:type="dxa"/>
            <w:vAlign w:val="center"/>
          </w:tcPr>
          <w:p w14:paraId="7421BEB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656352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299" w:type="dxa"/>
            <w:vAlign w:val="center"/>
          </w:tcPr>
          <w:p w14:paraId="0E311BF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A936A36">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09" w:type="dxa"/>
            <w:vAlign w:val="center"/>
          </w:tcPr>
          <w:p w14:paraId="05497A7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82" w:type="dxa"/>
            <w:vAlign w:val="center"/>
          </w:tcPr>
          <w:p w14:paraId="3370D8AD">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871" w:type="dxa"/>
          </w:tcPr>
          <w:p w14:paraId="4C221004">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1DCA39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8FDE74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1A0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06" w:type="dxa"/>
            <w:vMerge w:val="continue"/>
            <w:vAlign w:val="center"/>
          </w:tcPr>
          <w:p w14:paraId="62A97DFF">
            <w:pPr>
              <w:widowControl/>
              <w:spacing w:line="240" w:lineRule="exact"/>
              <w:jc w:val="center"/>
              <w:rPr>
                <w:rFonts w:ascii="仿宋" w:hAnsi="仿宋" w:eastAsia="仿宋" w:cs="仿宋"/>
                <w:color w:val="000000"/>
                <w:kern w:val="0"/>
                <w:sz w:val="20"/>
                <w:szCs w:val="20"/>
              </w:rPr>
            </w:pPr>
          </w:p>
        </w:tc>
        <w:tc>
          <w:tcPr>
            <w:tcW w:w="1176" w:type="dxa"/>
            <w:vMerge w:val="restart"/>
            <w:vAlign w:val="center"/>
          </w:tcPr>
          <w:p w14:paraId="63DF127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F551AE5">
            <w:pPr>
              <w:widowControl/>
              <w:spacing w:line="240" w:lineRule="exact"/>
              <w:jc w:val="center"/>
              <w:rPr>
                <w:rFonts w:ascii="仿宋" w:hAnsi="仿宋" w:eastAsia="仿宋" w:cs="仿宋"/>
                <w:color w:val="000000"/>
                <w:kern w:val="0"/>
                <w:sz w:val="20"/>
                <w:szCs w:val="20"/>
              </w:rPr>
            </w:pPr>
          </w:p>
        </w:tc>
        <w:tc>
          <w:tcPr>
            <w:tcW w:w="961" w:type="dxa"/>
            <w:vAlign w:val="center"/>
          </w:tcPr>
          <w:p w14:paraId="6229E89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07CFB1F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vAlign w:val="center"/>
          </w:tcPr>
          <w:p w14:paraId="0D354562">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走访登记情况</w:t>
            </w:r>
          </w:p>
        </w:tc>
        <w:tc>
          <w:tcPr>
            <w:tcW w:w="1035" w:type="dxa"/>
            <w:vAlign w:val="center"/>
          </w:tcPr>
          <w:p w14:paraId="76A56DDB">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全区走访登记</w:t>
            </w:r>
          </w:p>
        </w:tc>
        <w:tc>
          <w:tcPr>
            <w:tcW w:w="1299" w:type="dxa"/>
            <w:vAlign w:val="center"/>
          </w:tcPr>
          <w:p w14:paraId="6243059E">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3BBFB785">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15</w:t>
            </w:r>
          </w:p>
        </w:tc>
        <w:tc>
          <w:tcPr>
            <w:tcW w:w="782" w:type="dxa"/>
            <w:vAlign w:val="center"/>
          </w:tcPr>
          <w:p w14:paraId="546BE56A">
            <w:pPr>
              <w:widowControl/>
              <w:jc w:val="left"/>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14</w:t>
            </w:r>
          </w:p>
        </w:tc>
        <w:tc>
          <w:tcPr>
            <w:tcW w:w="871" w:type="dxa"/>
            <w:vAlign w:val="center"/>
          </w:tcPr>
          <w:p w14:paraId="5EB33409">
            <w:pPr>
              <w:widowControl/>
              <w:spacing w:line="240" w:lineRule="exact"/>
              <w:jc w:val="center"/>
              <w:rPr>
                <w:rFonts w:ascii="仿宋" w:hAnsi="仿宋" w:eastAsia="仿宋" w:cs="仿宋"/>
                <w:color w:val="000000"/>
                <w:kern w:val="0"/>
                <w:sz w:val="20"/>
                <w:szCs w:val="20"/>
              </w:rPr>
            </w:pPr>
          </w:p>
        </w:tc>
      </w:tr>
      <w:tr w14:paraId="4E87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1106" w:type="dxa"/>
            <w:vMerge w:val="continue"/>
            <w:vAlign w:val="center"/>
          </w:tcPr>
          <w:p w14:paraId="39C79DE3">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5D85CA91">
            <w:pPr>
              <w:widowControl/>
              <w:spacing w:line="240" w:lineRule="exact"/>
              <w:jc w:val="left"/>
              <w:rPr>
                <w:rFonts w:ascii="仿宋" w:hAnsi="仿宋" w:eastAsia="仿宋" w:cs="仿宋"/>
                <w:color w:val="000000"/>
                <w:kern w:val="0"/>
                <w:sz w:val="20"/>
                <w:szCs w:val="20"/>
              </w:rPr>
            </w:pPr>
          </w:p>
        </w:tc>
        <w:tc>
          <w:tcPr>
            <w:tcW w:w="961" w:type="dxa"/>
            <w:vAlign w:val="center"/>
          </w:tcPr>
          <w:p w14:paraId="0EBA7C87">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54B4144C">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vAlign w:val="center"/>
          </w:tcPr>
          <w:p w14:paraId="41E6367E">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全国、全省、全市“两会”、亚运会等重大活动、会议期间，信访维稳工作均取得了“零进京、零非访、零登记、零滞留、零滋事”的良好成效。</w:t>
            </w:r>
          </w:p>
        </w:tc>
        <w:tc>
          <w:tcPr>
            <w:tcW w:w="1035" w:type="dxa"/>
            <w:vAlign w:val="center"/>
          </w:tcPr>
          <w:p w14:paraId="1D2A0599">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全区信访工作综合考核</w:t>
            </w:r>
            <w:r>
              <w:rPr>
                <w:rFonts w:hint="eastAsia" w:ascii="仿宋_GB2312" w:hAnsi="宋体" w:eastAsia="仿宋_GB2312" w:cs="仿宋_GB2312"/>
                <w:color w:val="000000"/>
                <w:kern w:val="0"/>
                <w:sz w:val="20"/>
                <w:szCs w:val="20"/>
              </w:rPr>
              <w:t>全区评级“良好”</w:t>
            </w:r>
          </w:p>
        </w:tc>
        <w:tc>
          <w:tcPr>
            <w:tcW w:w="1299" w:type="dxa"/>
            <w:vAlign w:val="center"/>
          </w:tcPr>
          <w:p w14:paraId="46510735">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14C7CD1F">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15</w:t>
            </w:r>
          </w:p>
        </w:tc>
        <w:tc>
          <w:tcPr>
            <w:tcW w:w="782" w:type="dxa"/>
            <w:vAlign w:val="center"/>
          </w:tcPr>
          <w:p w14:paraId="4745C2C3">
            <w:pPr>
              <w:widowControl/>
              <w:jc w:val="left"/>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14</w:t>
            </w:r>
          </w:p>
        </w:tc>
        <w:tc>
          <w:tcPr>
            <w:tcW w:w="871" w:type="dxa"/>
            <w:vAlign w:val="center"/>
          </w:tcPr>
          <w:p w14:paraId="17699AC6">
            <w:pPr>
              <w:widowControl/>
              <w:spacing w:line="240" w:lineRule="exact"/>
              <w:jc w:val="center"/>
              <w:rPr>
                <w:rFonts w:ascii="仿宋" w:hAnsi="仿宋" w:eastAsia="仿宋" w:cs="仿宋"/>
                <w:color w:val="000000"/>
                <w:kern w:val="0"/>
                <w:sz w:val="20"/>
                <w:szCs w:val="20"/>
              </w:rPr>
            </w:pPr>
          </w:p>
        </w:tc>
      </w:tr>
      <w:tr w14:paraId="74BF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47C79904">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24FAFB8D">
            <w:pPr>
              <w:widowControl/>
              <w:spacing w:line="240" w:lineRule="exact"/>
              <w:jc w:val="left"/>
              <w:rPr>
                <w:rFonts w:ascii="仿宋" w:hAnsi="仿宋" w:eastAsia="仿宋" w:cs="仿宋"/>
                <w:color w:val="000000"/>
                <w:kern w:val="0"/>
                <w:sz w:val="20"/>
                <w:szCs w:val="20"/>
              </w:rPr>
            </w:pPr>
          </w:p>
        </w:tc>
        <w:tc>
          <w:tcPr>
            <w:tcW w:w="961" w:type="dxa"/>
            <w:vAlign w:val="center"/>
          </w:tcPr>
          <w:p w14:paraId="51478C8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1C685F8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60" w:type="dxa"/>
            <w:gridSpan w:val="2"/>
            <w:vAlign w:val="center"/>
          </w:tcPr>
          <w:p w14:paraId="3E1E5520">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各项工作完成时间</w:t>
            </w:r>
          </w:p>
        </w:tc>
        <w:tc>
          <w:tcPr>
            <w:tcW w:w="1035" w:type="dxa"/>
            <w:vAlign w:val="center"/>
          </w:tcPr>
          <w:p w14:paraId="5EC5E401">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202</w:t>
            </w:r>
            <w:r>
              <w:rPr>
                <w:rFonts w:hint="eastAsia" w:ascii="仿宋_GB2312" w:hAnsi="宋体" w:eastAsia="仿宋_GB2312" w:cs="仿宋_GB2312"/>
                <w:color w:val="000000"/>
                <w:kern w:val="0"/>
                <w:sz w:val="20"/>
                <w:szCs w:val="20"/>
              </w:rPr>
              <w:t>4</w:t>
            </w:r>
            <w:r>
              <w:rPr>
                <w:rFonts w:ascii="仿宋_GB2312" w:hAnsi="宋体" w:eastAsia="仿宋_GB2312" w:cs="仿宋_GB2312"/>
                <w:color w:val="000000"/>
                <w:kern w:val="0"/>
                <w:sz w:val="20"/>
                <w:szCs w:val="20"/>
              </w:rPr>
              <w:t>年</w:t>
            </w:r>
          </w:p>
        </w:tc>
        <w:tc>
          <w:tcPr>
            <w:tcW w:w="1299" w:type="dxa"/>
            <w:vAlign w:val="center"/>
          </w:tcPr>
          <w:p w14:paraId="7ADB0FED">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202</w:t>
            </w:r>
            <w:r>
              <w:rPr>
                <w:rFonts w:hint="eastAsia" w:ascii="仿宋_GB2312" w:hAnsi="宋体" w:eastAsia="仿宋_GB2312" w:cs="仿宋_GB2312"/>
                <w:color w:val="000000"/>
                <w:kern w:val="0"/>
                <w:sz w:val="20"/>
                <w:szCs w:val="20"/>
              </w:rPr>
              <w:t>4</w:t>
            </w:r>
            <w:r>
              <w:rPr>
                <w:rFonts w:ascii="仿宋_GB2312" w:hAnsi="宋体" w:eastAsia="仿宋_GB2312" w:cs="仿宋_GB2312"/>
                <w:color w:val="000000"/>
                <w:kern w:val="0"/>
                <w:sz w:val="20"/>
                <w:szCs w:val="20"/>
              </w:rPr>
              <w:t>年</w:t>
            </w:r>
          </w:p>
        </w:tc>
        <w:tc>
          <w:tcPr>
            <w:tcW w:w="709" w:type="dxa"/>
            <w:vAlign w:val="center"/>
          </w:tcPr>
          <w:p w14:paraId="74A08A96">
            <w:pPr>
              <w:widowControl/>
              <w:jc w:val="center"/>
              <w:textAlignment w:val="center"/>
              <w:rPr>
                <w:rFonts w:ascii="仿宋" w:hAnsi="仿宋" w:eastAsia="仿宋" w:cs="仿宋"/>
                <w:color w:val="000000"/>
                <w:kern w:val="0"/>
                <w:sz w:val="20"/>
                <w:szCs w:val="20"/>
              </w:rPr>
            </w:pPr>
            <w:r>
              <w:rPr>
                <w:rFonts w:hint="eastAsia" w:ascii="仿宋_GB2312" w:hAnsi="宋体" w:eastAsia="仿宋_GB2312" w:cs="仿宋_GB2312"/>
                <w:color w:val="000000"/>
                <w:kern w:val="0"/>
                <w:sz w:val="20"/>
                <w:szCs w:val="20"/>
              </w:rPr>
              <w:t>10</w:t>
            </w:r>
          </w:p>
        </w:tc>
        <w:tc>
          <w:tcPr>
            <w:tcW w:w="782" w:type="dxa"/>
            <w:vAlign w:val="center"/>
          </w:tcPr>
          <w:p w14:paraId="67292E9E">
            <w:pPr>
              <w:widowControl/>
              <w:jc w:val="left"/>
              <w:textAlignment w:val="center"/>
              <w:rPr>
                <w:rFonts w:ascii="仿宋" w:hAnsi="仿宋" w:eastAsia="仿宋" w:cs="仿宋"/>
                <w:color w:val="000000"/>
                <w:kern w:val="0"/>
                <w:sz w:val="20"/>
                <w:szCs w:val="20"/>
              </w:rPr>
            </w:pPr>
            <w:r>
              <w:rPr>
                <w:rFonts w:hint="eastAsia" w:ascii="仿宋_GB2312" w:hAnsi="宋体" w:eastAsia="仿宋_GB2312" w:cs="仿宋_GB2312"/>
                <w:color w:val="000000"/>
                <w:kern w:val="0"/>
                <w:sz w:val="20"/>
                <w:szCs w:val="20"/>
              </w:rPr>
              <w:t>10</w:t>
            </w:r>
          </w:p>
        </w:tc>
        <w:tc>
          <w:tcPr>
            <w:tcW w:w="871" w:type="dxa"/>
            <w:vAlign w:val="center"/>
          </w:tcPr>
          <w:p w14:paraId="0A45E870">
            <w:pPr>
              <w:widowControl/>
              <w:spacing w:line="240" w:lineRule="exact"/>
              <w:jc w:val="center"/>
              <w:rPr>
                <w:rFonts w:ascii="仿宋" w:hAnsi="仿宋" w:eastAsia="仿宋" w:cs="仿宋"/>
                <w:color w:val="000000"/>
                <w:kern w:val="0"/>
                <w:sz w:val="20"/>
                <w:szCs w:val="20"/>
              </w:rPr>
            </w:pPr>
          </w:p>
        </w:tc>
      </w:tr>
      <w:tr w14:paraId="66E0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56928E59">
            <w:pPr>
              <w:widowControl/>
              <w:spacing w:line="240" w:lineRule="exact"/>
              <w:jc w:val="center"/>
              <w:rPr>
                <w:rFonts w:ascii="仿宋" w:hAnsi="仿宋" w:eastAsia="仿宋" w:cs="仿宋"/>
                <w:color w:val="000000"/>
                <w:kern w:val="0"/>
                <w:sz w:val="20"/>
                <w:szCs w:val="20"/>
              </w:rPr>
            </w:pPr>
          </w:p>
        </w:tc>
        <w:tc>
          <w:tcPr>
            <w:tcW w:w="1176" w:type="dxa"/>
            <w:vMerge w:val="restart"/>
            <w:vAlign w:val="center"/>
          </w:tcPr>
          <w:p w14:paraId="6DA164D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25FB7AD">
            <w:pPr>
              <w:widowControl/>
              <w:spacing w:line="240" w:lineRule="exact"/>
              <w:jc w:val="center"/>
              <w:rPr>
                <w:rFonts w:ascii="仿宋" w:hAnsi="仿宋" w:eastAsia="仿宋" w:cs="仿宋"/>
                <w:color w:val="000000"/>
                <w:kern w:val="0"/>
                <w:sz w:val="20"/>
                <w:szCs w:val="20"/>
              </w:rPr>
            </w:pPr>
          </w:p>
        </w:tc>
        <w:tc>
          <w:tcPr>
            <w:tcW w:w="961" w:type="dxa"/>
            <w:vAlign w:val="center"/>
          </w:tcPr>
          <w:p w14:paraId="04957F58">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2B6F68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vAlign w:val="center"/>
          </w:tcPr>
          <w:p w14:paraId="749F4078">
            <w:pPr>
              <w:widowControl/>
              <w:spacing w:line="240" w:lineRule="exact"/>
              <w:jc w:val="center"/>
              <w:rPr>
                <w:rFonts w:ascii="仿宋" w:hAnsi="仿宋" w:eastAsia="仿宋" w:cs="仿宋"/>
                <w:color w:val="000000"/>
                <w:kern w:val="0"/>
                <w:sz w:val="20"/>
                <w:szCs w:val="20"/>
              </w:rPr>
            </w:pPr>
          </w:p>
        </w:tc>
        <w:tc>
          <w:tcPr>
            <w:tcW w:w="1035" w:type="dxa"/>
            <w:vAlign w:val="center"/>
          </w:tcPr>
          <w:p w14:paraId="0EFAB6AA">
            <w:pPr>
              <w:widowControl/>
              <w:spacing w:line="240" w:lineRule="exact"/>
              <w:jc w:val="center"/>
              <w:rPr>
                <w:rFonts w:ascii="仿宋" w:hAnsi="仿宋" w:eastAsia="仿宋" w:cs="仿宋"/>
                <w:color w:val="000000"/>
                <w:kern w:val="0"/>
                <w:sz w:val="20"/>
                <w:szCs w:val="20"/>
              </w:rPr>
            </w:pPr>
          </w:p>
        </w:tc>
        <w:tc>
          <w:tcPr>
            <w:tcW w:w="1299" w:type="dxa"/>
            <w:vAlign w:val="center"/>
          </w:tcPr>
          <w:p w14:paraId="2E88C019">
            <w:pPr>
              <w:widowControl/>
              <w:spacing w:line="240" w:lineRule="exact"/>
              <w:jc w:val="center"/>
              <w:rPr>
                <w:rFonts w:ascii="仿宋" w:hAnsi="仿宋" w:eastAsia="仿宋" w:cs="仿宋"/>
                <w:color w:val="000000"/>
                <w:kern w:val="0"/>
                <w:sz w:val="20"/>
                <w:szCs w:val="20"/>
              </w:rPr>
            </w:pPr>
          </w:p>
        </w:tc>
        <w:tc>
          <w:tcPr>
            <w:tcW w:w="709" w:type="dxa"/>
            <w:vAlign w:val="center"/>
          </w:tcPr>
          <w:p w14:paraId="44028322">
            <w:pPr>
              <w:widowControl/>
              <w:spacing w:line="240" w:lineRule="exact"/>
              <w:jc w:val="center"/>
              <w:rPr>
                <w:rFonts w:ascii="仿宋" w:hAnsi="仿宋" w:eastAsia="仿宋" w:cs="仿宋"/>
                <w:color w:val="000000"/>
                <w:kern w:val="0"/>
                <w:sz w:val="20"/>
                <w:szCs w:val="20"/>
              </w:rPr>
            </w:pPr>
          </w:p>
        </w:tc>
        <w:tc>
          <w:tcPr>
            <w:tcW w:w="782" w:type="dxa"/>
            <w:vAlign w:val="center"/>
          </w:tcPr>
          <w:p w14:paraId="5936D2C7">
            <w:pPr>
              <w:widowControl/>
              <w:spacing w:line="240" w:lineRule="exact"/>
              <w:jc w:val="center"/>
              <w:rPr>
                <w:rFonts w:ascii="仿宋" w:hAnsi="仿宋" w:eastAsia="仿宋" w:cs="仿宋"/>
                <w:color w:val="000000"/>
                <w:kern w:val="0"/>
                <w:sz w:val="20"/>
                <w:szCs w:val="20"/>
              </w:rPr>
            </w:pPr>
          </w:p>
        </w:tc>
        <w:tc>
          <w:tcPr>
            <w:tcW w:w="871" w:type="dxa"/>
            <w:vAlign w:val="center"/>
          </w:tcPr>
          <w:p w14:paraId="5A383101">
            <w:pPr>
              <w:widowControl/>
              <w:spacing w:line="240" w:lineRule="exact"/>
              <w:jc w:val="center"/>
              <w:rPr>
                <w:rFonts w:ascii="仿宋" w:hAnsi="仿宋" w:eastAsia="仿宋" w:cs="仿宋"/>
                <w:color w:val="000000"/>
                <w:kern w:val="0"/>
                <w:sz w:val="20"/>
                <w:szCs w:val="20"/>
              </w:rPr>
            </w:pPr>
          </w:p>
        </w:tc>
      </w:tr>
      <w:tr w14:paraId="29D7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1BD3452F">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699B859C">
            <w:pPr>
              <w:widowControl/>
              <w:spacing w:line="240" w:lineRule="exact"/>
              <w:jc w:val="left"/>
              <w:rPr>
                <w:rFonts w:ascii="仿宋" w:hAnsi="仿宋" w:eastAsia="仿宋" w:cs="仿宋"/>
                <w:color w:val="000000"/>
                <w:kern w:val="0"/>
                <w:sz w:val="20"/>
                <w:szCs w:val="20"/>
              </w:rPr>
            </w:pPr>
          </w:p>
        </w:tc>
        <w:tc>
          <w:tcPr>
            <w:tcW w:w="961" w:type="dxa"/>
            <w:vAlign w:val="center"/>
          </w:tcPr>
          <w:p w14:paraId="5E71FFEC">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CECD351">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vAlign w:val="center"/>
          </w:tcPr>
          <w:p w14:paraId="459B9B90">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深入推进治理重复信访、化解信访积案工作</w:t>
            </w:r>
          </w:p>
        </w:tc>
        <w:tc>
          <w:tcPr>
            <w:tcW w:w="1035" w:type="dxa"/>
            <w:vAlign w:val="center"/>
          </w:tcPr>
          <w:p w14:paraId="3B5B6CCB">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严格落实区级领导包案化解，并延伸到各责任单位，逐一落实“五包一”责任制，一级一级跟踪督办，一项一项抓好落实，做到“措施明、责任实”</w:t>
            </w:r>
          </w:p>
        </w:tc>
        <w:tc>
          <w:tcPr>
            <w:tcW w:w="1299" w:type="dxa"/>
            <w:vAlign w:val="center"/>
          </w:tcPr>
          <w:p w14:paraId="41820AAB">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2440D9A7">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15</w:t>
            </w:r>
          </w:p>
        </w:tc>
        <w:tc>
          <w:tcPr>
            <w:tcW w:w="782" w:type="dxa"/>
            <w:vAlign w:val="center"/>
          </w:tcPr>
          <w:p w14:paraId="6223F80B">
            <w:pPr>
              <w:widowControl/>
              <w:jc w:val="left"/>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14</w:t>
            </w:r>
          </w:p>
        </w:tc>
        <w:tc>
          <w:tcPr>
            <w:tcW w:w="871" w:type="dxa"/>
            <w:vAlign w:val="center"/>
          </w:tcPr>
          <w:p w14:paraId="6CC7E20B">
            <w:pPr>
              <w:widowControl/>
              <w:jc w:val="center"/>
              <w:textAlignment w:val="center"/>
              <w:rPr>
                <w:rFonts w:ascii="仿宋" w:hAnsi="仿宋" w:eastAsia="仿宋" w:cs="仿宋"/>
                <w:color w:val="000000"/>
                <w:kern w:val="0"/>
                <w:sz w:val="20"/>
                <w:szCs w:val="20"/>
              </w:rPr>
            </w:pPr>
          </w:p>
        </w:tc>
      </w:tr>
      <w:tr w14:paraId="61E7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3F30387C">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0B332A2E">
            <w:pPr>
              <w:widowControl/>
              <w:spacing w:line="240" w:lineRule="exact"/>
              <w:jc w:val="left"/>
              <w:rPr>
                <w:rFonts w:ascii="仿宋" w:hAnsi="仿宋" w:eastAsia="仿宋" w:cs="仿宋"/>
                <w:color w:val="000000"/>
                <w:kern w:val="0"/>
                <w:sz w:val="20"/>
                <w:szCs w:val="20"/>
              </w:rPr>
            </w:pPr>
          </w:p>
        </w:tc>
        <w:tc>
          <w:tcPr>
            <w:tcW w:w="961" w:type="dxa"/>
            <w:vAlign w:val="center"/>
          </w:tcPr>
          <w:p w14:paraId="47659057">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C57054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60" w:type="dxa"/>
            <w:gridSpan w:val="2"/>
            <w:vAlign w:val="center"/>
          </w:tcPr>
          <w:p w14:paraId="1AE87174">
            <w:pPr>
              <w:widowControl/>
              <w:spacing w:line="240" w:lineRule="exact"/>
              <w:jc w:val="center"/>
              <w:rPr>
                <w:rFonts w:ascii="仿宋" w:hAnsi="仿宋" w:eastAsia="仿宋" w:cs="仿宋"/>
                <w:color w:val="000000"/>
                <w:kern w:val="0"/>
                <w:sz w:val="20"/>
                <w:szCs w:val="20"/>
              </w:rPr>
            </w:pPr>
          </w:p>
        </w:tc>
        <w:tc>
          <w:tcPr>
            <w:tcW w:w="1035" w:type="dxa"/>
            <w:vAlign w:val="center"/>
          </w:tcPr>
          <w:p w14:paraId="2F4EE088">
            <w:pPr>
              <w:widowControl/>
              <w:spacing w:line="240" w:lineRule="exact"/>
              <w:jc w:val="center"/>
              <w:rPr>
                <w:rFonts w:ascii="仿宋" w:hAnsi="仿宋" w:eastAsia="仿宋" w:cs="仿宋"/>
                <w:color w:val="000000"/>
                <w:kern w:val="0"/>
                <w:sz w:val="20"/>
                <w:szCs w:val="20"/>
              </w:rPr>
            </w:pPr>
          </w:p>
        </w:tc>
        <w:tc>
          <w:tcPr>
            <w:tcW w:w="1299" w:type="dxa"/>
            <w:vAlign w:val="center"/>
          </w:tcPr>
          <w:p w14:paraId="0F89650B">
            <w:pPr>
              <w:widowControl/>
              <w:spacing w:line="240" w:lineRule="exact"/>
              <w:jc w:val="center"/>
              <w:rPr>
                <w:rFonts w:ascii="仿宋" w:hAnsi="仿宋" w:eastAsia="仿宋" w:cs="仿宋"/>
                <w:color w:val="000000"/>
                <w:kern w:val="0"/>
                <w:sz w:val="20"/>
                <w:szCs w:val="20"/>
              </w:rPr>
            </w:pPr>
          </w:p>
        </w:tc>
        <w:tc>
          <w:tcPr>
            <w:tcW w:w="709" w:type="dxa"/>
            <w:vAlign w:val="center"/>
          </w:tcPr>
          <w:p w14:paraId="7228CA1D">
            <w:pPr>
              <w:widowControl/>
              <w:spacing w:line="240" w:lineRule="exact"/>
              <w:jc w:val="center"/>
              <w:rPr>
                <w:rFonts w:ascii="仿宋" w:hAnsi="仿宋" w:eastAsia="仿宋" w:cs="仿宋"/>
                <w:color w:val="000000"/>
                <w:kern w:val="0"/>
                <w:sz w:val="20"/>
                <w:szCs w:val="20"/>
              </w:rPr>
            </w:pPr>
          </w:p>
        </w:tc>
        <w:tc>
          <w:tcPr>
            <w:tcW w:w="782" w:type="dxa"/>
            <w:vAlign w:val="center"/>
          </w:tcPr>
          <w:p w14:paraId="41C3EB07">
            <w:pPr>
              <w:widowControl/>
              <w:spacing w:line="240" w:lineRule="exact"/>
              <w:jc w:val="center"/>
              <w:rPr>
                <w:rFonts w:ascii="仿宋" w:hAnsi="仿宋" w:eastAsia="仿宋" w:cs="仿宋"/>
                <w:color w:val="000000"/>
                <w:kern w:val="0"/>
                <w:sz w:val="20"/>
                <w:szCs w:val="20"/>
              </w:rPr>
            </w:pPr>
          </w:p>
        </w:tc>
        <w:tc>
          <w:tcPr>
            <w:tcW w:w="871" w:type="dxa"/>
            <w:vAlign w:val="center"/>
          </w:tcPr>
          <w:p w14:paraId="13FF8032">
            <w:pPr>
              <w:widowControl/>
              <w:spacing w:line="240" w:lineRule="exact"/>
              <w:jc w:val="center"/>
              <w:rPr>
                <w:rFonts w:ascii="仿宋" w:hAnsi="仿宋" w:eastAsia="仿宋" w:cs="仿宋"/>
                <w:color w:val="000000"/>
                <w:kern w:val="0"/>
                <w:sz w:val="20"/>
                <w:szCs w:val="20"/>
              </w:rPr>
            </w:pPr>
          </w:p>
        </w:tc>
      </w:tr>
      <w:tr w14:paraId="7702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04416AEA">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0813BE8C">
            <w:pPr>
              <w:widowControl/>
              <w:spacing w:line="240" w:lineRule="exact"/>
              <w:jc w:val="left"/>
              <w:rPr>
                <w:rFonts w:ascii="仿宋" w:hAnsi="仿宋" w:eastAsia="仿宋" w:cs="仿宋"/>
                <w:color w:val="000000"/>
                <w:kern w:val="0"/>
                <w:sz w:val="20"/>
                <w:szCs w:val="20"/>
              </w:rPr>
            </w:pPr>
          </w:p>
        </w:tc>
        <w:tc>
          <w:tcPr>
            <w:tcW w:w="961" w:type="dxa"/>
            <w:vMerge w:val="restart"/>
            <w:vAlign w:val="center"/>
          </w:tcPr>
          <w:p w14:paraId="73EBADCC">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60" w:type="dxa"/>
            <w:gridSpan w:val="2"/>
            <w:vAlign w:val="center"/>
          </w:tcPr>
          <w:p w14:paraId="0C651969">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抓信访法治化建设</w:t>
            </w:r>
          </w:p>
        </w:tc>
        <w:tc>
          <w:tcPr>
            <w:tcW w:w="1035" w:type="dxa"/>
            <w:vAlign w:val="center"/>
          </w:tcPr>
          <w:p w14:paraId="09C0310E">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持续跟进</w:t>
            </w:r>
          </w:p>
        </w:tc>
        <w:tc>
          <w:tcPr>
            <w:tcW w:w="1299" w:type="dxa"/>
            <w:vAlign w:val="center"/>
          </w:tcPr>
          <w:p w14:paraId="63452BE2">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2D47104E">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8</w:t>
            </w:r>
          </w:p>
        </w:tc>
        <w:tc>
          <w:tcPr>
            <w:tcW w:w="782" w:type="dxa"/>
            <w:vAlign w:val="center"/>
          </w:tcPr>
          <w:p w14:paraId="334B8C4C">
            <w:pPr>
              <w:widowControl/>
              <w:jc w:val="left"/>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7</w:t>
            </w:r>
          </w:p>
        </w:tc>
        <w:tc>
          <w:tcPr>
            <w:tcW w:w="871" w:type="dxa"/>
            <w:vAlign w:val="center"/>
          </w:tcPr>
          <w:p w14:paraId="33C57C57">
            <w:pPr>
              <w:widowControl/>
              <w:spacing w:line="240" w:lineRule="exact"/>
              <w:jc w:val="center"/>
              <w:rPr>
                <w:rFonts w:ascii="仿宋" w:hAnsi="仿宋" w:eastAsia="仿宋" w:cs="仿宋"/>
                <w:color w:val="000000"/>
                <w:kern w:val="0"/>
                <w:sz w:val="20"/>
                <w:szCs w:val="20"/>
              </w:rPr>
            </w:pPr>
          </w:p>
        </w:tc>
      </w:tr>
      <w:tr w14:paraId="6679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7B0D4462">
            <w:pPr>
              <w:widowControl/>
              <w:spacing w:line="240" w:lineRule="exact"/>
              <w:jc w:val="center"/>
              <w:rPr>
                <w:rFonts w:ascii="仿宋" w:hAnsi="仿宋" w:eastAsia="仿宋" w:cs="仿宋"/>
                <w:color w:val="000000"/>
                <w:kern w:val="0"/>
                <w:sz w:val="20"/>
                <w:szCs w:val="20"/>
              </w:rPr>
            </w:pPr>
          </w:p>
        </w:tc>
        <w:tc>
          <w:tcPr>
            <w:tcW w:w="1176" w:type="dxa"/>
            <w:vMerge w:val="continue"/>
            <w:vAlign w:val="center"/>
          </w:tcPr>
          <w:p w14:paraId="42C422ED">
            <w:pPr>
              <w:widowControl/>
              <w:spacing w:line="240" w:lineRule="exact"/>
              <w:jc w:val="left"/>
              <w:rPr>
                <w:rFonts w:ascii="仿宋" w:hAnsi="仿宋" w:eastAsia="仿宋" w:cs="仿宋"/>
                <w:color w:val="000000"/>
                <w:kern w:val="0"/>
                <w:sz w:val="20"/>
                <w:szCs w:val="20"/>
              </w:rPr>
            </w:pPr>
          </w:p>
        </w:tc>
        <w:tc>
          <w:tcPr>
            <w:tcW w:w="961" w:type="dxa"/>
            <w:vMerge w:val="continue"/>
            <w:vAlign w:val="center"/>
          </w:tcPr>
          <w:p w14:paraId="6766C6EC">
            <w:pPr>
              <w:widowControl/>
              <w:spacing w:line="240" w:lineRule="exact"/>
              <w:jc w:val="center"/>
              <w:rPr>
                <w:rFonts w:ascii="仿宋" w:hAnsi="仿宋" w:eastAsia="仿宋" w:cs="仿宋"/>
                <w:color w:val="000000"/>
                <w:kern w:val="0"/>
                <w:sz w:val="20"/>
                <w:szCs w:val="20"/>
              </w:rPr>
            </w:pPr>
          </w:p>
        </w:tc>
        <w:tc>
          <w:tcPr>
            <w:tcW w:w="1260" w:type="dxa"/>
            <w:gridSpan w:val="2"/>
            <w:vAlign w:val="center"/>
          </w:tcPr>
          <w:p w14:paraId="59AAB8E3">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抓积案化解攻坚</w:t>
            </w:r>
          </w:p>
        </w:tc>
        <w:tc>
          <w:tcPr>
            <w:tcW w:w="1035" w:type="dxa"/>
            <w:vAlign w:val="center"/>
          </w:tcPr>
          <w:p w14:paraId="439D8F4E">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持续跟进</w:t>
            </w:r>
          </w:p>
        </w:tc>
        <w:tc>
          <w:tcPr>
            <w:tcW w:w="1299" w:type="dxa"/>
            <w:vAlign w:val="center"/>
          </w:tcPr>
          <w:p w14:paraId="2A36ED70">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7F16A8C3">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8</w:t>
            </w:r>
          </w:p>
        </w:tc>
        <w:tc>
          <w:tcPr>
            <w:tcW w:w="782" w:type="dxa"/>
            <w:vAlign w:val="center"/>
          </w:tcPr>
          <w:p w14:paraId="3C51E6FB">
            <w:pPr>
              <w:widowControl/>
              <w:jc w:val="left"/>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7</w:t>
            </w:r>
          </w:p>
        </w:tc>
        <w:tc>
          <w:tcPr>
            <w:tcW w:w="871" w:type="dxa"/>
            <w:vAlign w:val="center"/>
          </w:tcPr>
          <w:p w14:paraId="6163FB13">
            <w:pPr>
              <w:widowControl/>
              <w:spacing w:line="240" w:lineRule="exact"/>
              <w:jc w:val="center"/>
              <w:rPr>
                <w:rFonts w:ascii="仿宋" w:hAnsi="仿宋" w:eastAsia="仿宋" w:cs="仿宋"/>
                <w:color w:val="000000"/>
                <w:kern w:val="0"/>
                <w:sz w:val="20"/>
                <w:szCs w:val="20"/>
              </w:rPr>
            </w:pPr>
          </w:p>
        </w:tc>
      </w:tr>
      <w:tr w14:paraId="225D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1291FBA3">
            <w:pPr>
              <w:widowControl/>
              <w:spacing w:line="240" w:lineRule="exact"/>
              <w:jc w:val="left"/>
              <w:rPr>
                <w:rFonts w:ascii="仿宋" w:hAnsi="仿宋" w:eastAsia="仿宋" w:cs="仿宋"/>
                <w:color w:val="000000"/>
                <w:kern w:val="0"/>
                <w:sz w:val="20"/>
                <w:szCs w:val="20"/>
              </w:rPr>
            </w:pPr>
          </w:p>
        </w:tc>
        <w:tc>
          <w:tcPr>
            <w:tcW w:w="1176" w:type="dxa"/>
            <w:vAlign w:val="center"/>
          </w:tcPr>
          <w:p w14:paraId="1EA881F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D19B71F">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C448BE1">
            <w:pPr>
              <w:widowControl/>
              <w:spacing w:line="240" w:lineRule="exact"/>
              <w:jc w:val="center"/>
              <w:rPr>
                <w:rFonts w:ascii="仿宋" w:hAnsi="仿宋" w:eastAsia="仿宋" w:cs="仿宋"/>
                <w:color w:val="000000"/>
                <w:kern w:val="0"/>
                <w:sz w:val="20"/>
                <w:szCs w:val="20"/>
              </w:rPr>
            </w:pPr>
          </w:p>
        </w:tc>
        <w:tc>
          <w:tcPr>
            <w:tcW w:w="961" w:type="dxa"/>
            <w:vAlign w:val="center"/>
          </w:tcPr>
          <w:p w14:paraId="7E304B23">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60" w:type="dxa"/>
            <w:gridSpan w:val="2"/>
            <w:vAlign w:val="center"/>
          </w:tcPr>
          <w:p w14:paraId="53C09380">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群众参评率</w:t>
            </w:r>
          </w:p>
        </w:tc>
        <w:tc>
          <w:tcPr>
            <w:tcW w:w="1035" w:type="dxa"/>
            <w:vAlign w:val="center"/>
          </w:tcPr>
          <w:p w14:paraId="367F17A4">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群众满意度</w:t>
            </w:r>
          </w:p>
        </w:tc>
        <w:tc>
          <w:tcPr>
            <w:tcW w:w="1299" w:type="dxa"/>
            <w:vAlign w:val="center"/>
          </w:tcPr>
          <w:p w14:paraId="3D054094">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22069954">
            <w:pPr>
              <w:widowControl/>
              <w:jc w:val="center"/>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w:t>
            </w:r>
          </w:p>
        </w:tc>
        <w:tc>
          <w:tcPr>
            <w:tcW w:w="782" w:type="dxa"/>
            <w:vAlign w:val="center"/>
          </w:tcPr>
          <w:p w14:paraId="6F64FCF3">
            <w:pPr>
              <w:widowControl/>
              <w:jc w:val="left"/>
              <w:textAlignment w:val="center"/>
              <w:rPr>
                <w:rFonts w:ascii="仿宋" w:hAnsi="仿宋" w:eastAsia="仿宋" w:cs="仿宋"/>
                <w:color w:val="000000"/>
                <w:kern w:val="0"/>
                <w:sz w:val="20"/>
                <w:szCs w:val="20"/>
              </w:rPr>
            </w:pPr>
            <w:r>
              <w:rPr>
                <w:rFonts w:ascii="仿宋_GB2312" w:hAnsi="宋体" w:eastAsia="仿宋_GB2312" w:cs="仿宋_GB2312"/>
                <w:color w:val="000000"/>
                <w:kern w:val="0"/>
                <w:sz w:val="20"/>
                <w:szCs w:val="20"/>
              </w:rPr>
              <w:t>10</w:t>
            </w:r>
          </w:p>
        </w:tc>
        <w:tc>
          <w:tcPr>
            <w:tcW w:w="871" w:type="dxa"/>
            <w:vAlign w:val="center"/>
          </w:tcPr>
          <w:p w14:paraId="2B76C1BC">
            <w:pPr>
              <w:jc w:val="center"/>
              <w:rPr>
                <w:rFonts w:ascii="仿宋" w:hAnsi="仿宋" w:eastAsia="仿宋" w:cs="仿宋"/>
                <w:color w:val="000000"/>
                <w:kern w:val="0"/>
                <w:sz w:val="20"/>
                <w:szCs w:val="20"/>
              </w:rPr>
            </w:pPr>
          </w:p>
        </w:tc>
      </w:tr>
      <w:tr w14:paraId="2252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1347C8B1">
            <w:pPr>
              <w:widowControl/>
              <w:spacing w:line="240" w:lineRule="exact"/>
              <w:jc w:val="left"/>
              <w:rPr>
                <w:rFonts w:ascii="仿宋" w:hAnsi="仿宋" w:eastAsia="仿宋" w:cs="仿宋"/>
                <w:color w:val="000000"/>
                <w:kern w:val="0"/>
                <w:sz w:val="20"/>
                <w:szCs w:val="20"/>
              </w:rPr>
            </w:pPr>
          </w:p>
        </w:tc>
        <w:tc>
          <w:tcPr>
            <w:tcW w:w="1176" w:type="dxa"/>
            <w:vMerge w:val="restart"/>
            <w:vAlign w:val="center"/>
          </w:tcPr>
          <w:p w14:paraId="36F14DED">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961" w:type="dxa"/>
            <w:vAlign w:val="center"/>
          </w:tcPr>
          <w:p w14:paraId="78E524AB">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260" w:type="dxa"/>
            <w:gridSpan w:val="2"/>
            <w:vAlign w:val="center"/>
          </w:tcPr>
          <w:p w14:paraId="384696D2">
            <w:pPr>
              <w:widowControl/>
              <w:spacing w:line="240" w:lineRule="exact"/>
              <w:jc w:val="center"/>
              <w:rPr>
                <w:rFonts w:ascii="仿宋" w:hAnsi="仿宋" w:eastAsia="仿宋" w:cs="仿宋"/>
                <w:color w:val="000000"/>
                <w:kern w:val="0"/>
                <w:sz w:val="20"/>
                <w:szCs w:val="20"/>
              </w:rPr>
            </w:pPr>
          </w:p>
        </w:tc>
        <w:tc>
          <w:tcPr>
            <w:tcW w:w="1035" w:type="dxa"/>
            <w:vAlign w:val="center"/>
          </w:tcPr>
          <w:p w14:paraId="3BBE59C4">
            <w:pPr>
              <w:jc w:val="center"/>
              <w:rPr>
                <w:rFonts w:ascii="仿宋_GB2312" w:hAnsi="宋体" w:eastAsia="仿宋_GB2312" w:cs="仿宋_GB2312"/>
                <w:color w:val="000000"/>
                <w:kern w:val="0"/>
                <w:sz w:val="20"/>
                <w:szCs w:val="20"/>
              </w:rPr>
            </w:pPr>
          </w:p>
        </w:tc>
        <w:tc>
          <w:tcPr>
            <w:tcW w:w="1299" w:type="dxa"/>
            <w:vAlign w:val="center"/>
          </w:tcPr>
          <w:p w14:paraId="51C5D004">
            <w:pPr>
              <w:jc w:val="center"/>
              <w:rPr>
                <w:rFonts w:ascii="仿宋_GB2312" w:hAnsi="宋体" w:eastAsia="仿宋_GB2312" w:cs="仿宋_GB2312"/>
                <w:color w:val="000000"/>
                <w:kern w:val="0"/>
                <w:sz w:val="20"/>
                <w:szCs w:val="20"/>
              </w:rPr>
            </w:pPr>
          </w:p>
        </w:tc>
        <w:tc>
          <w:tcPr>
            <w:tcW w:w="709" w:type="dxa"/>
            <w:vAlign w:val="center"/>
          </w:tcPr>
          <w:p w14:paraId="6AA02E7E">
            <w:pPr>
              <w:jc w:val="center"/>
              <w:rPr>
                <w:rFonts w:ascii="仿宋_GB2312" w:hAnsi="宋体" w:eastAsia="仿宋_GB2312" w:cs="仿宋_GB2312"/>
                <w:color w:val="000000"/>
                <w:kern w:val="0"/>
                <w:sz w:val="20"/>
                <w:szCs w:val="20"/>
              </w:rPr>
            </w:pPr>
          </w:p>
        </w:tc>
        <w:tc>
          <w:tcPr>
            <w:tcW w:w="782" w:type="dxa"/>
            <w:vAlign w:val="center"/>
          </w:tcPr>
          <w:p w14:paraId="110E7B36">
            <w:pPr>
              <w:jc w:val="center"/>
              <w:rPr>
                <w:rFonts w:ascii="仿宋_GB2312" w:hAnsi="宋体" w:eastAsia="仿宋_GB2312" w:cs="仿宋_GB2312"/>
                <w:color w:val="000000"/>
                <w:kern w:val="0"/>
                <w:sz w:val="20"/>
                <w:szCs w:val="20"/>
              </w:rPr>
            </w:pPr>
          </w:p>
        </w:tc>
        <w:tc>
          <w:tcPr>
            <w:tcW w:w="871" w:type="dxa"/>
            <w:vAlign w:val="center"/>
          </w:tcPr>
          <w:p w14:paraId="69FE7A66">
            <w:pPr>
              <w:jc w:val="center"/>
              <w:rPr>
                <w:rFonts w:ascii="仿宋" w:hAnsi="仿宋" w:eastAsia="仿宋" w:cs="仿宋"/>
                <w:color w:val="000000"/>
                <w:kern w:val="0"/>
                <w:sz w:val="20"/>
                <w:szCs w:val="20"/>
              </w:rPr>
            </w:pPr>
          </w:p>
        </w:tc>
      </w:tr>
      <w:tr w14:paraId="72CD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1962185F">
            <w:pPr>
              <w:widowControl/>
              <w:spacing w:line="240" w:lineRule="exact"/>
              <w:jc w:val="left"/>
              <w:rPr>
                <w:rFonts w:ascii="仿宋" w:hAnsi="仿宋" w:eastAsia="仿宋" w:cs="仿宋"/>
                <w:color w:val="000000"/>
                <w:kern w:val="0"/>
                <w:sz w:val="20"/>
                <w:szCs w:val="20"/>
              </w:rPr>
            </w:pPr>
          </w:p>
        </w:tc>
        <w:tc>
          <w:tcPr>
            <w:tcW w:w="1176" w:type="dxa"/>
            <w:vMerge w:val="continue"/>
            <w:vAlign w:val="center"/>
          </w:tcPr>
          <w:p w14:paraId="6D6E2342">
            <w:pPr>
              <w:widowControl/>
              <w:spacing w:line="240" w:lineRule="exact"/>
              <w:jc w:val="left"/>
              <w:rPr>
                <w:rFonts w:ascii="仿宋" w:hAnsi="仿宋" w:eastAsia="仿宋" w:cs="仿宋"/>
                <w:color w:val="000000"/>
                <w:kern w:val="0"/>
                <w:sz w:val="20"/>
                <w:szCs w:val="20"/>
              </w:rPr>
            </w:pPr>
          </w:p>
        </w:tc>
        <w:tc>
          <w:tcPr>
            <w:tcW w:w="961" w:type="dxa"/>
            <w:vAlign w:val="center"/>
          </w:tcPr>
          <w:p w14:paraId="0D31F670">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260" w:type="dxa"/>
            <w:gridSpan w:val="2"/>
            <w:vAlign w:val="center"/>
          </w:tcPr>
          <w:p w14:paraId="21BB374C">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一站式”矛调中心，强化矛盾纠纷排查化解</w:t>
            </w:r>
          </w:p>
        </w:tc>
        <w:tc>
          <w:tcPr>
            <w:tcW w:w="1035" w:type="dxa"/>
            <w:vAlign w:val="center"/>
          </w:tcPr>
          <w:p w14:paraId="7DC2DE80">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项目产生的实际成本</w:t>
            </w:r>
          </w:p>
        </w:tc>
        <w:tc>
          <w:tcPr>
            <w:tcW w:w="1299" w:type="dxa"/>
            <w:vAlign w:val="center"/>
          </w:tcPr>
          <w:p w14:paraId="7047AF10">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100%</w:t>
            </w:r>
          </w:p>
        </w:tc>
        <w:tc>
          <w:tcPr>
            <w:tcW w:w="709" w:type="dxa"/>
            <w:vAlign w:val="center"/>
          </w:tcPr>
          <w:p w14:paraId="2318BF7C">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9</w:t>
            </w:r>
          </w:p>
        </w:tc>
        <w:tc>
          <w:tcPr>
            <w:tcW w:w="782" w:type="dxa"/>
            <w:vAlign w:val="center"/>
          </w:tcPr>
          <w:p w14:paraId="76CAFA8A">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9</w:t>
            </w:r>
          </w:p>
        </w:tc>
        <w:tc>
          <w:tcPr>
            <w:tcW w:w="871" w:type="dxa"/>
            <w:vAlign w:val="center"/>
          </w:tcPr>
          <w:p w14:paraId="3EFD4699">
            <w:pPr>
              <w:jc w:val="center"/>
              <w:rPr>
                <w:rFonts w:ascii="仿宋" w:hAnsi="仿宋" w:eastAsia="仿宋" w:cs="仿宋"/>
                <w:color w:val="000000"/>
                <w:kern w:val="0"/>
                <w:sz w:val="20"/>
                <w:szCs w:val="20"/>
              </w:rPr>
            </w:pPr>
          </w:p>
        </w:tc>
      </w:tr>
      <w:tr w14:paraId="07FA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3EB6C4D0">
            <w:pPr>
              <w:widowControl/>
              <w:spacing w:line="240" w:lineRule="exact"/>
              <w:jc w:val="left"/>
              <w:rPr>
                <w:rFonts w:ascii="仿宋" w:hAnsi="仿宋" w:eastAsia="仿宋" w:cs="仿宋"/>
                <w:color w:val="000000"/>
                <w:kern w:val="0"/>
                <w:sz w:val="20"/>
                <w:szCs w:val="20"/>
              </w:rPr>
            </w:pPr>
          </w:p>
        </w:tc>
        <w:tc>
          <w:tcPr>
            <w:tcW w:w="1176" w:type="dxa"/>
            <w:vMerge w:val="continue"/>
            <w:vAlign w:val="center"/>
          </w:tcPr>
          <w:p w14:paraId="3849890D">
            <w:pPr>
              <w:widowControl/>
              <w:spacing w:line="240" w:lineRule="exact"/>
              <w:jc w:val="left"/>
              <w:rPr>
                <w:rFonts w:ascii="仿宋" w:hAnsi="仿宋" w:eastAsia="仿宋" w:cs="仿宋"/>
                <w:color w:val="000000"/>
                <w:kern w:val="0"/>
                <w:sz w:val="20"/>
                <w:szCs w:val="20"/>
              </w:rPr>
            </w:pPr>
          </w:p>
        </w:tc>
        <w:tc>
          <w:tcPr>
            <w:tcW w:w="961" w:type="dxa"/>
            <w:vAlign w:val="center"/>
          </w:tcPr>
          <w:p w14:paraId="1E7187F6">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260" w:type="dxa"/>
            <w:gridSpan w:val="2"/>
            <w:vAlign w:val="center"/>
          </w:tcPr>
          <w:p w14:paraId="2953816C">
            <w:pPr>
              <w:widowControl/>
              <w:spacing w:line="240" w:lineRule="exact"/>
              <w:jc w:val="center"/>
              <w:rPr>
                <w:rFonts w:ascii="仿宋" w:hAnsi="仿宋" w:eastAsia="仿宋" w:cs="仿宋"/>
                <w:color w:val="000000"/>
                <w:kern w:val="0"/>
                <w:sz w:val="20"/>
                <w:szCs w:val="20"/>
              </w:rPr>
            </w:pPr>
          </w:p>
        </w:tc>
        <w:tc>
          <w:tcPr>
            <w:tcW w:w="1035" w:type="dxa"/>
            <w:vAlign w:val="center"/>
          </w:tcPr>
          <w:p w14:paraId="0D749BB5">
            <w:pPr>
              <w:jc w:val="center"/>
              <w:rPr>
                <w:rFonts w:ascii="仿宋_GB2312" w:hAnsi="宋体" w:eastAsia="仿宋_GB2312" w:cs="仿宋_GB2312"/>
                <w:color w:val="000000"/>
                <w:kern w:val="0"/>
                <w:sz w:val="20"/>
                <w:szCs w:val="20"/>
              </w:rPr>
            </w:pPr>
          </w:p>
        </w:tc>
        <w:tc>
          <w:tcPr>
            <w:tcW w:w="1299" w:type="dxa"/>
            <w:vAlign w:val="center"/>
          </w:tcPr>
          <w:p w14:paraId="53D38CC6">
            <w:pPr>
              <w:jc w:val="center"/>
              <w:rPr>
                <w:rFonts w:ascii="仿宋_GB2312" w:hAnsi="宋体" w:eastAsia="仿宋_GB2312" w:cs="仿宋_GB2312"/>
                <w:color w:val="000000"/>
                <w:kern w:val="0"/>
                <w:sz w:val="20"/>
                <w:szCs w:val="20"/>
              </w:rPr>
            </w:pPr>
          </w:p>
        </w:tc>
        <w:tc>
          <w:tcPr>
            <w:tcW w:w="709" w:type="dxa"/>
            <w:vAlign w:val="center"/>
          </w:tcPr>
          <w:p w14:paraId="3E4E4E23">
            <w:pPr>
              <w:jc w:val="center"/>
              <w:rPr>
                <w:rFonts w:ascii="仿宋_GB2312" w:hAnsi="宋体" w:eastAsia="仿宋_GB2312" w:cs="仿宋_GB2312"/>
                <w:color w:val="000000"/>
                <w:kern w:val="0"/>
                <w:sz w:val="20"/>
                <w:szCs w:val="20"/>
              </w:rPr>
            </w:pPr>
          </w:p>
        </w:tc>
        <w:tc>
          <w:tcPr>
            <w:tcW w:w="782" w:type="dxa"/>
            <w:vAlign w:val="center"/>
          </w:tcPr>
          <w:p w14:paraId="1039551E">
            <w:pPr>
              <w:jc w:val="center"/>
              <w:rPr>
                <w:rFonts w:ascii="仿宋_GB2312" w:hAnsi="宋体" w:eastAsia="仿宋_GB2312" w:cs="仿宋_GB2312"/>
                <w:color w:val="000000"/>
                <w:kern w:val="0"/>
                <w:sz w:val="20"/>
                <w:szCs w:val="20"/>
              </w:rPr>
            </w:pPr>
          </w:p>
        </w:tc>
        <w:tc>
          <w:tcPr>
            <w:tcW w:w="871" w:type="dxa"/>
            <w:vAlign w:val="center"/>
          </w:tcPr>
          <w:p w14:paraId="5E24361F">
            <w:pPr>
              <w:jc w:val="center"/>
              <w:rPr>
                <w:rFonts w:ascii="仿宋" w:hAnsi="仿宋" w:eastAsia="仿宋" w:cs="仿宋"/>
                <w:color w:val="000000"/>
                <w:kern w:val="0"/>
                <w:sz w:val="20"/>
                <w:szCs w:val="20"/>
              </w:rPr>
            </w:pPr>
          </w:p>
        </w:tc>
      </w:tr>
      <w:tr w14:paraId="580E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7" w:type="dxa"/>
            <w:gridSpan w:val="7"/>
            <w:vAlign w:val="center"/>
          </w:tcPr>
          <w:p w14:paraId="7C64E54E">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09" w:type="dxa"/>
            <w:vAlign w:val="center"/>
          </w:tcPr>
          <w:p w14:paraId="7F1E1E35">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782" w:type="dxa"/>
            <w:vAlign w:val="center"/>
          </w:tcPr>
          <w:p w14:paraId="39A0333C">
            <w:pPr>
              <w:widowControl/>
              <w:spacing w:line="240" w:lineRule="exact"/>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94.28</w:t>
            </w:r>
          </w:p>
        </w:tc>
        <w:tc>
          <w:tcPr>
            <w:tcW w:w="871" w:type="dxa"/>
            <w:vAlign w:val="center"/>
          </w:tcPr>
          <w:p w14:paraId="50339F5B">
            <w:pPr>
              <w:widowControl/>
              <w:spacing w:line="240" w:lineRule="exact"/>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506C609">
      <w:pPr>
        <w:spacing w:line="600" w:lineRule="exact"/>
        <w:rPr>
          <w:rFonts w:eastAsia="仿宋_GB2312"/>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罗婷    </w:t>
      </w:r>
      <w:r>
        <w:rPr>
          <w:rFonts w:ascii="Times New Roman" w:hAnsi="Times New Roman" w:eastAsia="仿宋_GB2312" w:cs="Times New Roman"/>
          <w:color w:val="000000"/>
          <w:kern w:val="0"/>
          <w:sz w:val="24"/>
        </w:rPr>
        <w:t xml:space="preserve"> 填报日期：</w:t>
      </w:r>
      <w:r>
        <w:rPr>
          <w:rFonts w:hint="eastAsia" w:ascii="Times New Roman" w:hAnsi="Times New Roman" w:eastAsia="仿宋_GB2312" w:cs="Times New Roman"/>
          <w:color w:val="000000"/>
          <w:kern w:val="0"/>
          <w:sz w:val="24"/>
        </w:rPr>
        <w:t>2025年</w:t>
      </w:r>
      <w:r>
        <w:rPr>
          <w:rFonts w:hint="eastAsia" w:ascii="Times New Roman" w:hAnsi="Times New Roman" w:eastAsia="仿宋_GB2312" w:cs="Times New Roman"/>
          <w:color w:val="000000"/>
          <w:kern w:val="0"/>
          <w:sz w:val="24"/>
          <w:lang w:val="en-US" w:eastAsia="zh-CN"/>
        </w:rPr>
        <w:t>9</w:t>
      </w:r>
      <w:r>
        <w:rPr>
          <w:rFonts w:hint="eastAsia" w:ascii="Times New Roman" w:hAnsi="Times New Roman" w:eastAsia="仿宋_GB2312" w:cs="Times New Roman"/>
          <w:color w:val="000000"/>
          <w:kern w:val="0"/>
          <w:sz w:val="24"/>
        </w:rPr>
        <w:t>月</w:t>
      </w:r>
      <w:r>
        <w:rPr>
          <w:rFonts w:hint="eastAsia" w:ascii="Times New Roman" w:hAnsi="Times New Roman" w:eastAsia="仿宋_GB2312" w:cs="Times New Roman"/>
          <w:color w:val="000000"/>
          <w:kern w:val="0"/>
          <w:sz w:val="24"/>
          <w:lang w:val="en-US" w:eastAsia="zh-CN"/>
        </w:rPr>
        <w:t>16</w:t>
      </w:r>
      <w:r>
        <w:rPr>
          <w:rFonts w:hint="eastAsia" w:ascii="Times New Roman" w:hAnsi="Times New Roman" w:eastAsia="仿宋_GB2312" w:cs="Times New Roman"/>
          <w:color w:val="000000"/>
          <w:kern w:val="0"/>
          <w:sz w:val="24"/>
        </w:rPr>
        <w:t xml:space="preserve">日    </w:t>
      </w:r>
      <w:r>
        <w:rPr>
          <w:rFonts w:ascii="Times New Roman" w:hAnsi="Times New Roman" w:eastAsia="仿宋_GB2312" w:cs="Times New Roman"/>
          <w:color w:val="000000"/>
          <w:kern w:val="0"/>
          <w:sz w:val="24"/>
        </w:rPr>
        <w:t xml:space="preserve">  联系电话：</w:t>
      </w:r>
      <w:r>
        <w:rPr>
          <w:rFonts w:hint="eastAsia" w:ascii="Times New Roman" w:hAnsi="Times New Roman" w:eastAsia="仿宋_GB2312" w:cs="Times New Roman"/>
          <w:color w:val="000000"/>
          <w:kern w:val="0"/>
          <w:sz w:val="24"/>
        </w:rPr>
        <w:t>15243973273</w:t>
      </w: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D61197-E702-4CB1-9124-F4B9D4C9F0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F2DD6A-776E-4C28-9209-61099BEAF026}"/>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embedRegular r:id="rId3" w:fontKey="{ABFC9068-001B-4BCF-ABDA-EDAAA2D2630D}"/>
  </w:font>
  <w:font w:name="楷体">
    <w:panose1 w:val="02010609060101010101"/>
    <w:charset w:val="86"/>
    <w:family w:val="auto"/>
    <w:pitch w:val="default"/>
    <w:sig w:usb0="800002BF" w:usb1="38CF7CFA" w:usb2="00000016" w:usb3="00000000" w:csb0="00040001" w:csb1="00000000"/>
  </w:font>
  <w:font w:name="仿宋_GB2312">
    <w:altName w:val="微软雅黑"/>
    <w:panose1 w:val="02010609030101010101"/>
    <w:charset w:val="86"/>
    <w:family w:val="auto"/>
    <w:pitch w:val="default"/>
    <w:sig w:usb0="00000001" w:usb1="080E0000" w:usb2="00000000" w:usb3="00000000" w:csb0="00040000" w:csb1="00000000"/>
    <w:embedRegular r:id="rId4" w:fontKey="{AB5BC540-C2E2-4C42-A4EB-8B6D905D4F42}"/>
  </w:font>
  <w:font w:name="仿宋">
    <w:panose1 w:val="02010609060101010101"/>
    <w:charset w:val="86"/>
    <w:family w:val="modern"/>
    <w:pitch w:val="default"/>
    <w:sig w:usb0="800002BF" w:usb1="38CF7CFA" w:usb2="00000016" w:usb3="00000000" w:csb0="00040001" w:csb1="00000000"/>
    <w:embedRegular r:id="rId5" w:fontKey="{0C8C3F69-AD66-4BFA-8994-1198474F72D7}"/>
  </w:font>
  <w:font w:name="___WRD_EMBED_SUB_40">
    <w:altName w:val="微软雅黑"/>
    <w:panose1 w:val="02010609030101010101"/>
    <w:charset w:val="86"/>
    <w:family w:val="auto"/>
    <w:pitch w:val="default"/>
    <w:sig w:usb0="00000000" w:usb1="00000000" w:usb2="00000010" w:usb3="00000000" w:csb0="00040000" w:csb1="00000000"/>
    <w:embedRegular r:id="rId6" w:fontKey="{25F1E872-669C-454F-9AA0-7050E128E8FC}"/>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82016" w:usb3="00000000" w:csb0="00040001" w:csb1="00000000"/>
    <w:embedRegular r:id="rId7" w:fontKey="{674CDCC8-6E13-4CFF-853C-5368CA39126A}"/>
  </w:font>
  <w:font w:name="Arial Unicode MS">
    <w:altName w:val="Arial"/>
    <w:panose1 w:val="020B0604020202020204"/>
    <w:charset w:val="00"/>
    <w:family w:val="roman"/>
    <w:pitch w:val="default"/>
    <w:sig w:usb0="00000000" w:usb1="00000000" w:usb2="00000000" w:usb3="00000000" w:csb0="00000001" w:csb1="00000000"/>
  </w:font>
  <w:font w:name="方正仿宋_GB2312">
    <w:altName w:val="仿宋"/>
    <w:panose1 w:val="00000000000000000000"/>
    <w:charset w:val="86"/>
    <w:family w:val="auto"/>
    <w:pitch w:val="default"/>
    <w:sig w:usb0="00000000" w:usb1="00000000" w:usb2="00000012" w:usb3="00000000" w:csb0="00040001" w:csb1="00000000"/>
    <w:embedRegular r:id="rId8" w:fontKey="{A519A65B-CCC3-467D-963A-0DA2E7D27E80}"/>
  </w:font>
  <w:font w:name="KSOFE8852770">
    <w:panose1 w:val="03000509000000000000"/>
    <w:charset w:val="86"/>
    <w:family w:val="auto"/>
    <w:pitch w:val="default"/>
    <w:sig w:usb0="00000001" w:usb1="00000000" w:usb2="00000000" w:usb3="00000000" w:csb0="00040001"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55A2">
    <w:pPr>
      <w:pStyle w:val="5"/>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4B704968">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05AFE"/>
    <w:multiLevelType w:val="singleLevel"/>
    <w:tmpl w:val="99F05AFE"/>
    <w:lvl w:ilvl="0" w:tentative="0">
      <w:start w:val="3"/>
      <w:numFmt w:val="decimal"/>
      <w:lvlText w:val="%1."/>
      <w:lvlJc w:val="left"/>
      <w:pPr>
        <w:tabs>
          <w:tab w:val="left" w:pos="312"/>
        </w:tabs>
      </w:pPr>
    </w:lvl>
  </w:abstractNum>
  <w:abstractNum w:abstractNumId="1">
    <w:nsid w:val="24BD1AB6"/>
    <w:multiLevelType w:val="singleLevel"/>
    <w:tmpl w:val="24BD1AB6"/>
    <w:lvl w:ilvl="0" w:tentative="0">
      <w:start w:val="2"/>
      <w:numFmt w:val="chineseCounting"/>
      <w:suff w:val="nothing"/>
      <w:lvlText w:val="（%1）"/>
      <w:lvlJc w:val="left"/>
      <w:rPr>
        <w:rFonts w:hint="eastAsia"/>
      </w:rPr>
    </w:lvl>
  </w:abstractNum>
  <w:abstractNum w:abstractNumId="2">
    <w:nsid w:val="2C085E5A"/>
    <w:multiLevelType w:val="multilevel"/>
    <w:tmpl w:val="2C085E5A"/>
    <w:lvl w:ilvl="0" w:tentative="0">
      <w:start w:val="1"/>
      <w:numFmt w:val="japaneseCounting"/>
      <w:lvlText w:val="（%1）"/>
      <w:lvlJc w:val="left"/>
      <w:pPr>
        <w:ind w:left="945" w:hanging="9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84512D"/>
    <w:multiLevelType w:val="singleLevel"/>
    <w:tmpl w:val="5484512D"/>
    <w:lvl w:ilvl="0" w:tentative="0">
      <w:start w:val="2"/>
      <w:numFmt w:val="chineseCounting"/>
      <w:suff w:val="nothing"/>
      <w:lvlText w:val="（%1）"/>
      <w:lvlJc w:val="left"/>
      <w:rPr>
        <w:rFonts w:hint="eastAsia"/>
      </w:rPr>
    </w:lvl>
  </w:abstractNum>
  <w:abstractNum w:abstractNumId="4">
    <w:nsid w:val="7DC9C2FD"/>
    <w:multiLevelType w:val="singleLevel"/>
    <w:tmpl w:val="7DC9C2FD"/>
    <w:lvl w:ilvl="0" w:tentative="0">
      <w:start w:val="3"/>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zZjE3MjlkYTE0ZThkN2M4OWZmMjA5MGU4NmZmNGMifQ=="/>
    <w:docVar w:name="KSO_WPS_MARK_KEY" w:val="9920a277-c0c3-43b4-93d3-1636fe398e0b"/>
  </w:docVars>
  <w:rsids>
    <w:rsidRoot w:val="753C4E9B"/>
    <w:rsid w:val="00097D9D"/>
    <w:rsid w:val="001048F9"/>
    <w:rsid w:val="001C4333"/>
    <w:rsid w:val="00376F54"/>
    <w:rsid w:val="00393DA7"/>
    <w:rsid w:val="0051301C"/>
    <w:rsid w:val="005F51A5"/>
    <w:rsid w:val="0071406F"/>
    <w:rsid w:val="00781A3F"/>
    <w:rsid w:val="008622E3"/>
    <w:rsid w:val="00BC35CF"/>
    <w:rsid w:val="00E36B99"/>
    <w:rsid w:val="00E47A60"/>
    <w:rsid w:val="00ED2751"/>
    <w:rsid w:val="00F241F5"/>
    <w:rsid w:val="01AC7EAF"/>
    <w:rsid w:val="036020A8"/>
    <w:rsid w:val="052B72A3"/>
    <w:rsid w:val="05661B3C"/>
    <w:rsid w:val="05E95AA6"/>
    <w:rsid w:val="078C3E19"/>
    <w:rsid w:val="07B50942"/>
    <w:rsid w:val="0B9E7486"/>
    <w:rsid w:val="0C4447D8"/>
    <w:rsid w:val="0D276746"/>
    <w:rsid w:val="0D464D9C"/>
    <w:rsid w:val="0E7D7760"/>
    <w:rsid w:val="0E956870"/>
    <w:rsid w:val="0EBF12E1"/>
    <w:rsid w:val="11255584"/>
    <w:rsid w:val="1223366A"/>
    <w:rsid w:val="12917030"/>
    <w:rsid w:val="1379234C"/>
    <w:rsid w:val="13A01720"/>
    <w:rsid w:val="143877FD"/>
    <w:rsid w:val="17074EDC"/>
    <w:rsid w:val="18710338"/>
    <w:rsid w:val="19E805B2"/>
    <w:rsid w:val="19FA7F2D"/>
    <w:rsid w:val="1C6258AD"/>
    <w:rsid w:val="1E6F3683"/>
    <w:rsid w:val="2231148C"/>
    <w:rsid w:val="277E6F02"/>
    <w:rsid w:val="29990575"/>
    <w:rsid w:val="2BCC4802"/>
    <w:rsid w:val="312A2265"/>
    <w:rsid w:val="31356A0B"/>
    <w:rsid w:val="32CF13A1"/>
    <w:rsid w:val="33F86524"/>
    <w:rsid w:val="36FC0F5D"/>
    <w:rsid w:val="375773F8"/>
    <w:rsid w:val="382A6CDB"/>
    <w:rsid w:val="390040E1"/>
    <w:rsid w:val="39725719"/>
    <w:rsid w:val="3A5A0BB6"/>
    <w:rsid w:val="3A7C1CE0"/>
    <w:rsid w:val="3F1C4B22"/>
    <w:rsid w:val="41633C91"/>
    <w:rsid w:val="419B2857"/>
    <w:rsid w:val="43FB1CAA"/>
    <w:rsid w:val="45450ACF"/>
    <w:rsid w:val="47F51878"/>
    <w:rsid w:val="480A688C"/>
    <w:rsid w:val="4A7A4C8C"/>
    <w:rsid w:val="4B2F6044"/>
    <w:rsid w:val="4C0E7BEA"/>
    <w:rsid w:val="4CB35B85"/>
    <w:rsid w:val="4CBA5B6B"/>
    <w:rsid w:val="51742B1B"/>
    <w:rsid w:val="552A0475"/>
    <w:rsid w:val="554778A4"/>
    <w:rsid w:val="57EE2FC9"/>
    <w:rsid w:val="5A5915AC"/>
    <w:rsid w:val="5BBF2DBE"/>
    <w:rsid w:val="6935615D"/>
    <w:rsid w:val="6A0A70D1"/>
    <w:rsid w:val="6A12486A"/>
    <w:rsid w:val="6AAF516E"/>
    <w:rsid w:val="6CD56003"/>
    <w:rsid w:val="6EFD60EB"/>
    <w:rsid w:val="70014D49"/>
    <w:rsid w:val="72D85A06"/>
    <w:rsid w:val="753C4E9B"/>
    <w:rsid w:val="75ED005D"/>
    <w:rsid w:val="767F01D6"/>
    <w:rsid w:val="781113A7"/>
    <w:rsid w:val="78A25F9F"/>
    <w:rsid w:val="790B0CCC"/>
    <w:rsid w:val="791E6510"/>
    <w:rsid w:val="793F0049"/>
    <w:rsid w:val="7A1433E1"/>
    <w:rsid w:val="7A9E283F"/>
    <w:rsid w:val="7BBF1695"/>
    <w:rsid w:val="7C8D4A41"/>
    <w:rsid w:val="7D8A69CB"/>
    <w:rsid w:val="7F0A22DB"/>
    <w:rsid w:val="7F0E03A6"/>
    <w:rsid w:val="7F3C7D25"/>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ody Text Indent"/>
    <w:basedOn w:val="1"/>
    <w:unhideWhenUsed/>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unhideWhenUsed/>
    <w:qFormat/>
    <w:uiPriority w:val="99"/>
    <w:pPr>
      <w:ind w:firstLine="420"/>
    </w:pPr>
  </w:style>
  <w:style w:type="paragraph" w:customStyle="1" w:styleId="11">
    <w:name w:val="标题1"/>
    <w:basedOn w:val="2"/>
    <w:qFormat/>
    <w:uiPriority w:val="0"/>
    <w:rPr>
      <w:rFonts w:eastAsia="黑体"/>
    </w:rPr>
  </w:style>
  <w:style w:type="paragraph" w:customStyle="1" w:styleId="12">
    <w:name w:val="首行缩进"/>
    <w:basedOn w:val="1"/>
    <w:qFormat/>
    <w:uiPriority w:val="0"/>
    <w:pPr>
      <w:ind w:firstLine="480" w:firstLineChars="200"/>
    </w:pPr>
    <w:rPr>
      <w:lang w:val="zh-CN"/>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5106</Words>
  <Characters>5499</Characters>
  <Lines>8</Lines>
  <Paragraphs>12</Paragraphs>
  <TotalTime>140</TotalTime>
  <ScaleCrop>false</ScaleCrop>
  <LinksUpToDate>false</LinksUpToDate>
  <CharactersWithSpaces>5666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A湖南移动流量专卖</cp:lastModifiedBy>
  <cp:lastPrinted>2024-08-16T03:42:00Z</cp:lastPrinted>
  <dcterms:modified xsi:type="dcterms:W3CDTF">2025-11-20T08:22:59Z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6B760A4124874146BC2C5F5B39755C6C_13</vt:lpwstr>
  </property>
  <property fmtid="{D5CDD505-2E9C-101B-9397-08002B2CF9AE}" pid="4" name="KSOTemplateDocerSaveRecord">
    <vt:lpwstr>eyJoZGlkIjoiOTVkNDA0MDA3Y2JlNTNhZjQ0ZWZkODJkMzdiNWFlYzEiLCJ1c2VySWQiOiIyMjA4OTEwNjUifQ==</vt:lpwstr>
  </property>
</Properties>
</file>