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b/>
          <w:bCs/>
          <w:color w:val="000000"/>
          <w:kern w:val="0"/>
          <w:sz w:val="52"/>
          <w:szCs w:val="52"/>
          <w:shd w:val="clear" w:color="auto" w:fill="FFFFFF"/>
        </w:rPr>
      </w:pPr>
    </w:p>
    <w:p>
      <w:pPr>
        <w:pStyle w:val="7"/>
        <w:widowControl/>
        <w:shd w:val="clear" w:color="auto" w:fill="FFFFFF"/>
        <w:snapToGrid w:val="0"/>
        <w:spacing w:beforeAutospacing="0" w:afterAutospacing="0" w:line="520" w:lineRule="exact"/>
        <w:jc w:val="center"/>
        <w:rPr>
          <w:rFonts w:ascii="黑体" w:hAnsi="黑体" w:eastAsia="黑体" w:cs="黑体"/>
          <w:b/>
          <w:bCs/>
          <w:color w:val="000000"/>
          <w:sz w:val="52"/>
          <w:szCs w:val="52"/>
          <w:shd w:val="clear" w:color="auto" w:fill="FFFFFF"/>
        </w:rPr>
      </w:pPr>
      <w:r>
        <w:rPr>
          <w:rFonts w:hint="eastAsia" w:ascii="黑体" w:hAnsi="黑体" w:eastAsia="黑体" w:cs="黑体"/>
          <w:b/>
          <w:bCs/>
          <w:color w:val="000000"/>
          <w:sz w:val="52"/>
          <w:szCs w:val="52"/>
          <w:shd w:val="clear" w:color="auto" w:fill="FFFFFF"/>
        </w:rPr>
        <w:t>邵阳市北塔区信访局</w:t>
      </w:r>
    </w:p>
    <w:p>
      <w:pPr>
        <w:pStyle w:val="7"/>
        <w:widowControl/>
        <w:shd w:val="clear" w:color="auto" w:fill="FFFFFF"/>
        <w:snapToGrid w:val="0"/>
        <w:spacing w:beforeAutospacing="0" w:afterAutospacing="0" w:line="520" w:lineRule="exact"/>
        <w:jc w:val="center"/>
        <w:rPr>
          <w:rFonts w:ascii="黑体" w:hAnsi="黑体" w:eastAsia="黑体" w:cs="黑体"/>
          <w:b/>
          <w:bCs/>
          <w:color w:val="000000"/>
          <w:sz w:val="52"/>
          <w:szCs w:val="52"/>
        </w:rPr>
      </w:pPr>
      <w:r>
        <w:rPr>
          <w:rFonts w:hint="eastAsia" w:ascii="黑体" w:hAnsi="黑体" w:eastAsia="黑体" w:cs="黑体"/>
          <w:b/>
          <w:bCs/>
          <w:color w:val="000000"/>
          <w:sz w:val="52"/>
          <w:szCs w:val="52"/>
          <w:shd w:val="clear" w:color="auto" w:fill="FFFFFF"/>
        </w:rPr>
        <w:t>部门整体支出绩效自评报告</w:t>
      </w:r>
    </w:p>
    <w:p>
      <w:pPr>
        <w:pStyle w:val="7"/>
        <w:widowControl/>
        <w:shd w:val="clear" w:color="auto" w:fill="FFFFFF"/>
        <w:snapToGrid w:val="0"/>
        <w:spacing w:beforeAutospacing="0" w:afterAutospacing="0" w:line="560" w:lineRule="exact"/>
        <w:jc w:val="center"/>
        <w:rPr>
          <w:rFonts w:ascii="仿宋_GB2312" w:eastAsia="仿宋_GB2312" w:cs="仿宋_GB2312"/>
          <w:color w:val="000000"/>
        </w:rPr>
      </w:pPr>
    </w:p>
    <w:p>
      <w:pPr>
        <w:pStyle w:val="7"/>
        <w:widowControl/>
        <w:shd w:val="clear" w:color="auto" w:fill="FFFFFF"/>
        <w:snapToGrid w:val="0"/>
        <w:spacing w:beforeAutospacing="0" w:afterAutospacing="0" w:line="560" w:lineRule="exact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一、部门、单位基本情况</w:t>
      </w:r>
    </w:p>
    <w:p>
      <w:pPr>
        <w:pStyle w:val="7"/>
        <w:widowControl/>
        <w:shd w:val="clear" w:color="auto" w:fill="FFFFFF"/>
        <w:snapToGrid w:val="0"/>
        <w:spacing w:beforeAutospacing="0" w:afterAutospacing="0" w:line="560" w:lineRule="exact"/>
        <w:rPr>
          <w:rFonts w:ascii="楷体_GB2312" w:eastAsia="楷体_GB2312" w:cs="楷体_GB2312"/>
          <w:color w:val="000000"/>
          <w:sz w:val="32"/>
          <w:szCs w:val="32"/>
          <w:shd w:val="clear" w:color="auto" w:fill="FFFFFF"/>
        </w:rPr>
      </w:pPr>
      <w:r>
        <w:rPr>
          <w:rFonts w:ascii="楷体_GB2312" w:eastAsia="楷体_GB2312" w:cs="楷体_GB2312"/>
          <w:color w:val="000000"/>
          <w:sz w:val="32"/>
          <w:szCs w:val="32"/>
          <w:shd w:val="clear" w:color="auto" w:fill="FFFFFF"/>
        </w:rPr>
        <w:t>（一）机构设置情况</w:t>
      </w:r>
    </w:p>
    <w:p>
      <w:pPr>
        <w:spacing w:line="560" w:lineRule="exact"/>
        <w:ind w:firstLine="640" w:firstLineChars="200"/>
        <w:jc w:val="left"/>
        <w:rPr>
          <w:rFonts w:asci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邵阳市北塔区信访局，内设3股1室（办公室、复查复核股、网信办信股、督查股）,下设区接待办理中心和区驻长维稳劝返工作站两个二级机构，均为事业单位。</w:t>
      </w:r>
    </w:p>
    <w:p>
      <w:pPr>
        <w:pStyle w:val="7"/>
        <w:widowControl/>
        <w:numPr>
          <w:ilvl w:val="0"/>
          <w:numId w:val="1"/>
        </w:numPr>
        <w:shd w:val="clear" w:color="auto" w:fill="FFFFFF"/>
        <w:snapToGrid w:val="0"/>
        <w:spacing w:beforeAutospacing="0" w:afterAutospacing="0" w:line="560" w:lineRule="exact"/>
        <w:rPr>
          <w:rFonts w:ascii="楷体_GB2312" w:eastAsia="楷体_GB2312" w:cs="楷体_GB2312"/>
          <w:color w:val="000000"/>
          <w:sz w:val="32"/>
          <w:szCs w:val="32"/>
          <w:shd w:val="clear" w:color="auto" w:fill="FFFFFF"/>
        </w:rPr>
      </w:pPr>
      <w:r>
        <w:rPr>
          <w:rFonts w:ascii="楷体_GB2312" w:eastAsia="楷体_GB2312" w:cs="楷体_GB2312"/>
          <w:color w:val="000000"/>
          <w:sz w:val="32"/>
          <w:szCs w:val="32"/>
          <w:shd w:val="clear" w:color="auto" w:fill="FFFFFF"/>
        </w:rPr>
        <w:t>人员编制情况</w:t>
      </w:r>
    </w:p>
    <w:p>
      <w:pPr>
        <w:pStyle w:val="7"/>
        <w:widowControl/>
        <w:shd w:val="clear" w:color="auto" w:fill="FFFFFF"/>
        <w:snapToGrid w:val="0"/>
        <w:spacing w:beforeAutospacing="0" w:afterAutospacing="0" w:line="560" w:lineRule="exact"/>
        <w:ind w:firstLine="640" w:firstLineChars="200"/>
        <w:rPr>
          <w:rFonts w:asci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FFFFFF"/>
        </w:rPr>
        <w:t>邵阳市北塔区信访局编制人数8人，实际人数8人，</w:t>
      </w:r>
      <w:r>
        <w:rPr>
          <w:rFonts w:hint="eastAsia" w:ascii="仿宋_GB2312" w:eastAsia="仿宋_GB2312" w:cs="仿宋_GB2312"/>
          <w:sz w:val="32"/>
          <w:szCs w:val="32"/>
          <w:shd w:val="clear" w:color="auto" w:fill="FFFFFF"/>
        </w:rPr>
        <w:t>无退休人员 。</w:t>
      </w:r>
    </w:p>
    <w:p>
      <w:pPr>
        <w:pStyle w:val="7"/>
        <w:widowControl/>
        <w:numPr>
          <w:ilvl w:val="0"/>
          <w:numId w:val="1"/>
        </w:numPr>
        <w:shd w:val="clear" w:color="auto" w:fill="FFFFFF"/>
        <w:snapToGrid w:val="0"/>
        <w:spacing w:beforeAutospacing="0" w:afterAutospacing="0" w:line="560" w:lineRule="exact"/>
        <w:rPr>
          <w:rFonts w:ascii="楷体_GB2312" w:eastAsia="楷体_GB2312" w:cs="楷体_GB2312"/>
          <w:color w:val="000000"/>
          <w:sz w:val="32"/>
          <w:szCs w:val="32"/>
          <w:shd w:val="clear" w:color="auto" w:fill="FFFFFF"/>
        </w:rPr>
      </w:pPr>
      <w:r>
        <w:rPr>
          <w:rFonts w:ascii="楷体_GB2312" w:eastAsia="楷体_GB2312" w:cs="楷体_GB2312"/>
          <w:color w:val="000000"/>
          <w:sz w:val="32"/>
          <w:szCs w:val="32"/>
          <w:shd w:val="clear" w:color="auto" w:fill="FFFFFF"/>
        </w:rPr>
        <w:t>主要职能职责</w:t>
      </w:r>
    </w:p>
    <w:p>
      <w:pPr>
        <w:widowControl/>
        <w:shd w:val="clear" w:color="auto" w:fill="FFFFFF"/>
        <w:spacing w:after="2" w:line="480" w:lineRule="atLeast"/>
        <w:ind w:firstLine="480"/>
        <w:jc w:val="left"/>
        <w:rPr>
          <w:rFonts w:asci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1、贯彻执行中央和省、市有关信访工作的方针、政策、指示、拟定本区的信访工作规定和制度。 </w:t>
      </w:r>
    </w:p>
    <w:p>
      <w:pPr>
        <w:widowControl/>
        <w:shd w:val="clear" w:color="auto" w:fill="FFFFFF"/>
        <w:spacing w:after="2" w:line="480" w:lineRule="atLeast"/>
        <w:ind w:firstLine="480"/>
        <w:jc w:val="left"/>
        <w:rPr>
          <w:rFonts w:asci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2、负责处理上级交办和区委、区政府领导批办的信访案件。</w:t>
      </w:r>
    </w:p>
    <w:p>
      <w:pPr>
        <w:widowControl/>
        <w:shd w:val="clear" w:color="auto" w:fill="FFFFFF"/>
        <w:spacing w:after="2" w:line="480" w:lineRule="atLeast"/>
        <w:ind w:firstLine="480"/>
        <w:jc w:val="left"/>
        <w:rPr>
          <w:rFonts w:asci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3、负责接待和处理人民群众来信来访，积极与有关部门协商解决政策范围内的信访问题。</w:t>
      </w:r>
    </w:p>
    <w:p>
      <w:pPr>
        <w:widowControl/>
        <w:shd w:val="clear" w:color="auto" w:fill="FFFFFF"/>
        <w:spacing w:after="2" w:line="480" w:lineRule="atLeast"/>
        <w:ind w:firstLine="480"/>
        <w:jc w:val="left"/>
        <w:rPr>
          <w:rFonts w:asci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4、搞好信访预测，及时掌握群众集体上访苗头，耐心劝阻集体上访；做好信访老户的稳定工作。</w:t>
      </w:r>
    </w:p>
    <w:p>
      <w:pPr>
        <w:widowControl/>
        <w:shd w:val="clear" w:color="auto" w:fill="FFFFFF"/>
        <w:spacing w:after="2" w:line="480" w:lineRule="atLeast"/>
        <w:ind w:firstLine="480"/>
        <w:jc w:val="left"/>
        <w:rPr>
          <w:rFonts w:asci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5、收集、筛选信访信息，及时报送区委、区政府领导，为领导决策当参谋。</w:t>
      </w:r>
    </w:p>
    <w:p>
      <w:pPr>
        <w:widowControl/>
        <w:shd w:val="clear" w:color="auto" w:fill="FFFFFF"/>
        <w:spacing w:after="2" w:line="480" w:lineRule="atLeast"/>
        <w:ind w:firstLine="480"/>
        <w:jc w:val="left"/>
        <w:rPr>
          <w:rFonts w:asci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6、检查、督促、指导全区的信访工作，发现问题，解决问题，组织交流信访工作经验。</w:t>
      </w:r>
    </w:p>
    <w:p>
      <w:pPr>
        <w:widowControl/>
        <w:shd w:val="clear" w:color="auto" w:fill="FFFFFF"/>
        <w:spacing w:after="2" w:line="480" w:lineRule="atLeast"/>
        <w:ind w:firstLine="480"/>
        <w:jc w:val="left"/>
        <w:rPr>
          <w:rFonts w:asci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</w:rPr>
        <w:t>7、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定期综合研究人民群众来信来访反映的情况和问题，及时向有关领导和有关部门反映，并提出解决问题的建议。</w:t>
      </w:r>
    </w:p>
    <w:p>
      <w:pPr>
        <w:widowControl/>
        <w:shd w:val="clear" w:color="auto" w:fill="FFFFFF"/>
        <w:spacing w:after="2" w:line="480" w:lineRule="atLeast"/>
        <w:ind w:firstLine="480"/>
        <w:jc w:val="left"/>
        <w:rPr>
          <w:rFonts w:asci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8、完成区委、区政府和上级交办的其他事项。</w:t>
      </w:r>
    </w:p>
    <w:p>
      <w:pPr>
        <w:pStyle w:val="7"/>
        <w:widowControl/>
        <w:shd w:val="clear" w:color="auto" w:fill="FFFFFF"/>
        <w:snapToGrid w:val="0"/>
        <w:spacing w:beforeAutospacing="0" w:afterAutospacing="0" w:line="560" w:lineRule="exact"/>
        <w:rPr>
          <w:rFonts w:ascii="楷体_GB2312" w:eastAsia="楷体_GB2312" w:cs="楷体_GB2312"/>
          <w:color w:val="000000"/>
          <w:sz w:val="32"/>
          <w:szCs w:val="32"/>
          <w:shd w:val="clear" w:color="auto" w:fill="FFFFFF"/>
        </w:rPr>
      </w:pPr>
      <w:r>
        <w:rPr>
          <w:rFonts w:ascii="楷体_GB2312" w:eastAsia="楷体_GB2312" w:cs="楷体_GB2312"/>
          <w:color w:val="000000"/>
          <w:sz w:val="32"/>
          <w:szCs w:val="32"/>
          <w:shd w:val="clear" w:color="auto" w:fill="FFFFFF"/>
        </w:rPr>
        <w:t>（四）绩效目标设定情况</w:t>
      </w:r>
    </w:p>
    <w:p>
      <w:pPr>
        <w:pStyle w:val="8"/>
        <w:ind w:firstLine="640"/>
        <w:rPr>
          <w:rFonts w:ascii="仿宋_GB2312" w:eastAsia="仿宋_GB2312" w:cs="仿宋_GB2312"/>
          <w:color w:val="000000"/>
          <w:kern w:val="0"/>
          <w:szCs w:val="32"/>
          <w:shd w:val="clear" w:color="auto" w:fill="FFFFFF"/>
        </w:rPr>
      </w:pPr>
      <w:r>
        <w:rPr>
          <w:rFonts w:hint="eastAsia" w:ascii="仿宋_GB2312" w:eastAsia="仿宋_GB2312" w:cs="仿宋_GB2312"/>
          <w:color w:val="000000"/>
          <w:kern w:val="0"/>
          <w:szCs w:val="32"/>
          <w:shd w:val="clear" w:color="auto" w:fill="FFFFFF"/>
        </w:rPr>
        <w:t>本部门高度重视绩效目标设定工作，北塔区信访工作得到了明显好转，特别是“强街道、村为主”基层治理“十无”工作法，将“无非访”工作列为重中之重，突出信访源头治理，夯实基层基础，攻坚化解信访积案，形成了领导重视、部门联动，各方配合、上下协调的工作格局，倾力化解了一批疑难信访事项和历史遗留积案,全区信访总量、越级访量明显下降，群众满意率不断上升，信访秩序得到明显好转，成功创建全省信访工作示范区。</w:t>
      </w:r>
    </w:p>
    <w:p>
      <w:pPr>
        <w:snapToGrid w:val="0"/>
        <w:spacing w:line="560" w:lineRule="exact"/>
        <w:rPr>
          <w:rFonts w:ascii="黑体" w:hAnsi="黑体" w:eastAsia="黑体" w:cs="黑体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</w:rPr>
        <w:t>二、部门整体支出管理及使用情况</w:t>
      </w:r>
    </w:p>
    <w:p>
      <w:pPr>
        <w:pStyle w:val="7"/>
        <w:widowControl/>
        <w:shd w:val="clear" w:color="auto" w:fill="FFFFFF"/>
        <w:snapToGrid w:val="0"/>
        <w:spacing w:beforeAutospacing="0" w:afterAutospacing="0" w:line="560" w:lineRule="exact"/>
        <w:rPr>
          <w:rFonts w:ascii="楷体_GB2312" w:eastAsia="楷体_GB2312" w:cs="楷体_GB2312"/>
          <w:color w:val="000000"/>
          <w:sz w:val="32"/>
          <w:szCs w:val="32"/>
          <w:shd w:val="clear" w:color="auto" w:fill="FFFFFF"/>
        </w:rPr>
      </w:pPr>
      <w:r>
        <w:rPr>
          <w:rFonts w:ascii="楷体_GB2312" w:eastAsia="楷体_GB2312" w:cs="楷体_GB2312"/>
          <w:color w:val="000000"/>
          <w:sz w:val="32"/>
          <w:szCs w:val="32"/>
          <w:shd w:val="clear" w:color="auto" w:fill="FFFFFF"/>
        </w:rPr>
        <w:t>（一）</w:t>
      </w:r>
      <w:r>
        <w:rPr>
          <w:rFonts w:hint="eastAsia" w:ascii="楷体_GB2312" w:eastAsia="楷体_GB2312" w:cs="楷体_GB2312"/>
          <w:color w:val="000000"/>
          <w:sz w:val="32"/>
          <w:szCs w:val="32"/>
          <w:shd w:val="clear" w:color="auto" w:fill="FFFFFF"/>
        </w:rPr>
        <w:t>预算执行、使用、管理总体情况。</w:t>
      </w:r>
    </w:p>
    <w:p>
      <w:pPr>
        <w:spacing w:after="2" w:line="560" w:lineRule="exact"/>
        <w:ind w:firstLine="630"/>
        <w:rPr>
          <w:rFonts w:ascii="楷体_GB2312" w:eastAsia="楷体_GB2312" w:cs="楷体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2023年度区信访局财政预算拨款收入为570.79万元，年初预算数为233.09万元；2023年度实际支出570.79万元（基本支出570.79万元、项目支出0万元），其中一般公共服务支出488.57万元、社会保障和就业支出11.79万元、卫生健康支出9.01万元、交通运输支出47.83万元、住房保障支出10.59万元、其他支出3万元。</w:t>
      </w:r>
    </w:p>
    <w:p>
      <w:pPr>
        <w:pStyle w:val="7"/>
        <w:widowControl/>
        <w:shd w:val="clear" w:color="auto" w:fill="FFFFFF"/>
        <w:snapToGrid w:val="0"/>
        <w:spacing w:beforeAutospacing="0" w:afterAutospacing="0" w:line="560" w:lineRule="exact"/>
        <w:rPr>
          <w:rFonts w:ascii="楷体_GB2312" w:eastAsia="楷体_GB2312" w:cs="楷体_GB2312"/>
          <w:color w:val="000000"/>
          <w:sz w:val="32"/>
          <w:szCs w:val="32"/>
        </w:rPr>
      </w:pPr>
      <w:r>
        <w:rPr>
          <w:rFonts w:ascii="楷体_GB2312" w:eastAsia="楷体_GB2312" w:cs="楷体_GB2312"/>
          <w:color w:val="000000"/>
          <w:sz w:val="32"/>
          <w:szCs w:val="32"/>
          <w:shd w:val="clear" w:color="auto" w:fill="FFFFFF"/>
        </w:rPr>
        <w:t>（二）部门预算执行情况</w:t>
      </w:r>
    </w:p>
    <w:p>
      <w:pPr>
        <w:pStyle w:val="7"/>
        <w:widowControl/>
        <w:shd w:val="clear" w:color="auto" w:fill="FFFFFF"/>
        <w:snapToGrid w:val="0"/>
        <w:spacing w:beforeAutospacing="0" w:afterAutospacing="0" w:line="560" w:lineRule="exact"/>
        <w:ind w:left="640"/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  <w:t>1.基本支出情况</w:t>
      </w:r>
    </w:p>
    <w:p>
      <w:pPr>
        <w:spacing w:after="2" w:line="560" w:lineRule="exact"/>
        <w:ind w:firstLine="630"/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2023年度区信访局基本支出年初预算安排为233.09万元，本年实际支出为570.79万元，主要为人员经费支出和公用经费支出，其中人员经费支出171.42万元、公用经费支出399.38万元。</w:t>
      </w:r>
    </w:p>
    <w:p>
      <w:pPr>
        <w:pStyle w:val="7"/>
        <w:widowControl/>
        <w:shd w:val="clear" w:color="auto" w:fill="FFFFFF"/>
        <w:snapToGrid w:val="0"/>
        <w:spacing w:beforeAutospacing="0" w:afterAutospacing="0" w:line="560" w:lineRule="exact"/>
        <w:ind w:left="640"/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FFFFFF"/>
        </w:rPr>
        <w:t>2.</w:t>
      </w:r>
      <w:r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  <w:t>项目支出情况</w:t>
      </w:r>
    </w:p>
    <w:p>
      <w:pPr>
        <w:pStyle w:val="7"/>
        <w:widowControl/>
        <w:spacing w:before="240" w:beforeAutospacing="0" w:afterAutospacing="0" w:line="560" w:lineRule="exact"/>
        <w:ind w:firstLine="640" w:firstLineChars="200"/>
        <w:jc w:val="both"/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FFFFFF"/>
        </w:rPr>
        <w:t>本年项目支出年初预算安排为97元，本年实际支出为0万元，无项目支出。</w:t>
      </w:r>
    </w:p>
    <w:p>
      <w:pPr>
        <w:pStyle w:val="7"/>
        <w:widowControl/>
        <w:shd w:val="clear" w:color="auto" w:fill="FFFFFF"/>
        <w:snapToGrid w:val="0"/>
        <w:spacing w:beforeAutospacing="0" w:afterAutospacing="0" w:line="560" w:lineRule="exact"/>
        <w:rPr>
          <w:rFonts w:ascii="楷体_GB2312" w:eastAsia="楷体_GB2312" w:cs="楷体_GB2312"/>
          <w:color w:val="000000"/>
          <w:sz w:val="32"/>
          <w:szCs w:val="32"/>
          <w:shd w:val="clear" w:color="auto" w:fill="FFFFFF"/>
        </w:rPr>
      </w:pPr>
      <w:r>
        <w:rPr>
          <w:rFonts w:hint="eastAsia" w:ascii="楷体_GB2312" w:eastAsia="楷体_GB2312" w:cs="楷体_GB2312"/>
          <w:color w:val="000000"/>
          <w:sz w:val="32"/>
          <w:szCs w:val="32"/>
          <w:shd w:val="clear" w:color="auto" w:fill="FFFFFF"/>
        </w:rPr>
        <w:t>（三）</w:t>
      </w:r>
      <w:r>
        <w:rPr>
          <w:rFonts w:ascii="楷体_GB2312" w:eastAsia="楷体_GB2312" w:cs="楷体_GB2312"/>
          <w:color w:val="000000"/>
          <w:sz w:val="32"/>
          <w:szCs w:val="32"/>
          <w:shd w:val="clear" w:color="auto" w:fill="FFFFFF"/>
        </w:rPr>
        <w:t>"三公"经费使用和管理情况</w:t>
      </w:r>
    </w:p>
    <w:p>
      <w:pPr>
        <w:pStyle w:val="7"/>
        <w:widowControl/>
        <w:shd w:val="clear" w:color="auto" w:fill="FFFFFF"/>
        <w:snapToGrid w:val="0"/>
        <w:spacing w:beforeAutospacing="0" w:afterAutospacing="0" w:line="560" w:lineRule="exact"/>
        <w:ind w:firstLine="640" w:firstLineChars="200"/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FFFFFF"/>
        </w:rPr>
        <w:t>2023年我局厉行节约，缩节开支，“三公”经费预算数为0万元，决算数为0万元，其中公务用车购置及运行维护费预算数为0万元，决算数0万元，公务接待费预算数0万元，决算数0万元。</w:t>
      </w:r>
    </w:p>
    <w:p>
      <w:pPr>
        <w:pStyle w:val="7"/>
        <w:widowControl/>
        <w:numPr>
          <w:ilvl w:val="0"/>
          <w:numId w:val="2"/>
        </w:numPr>
        <w:shd w:val="clear" w:color="auto" w:fill="FFFFFF"/>
        <w:snapToGrid w:val="0"/>
        <w:spacing w:beforeAutospacing="0" w:afterAutospacing="0" w:line="560" w:lineRule="exact"/>
        <w:rPr>
          <w:rFonts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政府性基金预算支出情况</w:t>
      </w:r>
    </w:p>
    <w:p>
      <w:pPr>
        <w:pStyle w:val="7"/>
        <w:widowControl/>
        <w:shd w:val="clear" w:color="auto" w:fill="FFFFFF"/>
        <w:snapToGrid w:val="0"/>
        <w:spacing w:beforeAutospacing="0" w:afterAutospacing="0" w:line="560" w:lineRule="exact"/>
        <w:ind w:firstLine="320" w:firstLineChars="100"/>
        <w:rPr>
          <w:rFonts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　2023年，本单位无政府性基金预算支出。</w:t>
      </w:r>
    </w:p>
    <w:p>
      <w:pPr>
        <w:pStyle w:val="7"/>
        <w:widowControl/>
        <w:numPr>
          <w:ilvl w:val="0"/>
          <w:numId w:val="2"/>
        </w:numPr>
        <w:shd w:val="clear" w:color="auto" w:fill="FFFFFF"/>
        <w:snapToGrid w:val="0"/>
        <w:spacing w:beforeAutospacing="0" w:afterAutospacing="0" w:line="560" w:lineRule="exact"/>
        <w:rPr>
          <w:rFonts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国有资本经营预算支出情况</w:t>
      </w:r>
    </w:p>
    <w:p>
      <w:pPr>
        <w:pStyle w:val="7"/>
        <w:widowControl/>
        <w:shd w:val="clear" w:color="auto" w:fill="FFFFFF"/>
        <w:snapToGrid w:val="0"/>
        <w:spacing w:beforeAutospacing="0" w:afterAutospacing="0" w:line="560" w:lineRule="exact"/>
        <w:ind w:firstLine="640" w:firstLineChars="200"/>
        <w:rPr>
          <w:rFonts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2023年，本单位无国有资本经营预算支出。</w:t>
      </w:r>
    </w:p>
    <w:p>
      <w:pPr>
        <w:pStyle w:val="7"/>
        <w:widowControl/>
        <w:numPr>
          <w:ilvl w:val="0"/>
          <w:numId w:val="2"/>
        </w:numPr>
        <w:shd w:val="clear" w:color="auto" w:fill="FFFFFF"/>
        <w:snapToGrid w:val="0"/>
        <w:spacing w:beforeAutospacing="0" w:afterAutospacing="0" w:line="560" w:lineRule="exact"/>
        <w:rPr>
          <w:rFonts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社会保险基金预算支出情况</w:t>
      </w:r>
    </w:p>
    <w:p>
      <w:pPr>
        <w:pStyle w:val="7"/>
        <w:widowControl/>
        <w:shd w:val="clear" w:color="auto" w:fill="FFFFFF"/>
        <w:snapToGrid w:val="0"/>
        <w:spacing w:beforeAutospacing="0" w:afterAutospacing="0" w:line="560" w:lineRule="exact"/>
        <w:ind w:firstLine="640" w:firstLineChars="200"/>
        <w:rPr>
          <w:rFonts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2023年，本单位无社会保险基金预算支出。</w:t>
      </w:r>
    </w:p>
    <w:p>
      <w:pPr>
        <w:pStyle w:val="7"/>
        <w:widowControl/>
        <w:shd w:val="clear" w:color="auto" w:fill="FFFFFF"/>
        <w:snapToGrid w:val="0"/>
        <w:spacing w:beforeAutospacing="0" w:afterAutospacing="0" w:line="560" w:lineRule="exact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六、部门整体支出绩效情况</w:t>
      </w:r>
    </w:p>
    <w:p>
      <w:pPr>
        <w:pStyle w:val="7"/>
        <w:widowControl/>
        <w:shd w:val="clear" w:color="auto" w:fill="FFFFFF"/>
        <w:snapToGrid w:val="0"/>
        <w:spacing w:beforeAutospacing="0" w:afterAutospacing="0" w:line="560" w:lineRule="exact"/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楷体_GB2312" w:eastAsia="楷体_GB2312" w:cs="楷体_GB2312"/>
          <w:color w:val="000000"/>
          <w:sz w:val="32"/>
          <w:szCs w:val="32"/>
          <w:shd w:val="clear" w:color="auto" w:fill="FFFFFF"/>
        </w:rPr>
        <w:t>（一）综合评价结论。</w:t>
      </w:r>
    </w:p>
    <w:p>
      <w:pPr>
        <w:pStyle w:val="8"/>
        <w:ind w:firstLine="640"/>
        <w:rPr>
          <w:rFonts w:ascii="仿宋_GB2312" w:eastAsia="仿宋_GB2312" w:cs="仿宋_GB2312"/>
          <w:color w:val="000000"/>
          <w:kern w:val="0"/>
          <w:szCs w:val="32"/>
          <w:shd w:val="clear" w:color="auto" w:fill="FFFFFF"/>
        </w:rPr>
      </w:pPr>
      <w:r>
        <w:rPr>
          <w:rFonts w:hint="eastAsia" w:ascii="仿宋_GB2312" w:eastAsia="仿宋_GB2312" w:cs="仿宋_GB2312"/>
          <w:color w:val="000000"/>
          <w:kern w:val="0"/>
          <w:szCs w:val="32"/>
          <w:shd w:val="clear" w:color="auto" w:fill="FFFFFF"/>
        </w:rPr>
        <w:t>2023年，我单位整体预算绩效支出年度总体目标基本完成，</w:t>
      </w:r>
      <w:r>
        <w:rPr>
          <w:rFonts w:hint="eastAsia" w:ascii="仿宋_GB2312" w:hAnsi="仿宋_GB2312" w:eastAsia="仿宋_GB2312" w:cs="仿宋_GB2312"/>
          <w:szCs w:val="32"/>
        </w:rPr>
        <w:t>全区信访工作整体向好，全国、全省、全市</w:t>
      </w:r>
      <w:r>
        <w:rPr>
          <w:rFonts w:hint="eastAsia" w:ascii="仿宋_GB2312" w:hAnsi="仿宋_GB2312" w:eastAsia="仿宋_GB2312" w:cs="仿宋_GB2312"/>
          <w:szCs w:val="32"/>
          <w:lang w:eastAsia="zh-CN"/>
        </w:rPr>
        <w:t>两会</w:t>
      </w:r>
      <w:r>
        <w:rPr>
          <w:rFonts w:hint="eastAsia" w:ascii="仿宋_GB2312" w:hAnsi="仿宋_GB2312" w:eastAsia="仿宋_GB2312" w:cs="仿宋_GB2312"/>
          <w:szCs w:val="32"/>
        </w:rPr>
        <w:t>、亚运会等重大活动、会议期间，信访维稳工作均取得了“零进京、零非访、零登记、零滞留、零滋事”的良好成效，圆满实现了省、市、区确定的工作目标。</w:t>
      </w:r>
      <w:r>
        <w:rPr>
          <w:rFonts w:hint="eastAsia" w:ascii="仿宋_GB2312" w:eastAsia="仿宋_GB2312" w:cs="仿宋_GB2312"/>
          <w:color w:val="000000"/>
          <w:kern w:val="0"/>
          <w:szCs w:val="32"/>
          <w:shd w:val="clear" w:color="auto" w:fill="FFFFFF"/>
        </w:rPr>
        <w:t>并充分履行职责职能，严格执行各项管理制度，经费开支严格按预算执行，管理制度健全，会计基础规范，资金使用符合国家财经法规和财务管理制度规定。严格实行收支两条线，无截留、挤占、挪用、虚列支出、随意借用、大额现金支付等情况，重大财务事项经由集体研究决策。按要求执行政府采购，严控支出，开源节流，一般性支出和“三公经费”均按要求压减，预决算信息公开及时完善。资产管理安全，固定资产利用率、重点工作完成率等均达到或超过年初计划数，经济、社会等效益显著、社会公众满意度上升。2023年度部门整体支出绩效自评分数为93分，绩效评价等次为“优秀”。</w:t>
      </w:r>
    </w:p>
    <w:p>
      <w:pPr>
        <w:pStyle w:val="7"/>
        <w:widowControl/>
        <w:numPr>
          <w:ilvl w:val="0"/>
          <w:numId w:val="3"/>
        </w:numPr>
        <w:shd w:val="clear" w:color="auto" w:fill="FFFFFF"/>
        <w:snapToGrid w:val="0"/>
        <w:spacing w:beforeAutospacing="0" w:afterAutospacing="0" w:line="560" w:lineRule="exact"/>
        <w:rPr>
          <w:rFonts w:ascii="楷体_GB2312" w:eastAsia="楷体_GB2312" w:cs="楷体_GB2312"/>
          <w:color w:val="000000"/>
          <w:sz w:val="32"/>
          <w:szCs w:val="32"/>
          <w:shd w:val="clear" w:color="auto" w:fill="FFFFFF"/>
        </w:rPr>
      </w:pPr>
      <w:r>
        <w:rPr>
          <w:rFonts w:ascii="楷体_GB2312" w:eastAsia="楷体_GB2312" w:cs="楷体_GB2312"/>
          <w:color w:val="000000"/>
          <w:sz w:val="32"/>
          <w:szCs w:val="32"/>
          <w:shd w:val="clear" w:color="auto" w:fill="FFFFFF"/>
        </w:rPr>
        <w:t>评价指标分析（或综合评价情况）。</w:t>
      </w:r>
    </w:p>
    <w:p>
      <w:pPr>
        <w:pStyle w:val="7"/>
        <w:widowControl/>
        <w:shd w:val="clear" w:color="auto" w:fill="FFFFFF"/>
        <w:snapToGrid w:val="0"/>
        <w:spacing w:beforeAutospacing="0" w:afterAutospacing="0" w:line="520" w:lineRule="exact"/>
        <w:ind w:firstLine="642" w:firstLineChars="200"/>
        <w:rPr>
          <w:rFonts w:ascii="仿宋" w:hAnsi="仿宋" w:eastAsia="仿宋" w:cs="仿宋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shd w:val="clear" w:color="auto" w:fill="FFFFFF"/>
        </w:rPr>
        <w:t>1.对履职效能主要指标的完成情况进行具体分析</w:t>
      </w:r>
    </w:p>
    <w:p>
      <w:pPr>
        <w:pStyle w:val="7"/>
        <w:widowControl/>
        <w:shd w:val="clear" w:color="auto" w:fill="FFFFFF"/>
        <w:snapToGrid w:val="0"/>
        <w:spacing w:beforeAutospacing="0" w:afterAutospacing="0" w:line="520" w:lineRule="exact"/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　　我局绩效目标实施按财政批复的预算绩效目标实施方案进行，本着“少花钱、多办事、办好事”的原则，支出资金没有超过批复预算和年终财政追加指标总概算。</w:t>
      </w:r>
    </w:p>
    <w:p>
      <w:pPr>
        <w:pStyle w:val="7"/>
        <w:widowControl/>
        <w:shd w:val="clear" w:color="auto" w:fill="FFFFFF"/>
        <w:snapToGrid w:val="0"/>
        <w:spacing w:beforeAutospacing="0" w:afterAutospacing="0" w:line="520" w:lineRule="exact"/>
        <w:rPr>
          <w:rFonts w:ascii="仿宋" w:hAnsi="仿宋" w:eastAsia="仿宋" w:cs="仿宋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　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shd w:val="clear" w:color="auto" w:fill="FFFFFF"/>
        </w:rPr>
        <w:t>　2.对管理效率主要指标的完成情况进行具体分析</w:t>
      </w:r>
    </w:p>
    <w:p>
      <w:pPr>
        <w:pStyle w:val="7"/>
        <w:widowControl/>
        <w:shd w:val="clear" w:color="auto" w:fill="FFFFFF"/>
        <w:snapToGrid w:val="0"/>
        <w:spacing w:beforeAutospacing="0" w:afterAutospacing="0" w:line="52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本绩效目标开始时间为2023年1月1日，完成时间2023年12月31日。我局积极及时组织实施各项行政管理事务，当年按质、按量完成了各项目标任务和绩效目标支出资金。专项资金按照规范程序提请申请、分配、管理和使用，建立了专项资金内部监督制约制衡机制，坚持专款专用，强化专项资金使用项目使用专项资金，加强专项资金使用过程的控制和追踪问效，进一步推进专项资金申请和使用中的监管。</w:t>
      </w:r>
    </w:p>
    <w:p>
      <w:pPr>
        <w:pStyle w:val="7"/>
        <w:widowControl/>
        <w:numPr>
          <w:ilvl w:val="0"/>
          <w:numId w:val="4"/>
        </w:numPr>
        <w:shd w:val="clear" w:color="auto" w:fill="FFFFFF"/>
        <w:snapToGrid w:val="0"/>
        <w:spacing w:beforeAutospacing="0" w:afterAutospacing="0" w:line="520" w:lineRule="exact"/>
        <w:ind w:firstLine="642" w:firstLineChars="200"/>
        <w:rPr>
          <w:rFonts w:ascii="仿宋" w:hAnsi="仿宋" w:eastAsia="仿宋" w:cs="仿宋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shd w:val="clear" w:color="auto" w:fill="FFFFFF"/>
        </w:rPr>
        <w:t>对履职效益主要指标的完成情况进行具体分析</w:t>
      </w:r>
    </w:p>
    <w:p>
      <w:pPr>
        <w:pStyle w:val="3"/>
        <w:numPr>
          <w:ilvl w:val="0"/>
          <w:numId w:val="5"/>
        </w:numPr>
        <w:spacing w:line="600" w:lineRule="exact"/>
        <w:ind w:firstLine="640"/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深入推进治理重复信访、化解信访积案工作。对中央、省、市交办的信访积案，全面落实区级和镇（街道）领导包案责任制，要求包案领导做到对案情真了解、对当事人诉求真掌握、对当事人做到真见面、处置化解有真招、当事人对处置反馈结果真满意，实现事、心双解。今年以来严格落实领导干部包案化解制度，区信访联席会议办公室对所梳理的26个个访，12个集访，严格落实区级领导包案化解，并延伸到各责任单位，逐一落实“五包一”责任制，一级一级跟踪督办，一项一项抓好落实，做到“措施明、责任实”，截至当前，已化解13件。</w:t>
      </w:r>
    </w:p>
    <w:p>
      <w:pPr>
        <w:pStyle w:val="3"/>
        <w:numPr>
          <w:ilvl w:val="0"/>
          <w:numId w:val="5"/>
        </w:numPr>
        <w:spacing w:line="600" w:lineRule="exact"/>
        <w:ind w:firstLine="640"/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全面践行“浦江经验”，持续推动领导干部坐班接访和带案下访工作常态化。“变群众上访为领导下访，深入基层，联系群众，真下真访民情，实心实意办事”。10月13日，市人大常委会党组书记、主任周迎春到陈家桥镇望城坡村下沉接访；9月28日邵阳市政协副主席、北塔区委书记肖平带队赴田江街道办事处下沉接访；10月12日，北塔区委副书记、区长姚文娟带队赴茶元头街道办事处下沉接访。7月常委副区长屈可馨深入到每个房地产出险项目走访3次，为企业建设协调矛盾解决各类问题。8月常委副区长杨旭东深入山水书院、广厦名都、晨曦印资江项目2次。8月区委副书记杨桂林到滨江首府项目参与业主交流会，接待群众30余人，在介绍项目进展和专班各项工作后，群众高度肯定保交楼工作专班的付出，热烈地为杨书记鼓掌。加大信访积案调处化解力度。</w:t>
      </w:r>
    </w:p>
    <w:p>
      <w:pPr>
        <w:pStyle w:val="3"/>
        <w:spacing w:line="600" w:lineRule="exact"/>
        <w:ind w:firstLine="640"/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（三）充分利用好“一站式”矛调中心，强化矛盾纠纷排查化解。以区级“一站式”矛调中心为依托，指导各镇（街道）、各村（社区）利用好“一站式”矛调中心平台，加大对“一站式”矛调中心宣传力度和网上预约推广，积极引导群众依法信访，努力化解群众身边的矛盾纠纷，防止出现矛盾升级外溢。同时，结合信访问题源头治理三年攻坚行动，每周开展一次矛盾纠纷摸底排查化解工作，并制定摸排台账，切实做好重大、敏感时期的人员稳控工作，防止发生重点人员和重点群体的脱管失控、越级访。及时跟踪发布预警信息，驻京、驻长和各镇（街道）联勤联动，及时做好人接劝返工作。</w:t>
      </w:r>
    </w:p>
    <w:p>
      <w:pPr>
        <w:pStyle w:val="3"/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同时，结合信访问题源头治理三年攻坚行动，每周开展一次矛盾纠纷摸底排查化解工作，并制定摸排台账，切实做好重大、敏感时期的人员稳控工作，防止发生重点人员和重点群体的脱管失控、越级访。及时跟踪发布预警信息，驻京、驻长和各镇（街道）联勤联动，及时做好人接劝返工作。</w:t>
      </w:r>
    </w:p>
    <w:p>
      <w:pPr>
        <w:pStyle w:val="7"/>
        <w:widowControl/>
        <w:shd w:val="clear" w:color="auto" w:fill="FFFFFF"/>
        <w:snapToGrid w:val="0"/>
        <w:spacing w:beforeAutospacing="0" w:afterAutospacing="0" w:line="560" w:lineRule="exact"/>
        <w:rPr>
          <w:rFonts w:ascii="黑体" w:hAnsi="黑体" w:eastAsia="黑体" w:cs="黑体"/>
          <w:color w:val="000000"/>
          <w:sz w:val="32"/>
          <w:szCs w:val="32"/>
          <w:shd w:val="clear" w:color="auto" w:fill="FFFFFF"/>
        </w:rPr>
      </w:pPr>
    </w:p>
    <w:p>
      <w:pPr>
        <w:pStyle w:val="7"/>
        <w:widowControl/>
        <w:shd w:val="clear" w:color="auto" w:fill="FFFFFF"/>
        <w:snapToGrid w:val="0"/>
        <w:spacing w:beforeAutospacing="0" w:afterAutospacing="0" w:line="560" w:lineRule="exact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七、存在的问题及原因分析</w:t>
      </w:r>
    </w:p>
    <w:p>
      <w:pPr>
        <w:pStyle w:val="7"/>
        <w:widowControl/>
        <w:shd w:val="clear" w:color="auto" w:fill="FFFFFF"/>
        <w:snapToGrid w:val="0"/>
        <w:spacing w:beforeAutospacing="0" w:afterAutospacing="0" w:line="560" w:lineRule="exact"/>
        <w:ind w:firstLine="640" w:firstLineChars="200"/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FFFFFF"/>
        </w:rPr>
        <w:t>1.预算执行进度不够均衡，部分项目支出进度较慢。</w:t>
      </w:r>
    </w:p>
    <w:p>
      <w:pPr>
        <w:pStyle w:val="7"/>
        <w:widowControl/>
        <w:shd w:val="clear" w:color="auto" w:fill="FFFFFF"/>
        <w:snapToGrid w:val="0"/>
        <w:spacing w:beforeAutospacing="0" w:afterAutospacing="0" w:line="560" w:lineRule="exact"/>
        <w:ind w:firstLine="640" w:firstLineChars="200"/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FFFFFF"/>
        </w:rPr>
        <w:t>2.预算绩效管理的指标体系还不够完善，部分指标的可衡量性和可操作性有待提高。</w:t>
      </w:r>
    </w:p>
    <w:p>
      <w:pPr>
        <w:pStyle w:val="7"/>
        <w:widowControl/>
        <w:shd w:val="clear" w:color="auto" w:fill="FFFFFF"/>
        <w:snapToGrid w:val="0"/>
        <w:spacing w:beforeAutospacing="0" w:afterAutospacing="0" w:line="560" w:lineRule="exact"/>
        <w:ind w:firstLine="640" w:firstLineChars="200"/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FFFFFF"/>
        </w:rPr>
        <w:t>3.预算绩效管理的信息化水平还不够高，信息共享和数据分析能力有待加强。</w:t>
      </w:r>
    </w:p>
    <w:p>
      <w:pPr>
        <w:pStyle w:val="7"/>
        <w:widowControl/>
        <w:shd w:val="clear" w:color="auto" w:fill="FFFFFF"/>
        <w:snapToGrid w:val="0"/>
        <w:spacing w:beforeAutospacing="0" w:afterAutospacing="0" w:line="560" w:lineRule="exact"/>
        <w:rPr>
          <w:rFonts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八、下一步改进措施</w:t>
      </w:r>
    </w:p>
    <w:p>
      <w:pPr>
        <w:pStyle w:val="7"/>
        <w:widowControl/>
        <w:shd w:val="clear" w:color="auto" w:fill="FFFFFF"/>
        <w:snapToGrid w:val="0"/>
        <w:spacing w:beforeAutospacing="0" w:afterAutospacing="0" w:line="560" w:lineRule="exact"/>
        <w:ind w:firstLine="640" w:firstLineChars="200"/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FFFFFF"/>
        </w:rPr>
        <w:t>1.加强预算执行的监控和管理，建立健全预算执行进度通报和督促机制，确保预算支出按时完成。</w:t>
      </w:r>
    </w:p>
    <w:p>
      <w:pPr>
        <w:pStyle w:val="7"/>
        <w:widowControl/>
        <w:shd w:val="clear" w:color="auto" w:fill="FFFFFF"/>
        <w:snapToGrid w:val="0"/>
        <w:spacing w:beforeAutospacing="0" w:afterAutospacing="0" w:line="560" w:lineRule="exact"/>
        <w:ind w:firstLine="640" w:firstLineChars="200"/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FFFFFF"/>
        </w:rPr>
        <w:t>2.进一步完善预算绩效管理的指标体系，结合组织工作的实际情况，科学合理地设置指标，提高指标的可衡量性和可操作性。</w:t>
      </w:r>
    </w:p>
    <w:p>
      <w:pPr>
        <w:pStyle w:val="7"/>
        <w:widowControl/>
        <w:shd w:val="clear" w:color="auto" w:fill="FFFFFF"/>
        <w:snapToGrid w:val="0"/>
        <w:spacing w:beforeAutospacing="0" w:afterAutospacing="0" w:line="560" w:lineRule="exact"/>
        <w:ind w:firstLine="640" w:firstLineChars="200"/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FFFFFF"/>
        </w:rPr>
        <w:t>3.加强预算绩效管理的信息化建设，建立预算绩效管理信息系统，实现预算绩效管理的信息化、规范化和科学化。</w:t>
      </w:r>
    </w:p>
    <w:p>
      <w:pPr>
        <w:pStyle w:val="7"/>
        <w:widowControl/>
        <w:shd w:val="clear" w:color="auto" w:fill="FFFFFF"/>
        <w:snapToGrid w:val="0"/>
        <w:spacing w:beforeAutospacing="0" w:afterAutospacing="0" w:line="560" w:lineRule="exact"/>
        <w:rPr>
          <w:rFonts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九、其他需要说明的情况</w:t>
      </w:r>
    </w:p>
    <w:p>
      <w:pPr>
        <w:pStyle w:val="7"/>
        <w:widowControl/>
        <w:shd w:val="clear" w:color="auto" w:fill="FFFFFF"/>
        <w:snapToGrid w:val="0"/>
        <w:spacing w:beforeAutospacing="0" w:afterAutospacing="0" w:line="560" w:lineRule="exact"/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FFFFFF"/>
        </w:rPr>
        <w:t>无其他说明情况</w:t>
      </w:r>
    </w:p>
    <w:p>
      <w:pPr>
        <w:pStyle w:val="7"/>
        <w:widowControl/>
        <w:shd w:val="clear" w:color="auto" w:fill="FFFFFF"/>
        <w:snapToGrid w:val="0"/>
        <w:spacing w:beforeAutospacing="0" w:afterAutospacing="0" w:line="560" w:lineRule="exact"/>
        <w:ind w:firstLine="640" w:firstLineChars="200"/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</w:pPr>
    </w:p>
    <w:p>
      <w:pPr>
        <w:pStyle w:val="7"/>
        <w:widowControl/>
        <w:shd w:val="clear" w:color="auto" w:fill="FFFFFF"/>
        <w:snapToGrid w:val="0"/>
        <w:spacing w:beforeAutospacing="0" w:afterAutospacing="0" w:line="560" w:lineRule="exact"/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  <w:t>附件：</w:t>
      </w:r>
    </w:p>
    <w:p>
      <w:pPr>
        <w:pStyle w:val="7"/>
        <w:widowControl/>
        <w:shd w:val="clear" w:color="auto" w:fill="FFFFFF"/>
        <w:snapToGrid w:val="0"/>
        <w:spacing w:beforeAutospacing="0" w:afterAutospacing="0" w:line="560" w:lineRule="exact"/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FFFFFF"/>
        </w:rPr>
        <w:t>1.</w:t>
      </w:r>
      <w:r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  <w:t>部门整体支出绩效评价基础数据表</w:t>
      </w:r>
    </w:p>
    <w:p>
      <w:pPr>
        <w:pStyle w:val="7"/>
        <w:widowControl/>
        <w:shd w:val="clear" w:color="auto" w:fill="FFFFFF"/>
        <w:snapToGrid w:val="0"/>
        <w:spacing w:beforeAutospacing="0" w:afterAutospacing="0" w:line="560" w:lineRule="exact"/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FFFFFF"/>
        </w:rPr>
        <w:t>2.</w:t>
      </w:r>
      <w:r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  <w:t>部门整体支出绩效自评表</w:t>
      </w:r>
    </w:p>
    <w:p>
      <w:pPr>
        <w:pStyle w:val="7"/>
        <w:widowControl/>
        <w:shd w:val="clear" w:color="auto" w:fill="FFFFFF"/>
        <w:spacing w:beforeAutospacing="0" w:afterAutospacing="0" w:line="480" w:lineRule="atLeast"/>
        <w:jc w:val="both"/>
        <w:rPr>
          <w:rFonts w:ascii="Calibri" w:hAnsi="Calibri" w:cs="Calibri"/>
          <w:color w:val="000000"/>
        </w:rPr>
      </w:pPr>
    </w:p>
    <w:p>
      <w:pPr>
        <w:pStyle w:val="7"/>
        <w:widowControl/>
        <w:shd w:val="clear" w:color="auto" w:fill="FFFFFF"/>
        <w:spacing w:beforeAutospacing="0" w:afterAutospacing="0" w:line="480" w:lineRule="atLeast"/>
        <w:jc w:val="both"/>
        <w:rPr>
          <w:rFonts w:ascii="Calibri" w:hAnsi="Calibri" w:cs="Calibri"/>
          <w:color w:val="000000"/>
        </w:rPr>
      </w:pPr>
    </w:p>
    <w:p>
      <w:pPr>
        <w:pStyle w:val="7"/>
        <w:widowControl/>
        <w:shd w:val="clear" w:color="auto" w:fill="FFFFFF"/>
        <w:spacing w:beforeAutospacing="0" w:afterAutospacing="0" w:line="480" w:lineRule="atLeast"/>
        <w:jc w:val="both"/>
        <w:rPr>
          <w:rFonts w:ascii="Calibri" w:hAnsi="Calibri" w:cs="Calibri"/>
          <w:color w:val="000000"/>
        </w:rPr>
      </w:pPr>
    </w:p>
    <w:p>
      <w:pPr>
        <w:pStyle w:val="7"/>
        <w:widowControl/>
        <w:shd w:val="clear" w:color="auto" w:fill="FFFFFF"/>
        <w:spacing w:beforeAutospacing="0" w:afterAutospacing="0" w:line="480" w:lineRule="atLeast"/>
        <w:jc w:val="both"/>
        <w:rPr>
          <w:rFonts w:ascii="Calibri" w:hAnsi="Calibri" w:cs="Calibri"/>
          <w:color w:val="000000"/>
        </w:rPr>
      </w:pPr>
    </w:p>
    <w:p>
      <w:pPr>
        <w:pStyle w:val="7"/>
        <w:widowControl/>
        <w:shd w:val="clear" w:color="auto" w:fill="FFFFFF"/>
        <w:spacing w:beforeAutospacing="0" w:afterAutospacing="0" w:line="480" w:lineRule="atLeast"/>
        <w:jc w:val="both"/>
        <w:rPr>
          <w:rFonts w:ascii="Calibri" w:hAnsi="Calibri" w:cs="Calibri"/>
          <w:color w:val="000000"/>
        </w:rPr>
      </w:pPr>
    </w:p>
    <w:p>
      <w:pPr>
        <w:pStyle w:val="7"/>
        <w:widowControl/>
        <w:shd w:val="clear" w:color="auto" w:fill="FFFFFF"/>
        <w:spacing w:beforeAutospacing="0" w:afterAutospacing="0" w:line="480" w:lineRule="atLeast"/>
        <w:jc w:val="both"/>
        <w:rPr>
          <w:rFonts w:ascii="Calibri" w:hAnsi="Calibri" w:cs="Calibri"/>
          <w:color w:val="000000"/>
        </w:rPr>
      </w:pPr>
    </w:p>
    <w:p>
      <w:pPr>
        <w:pStyle w:val="7"/>
        <w:widowControl/>
        <w:shd w:val="clear" w:color="auto" w:fill="FFFFFF"/>
        <w:spacing w:beforeAutospacing="0" w:afterAutospacing="0" w:line="480" w:lineRule="atLeast"/>
        <w:jc w:val="both"/>
        <w:rPr>
          <w:rFonts w:ascii="Calibri" w:hAnsi="Calibri" w:cs="Calibri"/>
          <w:color w:val="000000"/>
        </w:rPr>
      </w:pPr>
    </w:p>
    <w:p>
      <w:pPr>
        <w:pStyle w:val="7"/>
        <w:widowControl/>
        <w:shd w:val="clear" w:color="auto" w:fill="FFFFFF"/>
        <w:spacing w:beforeAutospacing="0" w:afterAutospacing="0" w:line="480" w:lineRule="atLeast"/>
        <w:jc w:val="both"/>
        <w:rPr>
          <w:rFonts w:ascii="Calibri" w:hAnsi="Calibri" w:cs="Calibri"/>
          <w:color w:val="000000"/>
        </w:rPr>
      </w:pPr>
    </w:p>
    <w:p>
      <w:pPr>
        <w:pStyle w:val="7"/>
        <w:widowControl/>
        <w:shd w:val="clear" w:color="auto" w:fill="FFFFFF"/>
        <w:spacing w:beforeAutospacing="0" w:afterAutospacing="0" w:line="480" w:lineRule="atLeast"/>
        <w:jc w:val="both"/>
        <w:rPr>
          <w:rFonts w:ascii="Calibri" w:hAnsi="Calibri" w:cs="Calibri"/>
          <w:color w:val="000000"/>
        </w:rPr>
      </w:pPr>
    </w:p>
    <w:p>
      <w:pPr>
        <w:pStyle w:val="7"/>
        <w:widowControl/>
        <w:shd w:val="clear" w:color="auto" w:fill="FFFFFF"/>
        <w:spacing w:beforeAutospacing="0" w:afterAutospacing="0" w:line="480" w:lineRule="atLeast"/>
        <w:jc w:val="both"/>
        <w:rPr>
          <w:rFonts w:ascii="Calibri" w:hAnsi="Calibri" w:cs="Calibri"/>
          <w:color w:val="000000"/>
        </w:rPr>
      </w:pPr>
    </w:p>
    <w:p>
      <w:pPr>
        <w:pStyle w:val="7"/>
        <w:widowControl/>
        <w:shd w:val="clear" w:color="auto" w:fill="FFFFFF"/>
        <w:spacing w:beforeAutospacing="0" w:afterAutospacing="0" w:line="480" w:lineRule="atLeast"/>
        <w:jc w:val="both"/>
        <w:rPr>
          <w:rFonts w:ascii="Calibri" w:hAnsi="Calibri" w:cs="Calibri"/>
          <w:color w:val="000000"/>
        </w:rPr>
      </w:pPr>
    </w:p>
    <w:p>
      <w:pPr>
        <w:pStyle w:val="7"/>
        <w:widowControl/>
        <w:shd w:val="clear" w:color="auto" w:fill="FFFFFF"/>
        <w:spacing w:beforeAutospacing="0" w:afterAutospacing="0" w:line="480" w:lineRule="atLeast"/>
        <w:jc w:val="both"/>
        <w:rPr>
          <w:rFonts w:ascii="Calibri" w:hAnsi="Calibri" w:cs="Calibri"/>
          <w:color w:val="000000"/>
        </w:rPr>
      </w:pPr>
    </w:p>
    <w:p>
      <w:pPr>
        <w:pStyle w:val="7"/>
        <w:widowControl/>
        <w:shd w:val="clear" w:color="auto" w:fill="FFFFFF"/>
        <w:spacing w:beforeAutospacing="0" w:afterAutospacing="0" w:line="480" w:lineRule="atLeast"/>
        <w:jc w:val="both"/>
        <w:rPr>
          <w:rFonts w:ascii="Calibri" w:hAnsi="Calibri" w:cs="Calibri"/>
          <w:color w:val="000000"/>
        </w:rPr>
      </w:pPr>
    </w:p>
    <w:p>
      <w:pPr>
        <w:pStyle w:val="7"/>
        <w:widowControl/>
        <w:shd w:val="clear" w:color="auto" w:fill="FFFFFF"/>
        <w:spacing w:beforeAutospacing="0" w:afterAutospacing="0" w:line="480" w:lineRule="atLeast"/>
        <w:jc w:val="both"/>
        <w:rPr>
          <w:rFonts w:ascii="Calibri" w:hAnsi="Calibri" w:cs="Calibri"/>
          <w:color w:val="000000"/>
        </w:rPr>
      </w:pPr>
    </w:p>
    <w:p>
      <w:pPr>
        <w:pStyle w:val="7"/>
        <w:widowControl/>
        <w:shd w:val="clear" w:color="auto" w:fill="FFFFFF"/>
        <w:spacing w:beforeAutospacing="0" w:afterAutospacing="0" w:line="480" w:lineRule="atLeast"/>
        <w:jc w:val="both"/>
        <w:rPr>
          <w:rFonts w:ascii="Calibri" w:hAnsi="Calibri" w:cs="Calibri"/>
          <w:color w:val="000000"/>
        </w:rPr>
      </w:pPr>
    </w:p>
    <w:p>
      <w:pPr>
        <w:pStyle w:val="7"/>
        <w:widowControl/>
        <w:shd w:val="clear" w:color="auto" w:fill="FFFFFF"/>
        <w:spacing w:beforeAutospacing="0" w:afterAutospacing="0" w:line="480" w:lineRule="atLeast"/>
        <w:jc w:val="both"/>
        <w:rPr>
          <w:rFonts w:ascii="Calibri" w:hAnsi="Calibri" w:cs="Calibri"/>
          <w:color w:val="000000"/>
        </w:rPr>
      </w:pPr>
    </w:p>
    <w:p>
      <w:pPr>
        <w:pStyle w:val="7"/>
        <w:widowControl/>
        <w:shd w:val="clear" w:color="auto" w:fill="FFFFFF"/>
        <w:spacing w:beforeAutospacing="0" w:afterAutospacing="0" w:line="480" w:lineRule="atLeast"/>
        <w:jc w:val="both"/>
        <w:rPr>
          <w:rFonts w:ascii="Calibri" w:hAnsi="Calibri" w:cs="Calibri"/>
          <w:color w:val="000000"/>
        </w:rPr>
      </w:pPr>
    </w:p>
    <w:p>
      <w:pPr>
        <w:pStyle w:val="7"/>
        <w:widowControl/>
        <w:shd w:val="clear" w:color="auto" w:fill="FFFFFF"/>
        <w:spacing w:beforeAutospacing="0" w:afterAutospacing="0" w:line="480" w:lineRule="atLeast"/>
        <w:jc w:val="both"/>
        <w:rPr>
          <w:rFonts w:ascii="Calibri" w:hAnsi="Calibri" w:cs="Calibri"/>
          <w:color w:val="000000"/>
        </w:rPr>
      </w:pPr>
    </w:p>
    <w:p>
      <w:pPr>
        <w:pStyle w:val="7"/>
        <w:widowControl/>
        <w:shd w:val="clear" w:color="auto" w:fill="FFFFFF"/>
        <w:spacing w:beforeAutospacing="0" w:afterAutospacing="0" w:line="480" w:lineRule="exact"/>
        <w:jc w:val="both"/>
        <w:rPr>
          <w:rFonts w:ascii="方正小标宋_GBK" w:hAnsi="方正小标宋_GBK" w:eastAsia="方正小标宋_GBK" w:cs="方正小标宋_GBK"/>
          <w:color w:val="000000"/>
          <w:sz w:val="32"/>
          <w:szCs w:val="32"/>
          <w:shd w:val="clear" w:color="auto" w:fill="FFFFFF"/>
        </w:rPr>
      </w:pPr>
    </w:p>
    <w:p>
      <w:pPr>
        <w:pStyle w:val="7"/>
        <w:widowControl/>
        <w:shd w:val="clear" w:color="auto" w:fill="FFFFFF"/>
        <w:spacing w:beforeAutospacing="0" w:afterAutospacing="0" w:line="480" w:lineRule="exact"/>
        <w:jc w:val="both"/>
        <w:rPr>
          <w:rFonts w:ascii="方正小标宋_GBK" w:hAnsi="方正小标宋_GBK" w:eastAsia="方正小标宋_GBK" w:cs="方正小标宋_GBK"/>
          <w:color w:val="000000"/>
          <w:sz w:val="32"/>
          <w:szCs w:val="32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32"/>
          <w:szCs w:val="32"/>
          <w:shd w:val="clear" w:color="auto" w:fill="FFFFFF"/>
        </w:rPr>
        <w:t xml:space="preserve">附件1-1 </w:t>
      </w:r>
    </w:p>
    <w:p>
      <w:pPr>
        <w:pStyle w:val="7"/>
        <w:widowControl/>
        <w:shd w:val="clear" w:color="auto" w:fill="FFFFFF"/>
        <w:spacing w:beforeAutospacing="0" w:afterAutospacing="0" w:line="480" w:lineRule="exact"/>
        <w:jc w:val="both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32"/>
          <w:szCs w:val="32"/>
          <w:shd w:val="clear" w:color="auto" w:fill="FFFFFF"/>
        </w:rPr>
        <w:t> </w:t>
      </w:r>
      <w:r>
        <w:rPr>
          <w:rFonts w:hint="eastAsia" w:ascii="微软雅黑" w:hAnsi="微软雅黑" w:eastAsia="微软雅黑" w:cs="微软雅黑"/>
          <w:color w:val="000000"/>
          <w:shd w:val="clear" w:color="auto" w:fill="FFFFFF"/>
        </w:rPr>
        <w:t xml:space="preserve">    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部门整体支出绩效评价基础数据表</w:t>
      </w: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ind w:left="91"/>
        <w:jc w:val="left"/>
        <w:rPr>
          <w:rFonts w:eastAsia="仿宋_GB2312"/>
          <w:kern w:val="0"/>
          <w:sz w:val="24"/>
        </w:rPr>
      </w:pPr>
      <w:r>
        <w:rPr>
          <w:rFonts w:hint="eastAsia" w:eastAsia="仿宋_GB2312"/>
          <w:kern w:val="0"/>
          <w:sz w:val="24"/>
        </w:rPr>
        <w:t xml:space="preserve">填报单位：邵阳市北塔区信访局                                      </w:t>
      </w:r>
    </w:p>
    <w:tbl>
      <w:tblPr>
        <w:tblStyle w:val="9"/>
        <w:tblW w:w="94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54"/>
        <w:gridCol w:w="1189"/>
        <w:gridCol w:w="849"/>
        <w:gridCol w:w="1129"/>
        <w:gridCol w:w="1111"/>
        <w:gridCol w:w="969"/>
        <w:gridCol w:w="8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财政供养人员情况</w:t>
            </w:r>
          </w:p>
        </w:tc>
        <w:tc>
          <w:tcPr>
            <w:tcW w:w="203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编制数</w:t>
            </w:r>
          </w:p>
        </w:tc>
        <w:tc>
          <w:tcPr>
            <w:tcW w:w="2240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2023年实际在职人数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控制率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35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</w:p>
        </w:tc>
        <w:tc>
          <w:tcPr>
            <w:tcW w:w="2038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2240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经费控制情况</w:t>
            </w:r>
          </w:p>
        </w:tc>
        <w:tc>
          <w:tcPr>
            <w:tcW w:w="203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2022年决算数</w:t>
            </w:r>
          </w:p>
        </w:tc>
        <w:tc>
          <w:tcPr>
            <w:tcW w:w="2240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2023年预算数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2023年决算数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三公经费</w:t>
            </w:r>
          </w:p>
        </w:tc>
        <w:tc>
          <w:tcPr>
            <w:tcW w:w="2038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 xml:space="preserve">   1、公务用车购置和维护经费</w:t>
            </w:r>
          </w:p>
        </w:tc>
        <w:tc>
          <w:tcPr>
            <w:tcW w:w="203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　</w:t>
            </w:r>
          </w:p>
        </w:tc>
        <w:tc>
          <w:tcPr>
            <w:tcW w:w="2240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 xml:space="preserve">       其中：公车购置</w:t>
            </w:r>
          </w:p>
        </w:tc>
        <w:tc>
          <w:tcPr>
            <w:tcW w:w="203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　</w:t>
            </w:r>
          </w:p>
        </w:tc>
        <w:tc>
          <w:tcPr>
            <w:tcW w:w="2240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 xml:space="preserve">             公车运行维护</w:t>
            </w:r>
          </w:p>
        </w:tc>
        <w:tc>
          <w:tcPr>
            <w:tcW w:w="203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　</w:t>
            </w:r>
          </w:p>
        </w:tc>
        <w:tc>
          <w:tcPr>
            <w:tcW w:w="2240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 xml:space="preserve">   2、出国经费</w:t>
            </w:r>
          </w:p>
        </w:tc>
        <w:tc>
          <w:tcPr>
            <w:tcW w:w="203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　</w:t>
            </w:r>
          </w:p>
        </w:tc>
        <w:tc>
          <w:tcPr>
            <w:tcW w:w="2240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 xml:space="preserve">   3、公务接待</w:t>
            </w:r>
          </w:p>
        </w:tc>
        <w:tc>
          <w:tcPr>
            <w:tcW w:w="2038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项目支出：</w:t>
            </w:r>
          </w:p>
        </w:tc>
        <w:tc>
          <w:tcPr>
            <w:tcW w:w="2038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2240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97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 xml:space="preserve">    1、业务工作经费</w:t>
            </w:r>
          </w:p>
        </w:tc>
        <w:tc>
          <w:tcPr>
            <w:tcW w:w="203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97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 xml:space="preserve">    2、运行维护经费</w:t>
            </w:r>
          </w:p>
        </w:tc>
        <w:tc>
          <w:tcPr>
            <w:tcW w:w="203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　</w:t>
            </w:r>
          </w:p>
        </w:tc>
        <w:tc>
          <w:tcPr>
            <w:tcW w:w="2240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354" w:type="dxa"/>
            <w:vAlign w:val="center"/>
          </w:tcPr>
          <w:p>
            <w:pPr>
              <w:widowControl/>
              <w:ind w:firstLine="400" w:firstLineChars="200"/>
              <w:jc w:val="left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3、市级专项资金</w:t>
            </w:r>
          </w:p>
          <w:p>
            <w:pPr>
              <w:widowControl/>
              <w:ind w:firstLine="600" w:firstLineChars="300"/>
              <w:jc w:val="left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（一个专项一行）</w:t>
            </w:r>
          </w:p>
        </w:tc>
        <w:tc>
          <w:tcPr>
            <w:tcW w:w="203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vAlign w:val="center"/>
          </w:tcPr>
          <w:p>
            <w:pPr>
              <w:widowControl/>
              <w:ind w:firstLine="400" w:firstLineChars="200"/>
              <w:jc w:val="left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4、其他事业类发展资金</w:t>
            </w:r>
          </w:p>
        </w:tc>
        <w:tc>
          <w:tcPr>
            <w:tcW w:w="203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　</w:t>
            </w:r>
          </w:p>
        </w:tc>
        <w:tc>
          <w:tcPr>
            <w:tcW w:w="2240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……</w:t>
            </w:r>
          </w:p>
        </w:tc>
        <w:tc>
          <w:tcPr>
            <w:tcW w:w="203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公用经费</w:t>
            </w:r>
          </w:p>
        </w:tc>
        <w:tc>
          <w:tcPr>
            <w:tcW w:w="2038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277.46</w:t>
            </w:r>
          </w:p>
        </w:tc>
        <w:tc>
          <w:tcPr>
            <w:tcW w:w="2240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13.66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399.38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 xml:space="preserve">    其中：办公费</w:t>
            </w:r>
          </w:p>
        </w:tc>
        <w:tc>
          <w:tcPr>
            <w:tcW w:w="2038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32.39</w:t>
            </w:r>
          </w:p>
        </w:tc>
        <w:tc>
          <w:tcPr>
            <w:tcW w:w="2240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63.28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 xml:space="preserve">          水费、电费、差旅费</w:t>
            </w:r>
          </w:p>
        </w:tc>
        <w:tc>
          <w:tcPr>
            <w:tcW w:w="2038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49.12</w:t>
            </w:r>
          </w:p>
        </w:tc>
        <w:tc>
          <w:tcPr>
            <w:tcW w:w="2240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86.11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 xml:space="preserve">          会议费、培训费</w:t>
            </w:r>
          </w:p>
        </w:tc>
        <w:tc>
          <w:tcPr>
            <w:tcW w:w="2038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3.25</w:t>
            </w:r>
          </w:p>
        </w:tc>
        <w:tc>
          <w:tcPr>
            <w:tcW w:w="2240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4.51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政府采购金额</w:t>
            </w:r>
          </w:p>
        </w:tc>
        <w:tc>
          <w:tcPr>
            <w:tcW w:w="2038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82.54</w:t>
            </w:r>
          </w:p>
        </w:tc>
        <w:tc>
          <w:tcPr>
            <w:tcW w:w="2240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103.02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 xml:space="preserve">部门基本支出预算调整 </w:t>
            </w:r>
          </w:p>
        </w:tc>
        <w:tc>
          <w:tcPr>
            <w:tcW w:w="203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——</w:t>
            </w:r>
          </w:p>
        </w:tc>
        <w:tc>
          <w:tcPr>
            <w:tcW w:w="2240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3354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楼堂馆所控制情况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（2022年完工项目）</w:t>
            </w:r>
          </w:p>
        </w:tc>
        <w:tc>
          <w:tcPr>
            <w:tcW w:w="118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批复规模</w:t>
            </w:r>
          </w:p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（㎡）</w:t>
            </w:r>
          </w:p>
        </w:tc>
        <w:tc>
          <w:tcPr>
            <w:tcW w:w="84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实际规模（㎡）</w:t>
            </w:r>
          </w:p>
        </w:tc>
        <w:tc>
          <w:tcPr>
            <w:tcW w:w="112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规模控制率</w:t>
            </w:r>
          </w:p>
        </w:tc>
        <w:tc>
          <w:tcPr>
            <w:tcW w:w="111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预算投资（万元）</w:t>
            </w:r>
          </w:p>
        </w:tc>
        <w:tc>
          <w:tcPr>
            <w:tcW w:w="96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实际投资（万元）</w:t>
            </w:r>
          </w:p>
        </w:tc>
        <w:tc>
          <w:tcPr>
            <w:tcW w:w="86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投资概算控制率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</w:p>
        </w:tc>
        <w:tc>
          <w:tcPr>
            <w:tcW w:w="118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　</w:t>
            </w:r>
          </w:p>
        </w:tc>
        <w:tc>
          <w:tcPr>
            <w:tcW w:w="849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　</w:t>
            </w:r>
          </w:p>
        </w:tc>
        <w:tc>
          <w:tcPr>
            <w:tcW w:w="1129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　</w:t>
            </w:r>
          </w:p>
        </w:tc>
        <w:tc>
          <w:tcPr>
            <w:tcW w:w="1111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　</w:t>
            </w:r>
          </w:p>
        </w:tc>
        <w:tc>
          <w:tcPr>
            <w:tcW w:w="969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　</w:t>
            </w:r>
          </w:p>
        </w:tc>
        <w:tc>
          <w:tcPr>
            <w:tcW w:w="863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335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厉行节约保障措施</w:t>
            </w:r>
          </w:p>
        </w:tc>
        <w:tc>
          <w:tcPr>
            <w:tcW w:w="6110" w:type="dxa"/>
            <w:gridSpan w:val="6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</w:p>
        </w:tc>
      </w:tr>
    </w:tbl>
    <w:p>
      <w:pPr>
        <w:pStyle w:val="7"/>
        <w:widowControl/>
        <w:shd w:val="clear" w:color="auto" w:fill="FFFFFF"/>
        <w:spacing w:beforeAutospacing="0" w:afterAutospacing="0" w:line="480" w:lineRule="exact"/>
        <w:jc w:val="both"/>
        <w:rPr>
          <w:rFonts w:ascii="方正小标宋_GBK" w:hAnsi="方正小标宋_GBK" w:eastAsia="方正小标宋_GBK" w:cs="方正小标宋_GBK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color w:val="000000"/>
        </w:rPr>
        <w:t>填表人：</w:t>
      </w:r>
      <w:r>
        <w:rPr>
          <w:rFonts w:hint="eastAsia" w:ascii="Times New Roman" w:hAnsi="Times New Roman" w:eastAsia="仿宋_GB2312"/>
          <w:color w:val="000000"/>
        </w:rPr>
        <w:t xml:space="preserve">罗婷     </w:t>
      </w:r>
      <w:r>
        <w:rPr>
          <w:rFonts w:ascii="Times New Roman" w:hAnsi="Times New Roman" w:eastAsia="仿宋_GB2312"/>
          <w:color w:val="000000"/>
        </w:rPr>
        <w:t xml:space="preserve"> 填报日期：</w:t>
      </w:r>
      <w:r>
        <w:rPr>
          <w:rFonts w:hint="eastAsia" w:ascii="Times New Roman" w:hAnsi="Times New Roman" w:eastAsia="仿宋_GB2312"/>
          <w:color w:val="000000"/>
        </w:rPr>
        <w:t xml:space="preserve">2024年7月30日    </w:t>
      </w:r>
      <w:r>
        <w:rPr>
          <w:rFonts w:ascii="Times New Roman" w:hAnsi="Times New Roman" w:eastAsia="仿宋_GB2312"/>
          <w:color w:val="000000"/>
        </w:rPr>
        <w:t xml:space="preserve">  联系电话：</w:t>
      </w:r>
      <w:r>
        <w:rPr>
          <w:rFonts w:hint="eastAsia" w:ascii="Times New Roman" w:hAnsi="Times New Roman" w:eastAsia="仿宋_GB2312"/>
          <w:color w:val="000000"/>
        </w:rPr>
        <w:t>1</w:t>
      </w:r>
    </w:p>
    <w:p>
      <w:pPr>
        <w:pStyle w:val="7"/>
        <w:widowControl/>
        <w:shd w:val="clear" w:color="auto" w:fill="FFFFFF"/>
        <w:spacing w:beforeAutospacing="0" w:afterAutospacing="0" w:line="480" w:lineRule="exact"/>
        <w:jc w:val="both"/>
        <w:rPr>
          <w:rFonts w:ascii="方正小标宋_GBK" w:hAnsi="方正小标宋_GBK" w:eastAsia="方正小标宋_GBK" w:cs="方正小标宋_GBK"/>
          <w:color w:val="000000"/>
          <w:sz w:val="32"/>
          <w:szCs w:val="32"/>
          <w:shd w:val="clear" w:color="auto" w:fill="FFFFFF"/>
        </w:rPr>
      </w:pPr>
    </w:p>
    <w:p>
      <w:pPr>
        <w:pStyle w:val="7"/>
        <w:widowControl/>
        <w:shd w:val="clear" w:color="auto" w:fill="FFFFFF"/>
        <w:spacing w:beforeAutospacing="0" w:afterAutospacing="0" w:line="480" w:lineRule="exact"/>
        <w:jc w:val="both"/>
        <w:rPr>
          <w:rFonts w:ascii="方正小标宋_GBK" w:hAnsi="方正小标宋_GBK" w:eastAsia="方正小标宋_GBK" w:cs="方正小标宋_GBK"/>
          <w:color w:val="000000"/>
          <w:sz w:val="32"/>
          <w:szCs w:val="32"/>
          <w:shd w:val="clear" w:color="auto" w:fill="FFFFFF"/>
        </w:rPr>
      </w:pPr>
      <w:r>
        <w:rPr>
          <w:rFonts w:ascii="方正小标宋_GBK" w:hAnsi="方正小标宋_GBK" w:eastAsia="方正小标宋_GBK" w:cs="方正小标宋_GBK"/>
          <w:color w:val="000000"/>
          <w:sz w:val="32"/>
          <w:szCs w:val="32"/>
          <w:shd w:val="clear" w:color="auto" w:fill="FFFFFF"/>
        </w:rPr>
        <w:t>附件1-2</w:t>
      </w: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pacing w:line="480" w:lineRule="exact"/>
        <w:ind w:left="91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整体支出绩效自评表</w:t>
      </w:r>
    </w:p>
    <w:tbl>
      <w:tblPr>
        <w:tblStyle w:val="9"/>
        <w:tblW w:w="91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6"/>
        <w:gridCol w:w="1176"/>
        <w:gridCol w:w="961"/>
        <w:gridCol w:w="1165"/>
        <w:gridCol w:w="95"/>
        <w:gridCol w:w="1035"/>
        <w:gridCol w:w="1299"/>
        <w:gridCol w:w="709"/>
        <w:gridCol w:w="782"/>
        <w:gridCol w:w="8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10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预算单位名称</w:t>
            </w:r>
          </w:p>
        </w:tc>
        <w:tc>
          <w:tcPr>
            <w:tcW w:w="8093" w:type="dxa"/>
            <w:gridSpan w:val="9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仿宋_GB2312"/>
                <w:kern w:val="0"/>
                <w:sz w:val="24"/>
              </w:rPr>
              <w:t xml:space="preserve">邵阳市北塔区信访局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106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年度预</w:t>
            </w:r>
          </w:p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算申请</w:t>
            </w:r>
          </w:p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（万元）</w:t>
            </w:r>
          </w:p>
        </w:tc>
        <w:tc>
          <w:tcPr>
            <w:tcW w:w="2137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116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年初</w:t>
            </w:r>
          </w:p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预算数</w:t>
            </w:r>
          </w:p>
        </w:tc>
        <w:tc>
          <w:tcPr>
            <w:tcW w:w="1130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全年预算数</w:t>
            </w:r>
          </w:p>
        </w:tc>
        <w:tc>
          <w:tcPr>
            <w:tcW w:w="129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全年</w:t>
            </w:r>
          </w:p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执行数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分值</w:t>
            </w:r>
          </w:p>
        </w:tc>
        <w:tc>
          <w:tcPr>
            <w:tcW w:w="78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执行率</w:t>
            </w:r>
          </w:p>
        </w:tc>
        <w:tc>
          <w:tcPr>
            <w:tcW w:w="87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106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37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年度资金总额</w:t>
            </w:r>
          </w:p>
        </w:tc>
        <w:tc>
          <w:tcPr>
            <w:tcW w:w="11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233.09</w:t>
            </w:r>
          </w:p>
        </w:tc>
        <w:tc>
          <w:tcPr>
            <w:tcW w:w="1130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570.79</w:t>
            </w:r>
          </w:p>
        </w:tc>
        <w:tc>
          <w:tcPr>
            <w:tcW w:w="12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570.79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100.00%</w:t>
            </w:r>
          </w:p>
        </w:tc>
        <w:tc>
          <w:tcPr>
            <w:tcW w:w="8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10.00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06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32" w:type="dxa"/>
            <w:gridSpan w:val="5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按收入性质分：</w:t>
            </w:r>
          </w:p>
        </w:tc>
        <w:tc>
          <w:tcPr>
            <w:tcW w:w="3661" w:type="dxa"/>
            <w:gridSpan w:val="4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按支出性质分：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06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32" w:type="dxa"/>
            <w:gridSpan w:val="5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 xml:space="preserve">  其中：  一般公共预算：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570.79</w:t>
            </w:r>
          </w:p>
        </w:tc>
        <w:tc>
          <w:tcPr>
            <w:tcW w:w="3661" w:type="dxa"/>
            <w:gridSpan w:val="4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其中：基本支出：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570.79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06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32" w:type="dxa"/>
            <w:gridSpan w:val="5"/>
            <w:vAlign w:val="center"/>
          </w:tcPr>
          <w:p>
            <w:pPr>
              <w:widowControl/>
              <w:spacing w:line="240" w:lineRule="exact"/>
              <w:ind w:firstLine="800" w:firstLineChars="400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政府性基金拨款：0</w:t>
            </w:r>
          </w:p>
        </w:tc>
        <w:tc>
          <w:tcPr>
            <w:tcW w:w="3661" w:type="dxa"/>
            <w:gridSpan w:val="4"/>
            <w:vAlign w:val="center"/>
          </w:tcPr>
          <w:p>
            <w:pPr>
              <w:widowControl/>
              <w:spacing w:line="240" w:lineRule="exact"/>
              <w:ind w:firstLine="600" w:firstLineChars="300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项目支出：0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06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32" w:type="dxa"/>
            <w:gridSpan w:val="5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纳入专户管理的非税收入拨款：0</w:t>
            </w:r>
          </w:p>
        </w:tc>
        <w:tc>
          <w:tcPr>
            <w:tcW w:w="3661" w:type="dxa"/>
            <w:gridSpan w:val="4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06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32" w:type="dxa"/>
            <w:gridSpan w:val="5"/>
            <w:vAlign w:val="center"/>
          </w:tcPr>
          <w:p>
            <w:pPr>
              <w:widowControl/>
              <w:spacing w:line="240" w:lineRule="exact"/>
              <w:ind w:firstLine="1400" w:firstLineChars="700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其他资金：0</w:t>
            </w:r>
          </w:p>
        </w:tc>
        <w:tc>
          <w:tcPr>
            <w:tcW w:w="3661" w:type="dxa"/>
            <w:gridSpan w:val="4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06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年度总体目标</w:t>
            </w:r>
          </w:p>
        </w:tc>
        <w:tc>
          <w:tcPr>
            <w:tcW w:w="4432" w:type="dxa"/>
            <w:gridSpan w:val="5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预期目标</w:t>
            </w:r>
          </w:p>
        </w:tc>
        <w:tc>
          <w:tcPr>
            <w:tcW w:w="3661" w:type="dxa"/>
            <w:gridSpan w:val="4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实际完成情况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1106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32" w:type="dxa"/>
            <w:gridSpan w:val="5"/>
            <w:vAlign w:val="center"/>
          </w:tcPr>
          <w:p>
            <w:pPr>
              <w:widowControl/>
              <w:tabs>
                <w:tab w:val="left" w:pos="2952"/>
              </w:tabs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围绕“抓源头控增量、抓化解减存量、抓攻坚提质量、抓包案防变量”的思路，凝聚各方力量、压实各级责任、提升治理水平，努力争创全国、全省“信访工作示范县市区”，重点围绕以下“十抓”开展工作。</w:t>
            </w:r>
          </w:p>
        </w:tc>
        <w:tc>
          <w:tcPr>
            <w:tcW w:w="3661" w:type="dxa"/>
            <w:gridSpan w:val="4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基本完成预期目标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  <w:jc w:val="center"/>
        </w:trPr>
        <w:tc>
          <w:tcPr>
            <w:tcW w:w="1106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绩</w:t>
            </w:r>
          </w:p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效</w:t>
            </w:r>
          </w:p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</w:t>
            </w:r>
          </w:p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标</w:t>
            </w:r>
          </w:p>
        </w:tc>
        <w:tc>
          <w:tcPr>
            <w:tcW w:w="117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96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指标值</w:t>
            </w:r>
          </w:p>
        </w:tc>
        <w:tc>
          <w:tcPr>
            <w:tcW w:w="129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完成值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分值</w:t>
            </w:r>
          </w:p>
        </w:tc>
        <w:tc>
          <w:tcPr>
            <w:tcW w:w="78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得分</w:t>
            </w:r>
          </w:p>
        </w:tc>
        <w:tc>
          <w:tcPr>
            <w:tcW w:w="871" w:type="dxa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偏差原因</w:t>
            </w:r>
          </w:p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分析及</w:t>
            </w:r>
          </w:p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改进措施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106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6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产出指标</w:t>
            </w:r>
          </w:p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数量</w:t>
            </w:r>
          </w:p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走访登记情况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全区走访登记</w:t>
            </w:r>
          </w:p>
        </w:tc>
        <w:tc>
          <w:tcPr>
            <w:tcW w:w="12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82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87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6" w:hRule="atLeast"/>
          <w:jc w:val="center"/>
        </w:trPr>
        <w:tc>
          <w:tcPr>
            <w:tcW w:w="1106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6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质量</w:t>
            </w:r>
          </w:p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全国、全省、全市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两会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、亚运会等重大活动、会议期间，信访维稳工作均取得了“零进京、零非访、零登记、零滞留、零滋事”的良好成效。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全区信访工作综合考核全省排名第5名、全市第1名</w:t>
            </w:r>
          </w:p>
        </w:tc>
        <w:tc>
          <w:tcPr>
            <w:tcW w:w="12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82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87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06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6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时效</w:t>
            </w:r>
          </w:p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各项工作完成时间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2023年</w:t>
            </w:r>
          </w:p>
        </w:tc>
        <w:tc>
          <w:tcPr>
            <w:tcW w:w="12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2023年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82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87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06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6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效益指标</w:t>
            </w:r>
          </w:p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经济效</w:t>
            </w:r>
          </w:p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06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6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社会效</w:t>
            </w:r>
          </w:p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深入推进治理重复信访、化解信访积案工作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严格落实区级领导包案化解，并延伸到各责任单位，逐一落实“五包一”责任制，一级一级跟踪督办，一项一项抓好落实，做到“措施明、责任实”</w:t>
            </w:r>
          </w:p>
        </w:tc>
        <w:tc>
          <w:tcPr>
            <w:tcW w:w="12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82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8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06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6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生态效</w:t>
            </w:r>
          </w:p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06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6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1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可持续影响指标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抓信访法治化建设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持续跟进</w:t>
            </w:r>
          </w:p>
        </w:tc>
        <w:tc>
          <w:tcPr>
            <w:tcW w:w="12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782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87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06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6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1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抓积案化解攻坚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持续跟进</w:t>
            </w:r>
          </w:p>
        </w:tc>
        <w:tc>
          <w:tcPr>
            <w:tcW w:w="12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782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87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06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满意度</w:t>
            </w:r>
          </w:p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</w:t>
            </w:r>
          </w:p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服务对象满意度指标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群众参评率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群众满意度</w:t>
            </w:r>
          </w:p>
        </w:tc>
        <w:tc>
          <w:tcPr>
            <w:tcW w:w="12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82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06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6" w:type="dxa"/>
            <w:vMerge w:val="restart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成本指标</w:t>
            </w:r>
          </w:p>
        </w:tc>
        <w:tc>
          <w:tcPr>
            <w:tcW w:w="96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经济成本指标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9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06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6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社会成本指标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一站式”矛调中心，强化矛盾纠纷排查化解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项目产生的实际成本</w:t>
            </w:r>
          </w:p>
        </w:tc>
        <w:tc>
          <w:tcPr>
            <w:tcW w:w="12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782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87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06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6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生态环境成本指标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9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837" w:type="dxa"/>
            <w:gridSpan w:val="7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总分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8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93</w:t>
            </w:r>
          </w:p>
        </w:tc>
        <w:tc>
          <w:tcPr>
            <w:tcW w:w="871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</w:tbl>
    <w:p>
      <w:pPr>
        <w:spacing w:line="600" w:lineRule="exact"/>
      </w:pPr>
      <w:r>
        <w:rPr>
          <w:rFonts w:ascii="Times New Roman" w:hAnsi="Times New Roman" w:eastAsia="仿宋_GB2312" w:cs="Times New Roman"/>
          <w:color w:val="000000"/>
          <w:kern w:val="0"/>
          <w:sz w:val="24"/>
        </w:rPr>
        <w:t>填表人：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</w:rPr>
        <w:t xml:space="preserve">罗婷    </w:t>
      </w:r>
      <w:r>
        <w:rPr>
          <w:rFonts w:ascii="Times New Roman" w:hAnsi="Times New Roman" w:eastAsia="仿宋_GB2312" w:cs="Times New Roman"/>
          <w:color w:val="000000"/>
          <w:kern w:val="0"/>
          <w:sz w:val="24"/>
        </w:rPr>
        <w:t xml:space="preserve"> 填报日期：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</w:rPr>
        <w:t xml:space="preserve">2024年7月30日    </w:t>
      </w:r>
      <w:r>
        <w:rPr>
          <w:rFonts w:ascii="Times New Roman" w:hAnsi="Times New Roman" w:eastAsia="仿宋_GB2312" w:cs="Times New Roman"/>
          <w:color w:val="000000"/>
          <w:kern w:val="0"/>
          <w:sz w:val="24"/>
        </w:rPr>
        <w:t xml:space="preserve">  联系电话：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</w:rPr>
        <w:t>1</w:t>
      </w:r>
    </w:p>
    <w:sectPr>
      <w:footerReference r:id="rId3" w:type="default"/>
      <w:pgSz w:w="11906" w:h="16838"/>
      <w:pgMar w:top="2098" w:right="1800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Droid Sans Fallbac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Droid Sans Fallbac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Calibri Light">
    <w:altName w:val="DejaVu Sans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楷体_GB2312">
    <w:altName w:val="Droid Sans Fallbac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Droid Sans Fallbac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altName w:val="方正小标宋_GBK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altName w:val="Droid Sans Fallbac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仿宋_GB2312">
    <w:altName w:val="Droid Sans Fallback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C059">
    <w:panose1 w:val="00000500000000000000"/>
    <w:charset w:val="00"/>
    <w:family w:val="auto"/>
    <w:pitch w:val="default"/>
    <w:sig w:usb0="00000287" w:usb1="00000800" w:usb2="00000000" w:usb3="00000000" w:csb0="600000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 w:ascii="方正仿宋_GB2312" w:hAnsi="方正仿宋_GB2312" w:eastAsia="方正仿宋_GB2312" w:cs="方正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2312" w:hAnsi="方正仿宋_GB2312" w:eastAsia="方正仿宋_GB2312" w:cs="方正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2312" w:hAnsi="方正仿宋_GB2312" w:eastAsia="方正仿宋_GB2312" w:cs="方正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方正仿宋_GB2312" w:hAnsi="方正仿宋_GB2312" w:eastAsia="方正仿宋_GB2312" w:cs="方正仿宋_GB2312"/>
                              <w:sz w:val="28"/>
                              <w:szCs w:val="28"/>
                            </w:rPr>
                            <w:t>11</w:t>
                          </w:r>
                          <w:r>
                            <w:rPr>
                              <w:rFonts w:hint="eastAsia" w:ascii="方正仿宋_GB2312" w:hAnsi="方正仿宋_GB2312" w:eastAsia="方正仿宋_GB2312" w:cs="方正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 w:ascii="方正仿宋_GB2312" w:hAnsi="方正仿宋_GB2312" w:eastAsia="方正仿宋_GB2312" w:cs="方正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方正仿宋_GB2312" w:hAnsi="方正仿宋_GB2312" w:eastAsia="方正仿宋_GB2312" w:cs="方正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2312" w:hAnsi="方正仿宋_GB2312" w:eastAsia="方正仿宋_GB2312" w:cs="方正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方正仿宋_GB2312" w:hAnsi="方正仿宋_GB2312" w:eastAsia="方正仿宋_GB2312" w:cs="方正仿宋_GB2312"/>
                        <w:sz w:val="28"/>
                        <w:szCs w:val="28"/>
                      </w:rPr>
                      <w:t>11</w:t>
                    </w:r>
                    <w:r>
                      <w:rPr>
                        <w:rFonts w:hint="eastAsia" w:ascii="方正仿宋_GB2312" w:hAnsi="方正仿宋_GB2312" w:eastAsia="方正仿宋_GB2312" w:cs="方正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10770C1"/>
    <w:multiLevelType w:val="singleLevel"/>
    <w:tmpl w:val="910770C1"/>
    <w:lvl w:ilvl="0" w:tentative="0">
      <w:start w:val="1"/>
      <w:numFmt w:val="chineseCounting"/>
      <w:suff w:val="nothing"/>
      <w:lvlText w:val="（%1）"/>
      <w:lvlJc w:val="left"/>
      <w:rPr>
        <w:rFonts w:hint="eastAsia"/>
        <w:b/>
        <w:bCs/>
      </w:rPr>
    </w:lvl>
  </w:abstractNum>
  <w:abstractNum w:abstractNumId="1">
    <w:nsid w:val="99F05AFE"/>
    <w:multiLevelType w:val="singleLevel"/>
    <w:tmpl w:val="99F05AFE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24BD1AB6"/>
    <w:multiLevelType w:val="singleLevel"/>
    <w:tmpl w:val="24BD1AB6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5484512D"/>
    <w:multiLevelType w:val="singleLevel"/>
    <w:tmpl w:val="5484512D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4">
    <w:nsid w:val="7DC9C2FD"/>
    <w:multiLevelType w:val="singleLevel"/>
    <w:tmpl w:val="7DC9C2FD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zY2E2NThmNTlmNmMzMDE1ZGUyMTE2NzZkNjRjMDEifQ=="/>
    <w:docVar w:name="KSO_WPS_MARK_KEY" w:val="9920a277-c0c3-43b4-93d3-1636fe398e0b"/>
  </w:docVars>
  <w:rsids>
    <w:rsidRoot w:val="753C4E9B"/>
    <w:rsid w:val="00097D9D"/>
    <w:rsid w:val="00393DA7"/>
    <w:rsid w:val="0071406F"/>
    <w:rsid w:val="00E47A60"/>
    <w:rsid w:val="01AC7EAF"/>
    <w:rsid w:val="036020A8"/>
    <w:rsid w:val="052B72A3"/>
    <w:rsid w:val="05661B3C"/>
    <w:rsid w:val="05E95AA6"/>
    <w:rsid w:val="078C3E19"/>
    <w:rsid w:val="07B50942"/>
    <w:rsid w:val="0B9E7486"/>
    <w:rsid w:val="0C4447D8"/>
    <w:rsid w:val="0D276746"/>
    <w:rsid w:val="0D464D9C"/>
    <w:rsid w:val="0E7D7760"/>
    <w:rsid w:val="0E956870"/>
    <w:rsid w:val="0EBF12E1"/>
    <w:rsid w:val="11255584"/>
    <w:rsid w:val="1223366A"/>
    <w:rsid w:val="12917030"/>
    <w:rsid w:val="1379234C"/>
    <w:rsid w:val="13A01720"/>
    <w:rsid w:val="143877FD"/>
    <w:rsid w:val="17074EDC"/>
    <w:rsid w:val="18710338"/>
    <w:rsid w:val="19E805B2"/>
    <w:rsid w:val="19FA7F2D"/>
    <w:rsid w:val="1C6258AD"/>
    <w:rsid w:val="1E6F3683"/>
    <w:rsid w:val="2231148C"/>
    <w:rsid w:val="277E6F02"/>
    <w:rsid w:val="29990575"/>
    <w:rsid w:val="2BCC4802"/>
    <w:rsid w:val="312A2265"/>
    <w:rsid w:val="31356A0B"/>
    <w:rsid w:val="32CF13A1"/>
    <w:rsid w:val="33F86524"/>
    <w:rsid w:val="36FC0F5D"/>
    <w:rsid w:val="375773F8"/>
    <w:rsid w:val="382A6CDB"/>
    <w:rsid w:val="390040E1"/>
    <w:rsid w:val="39725719"/>
    <w:rsid w:val="3A5A0BB6"/>
    <w:rsid w:val="3A7C1CE0"/>
    <w:rsid w:val="3F1C4B22"/>
    <w:rsid w:val="41633C91"/>
    <w:rsid w:val="419B2857"/>
    <w:rsid w:val="43FB1CAA"/>
    <w:rsid w:val="45450ACF"/>
    <w:rsid w:val="47F51878"/>
    <w:rsid w:val="480A688C"/>
    <w:rsid w:val="4A7A4C8C"/>
    <w:rsid w:val="4B2F6044"/>
    <w:rsid w:val="4C0E7BEA"/>
    <w:rsid w:val="4CB35B85"/>
    <w:rsid w:val="4CBA5B6B"/>
    <w:rsid w:val="534C7185"/>
    <w:rsid w:val="552A0475"/>
    <w:rsid w:val="554778A4"/>
    <w:rsid w:val="57EE2FC9"/>
    <w:rsid w:val="5A5915AC"/>
    <w:rsid w:val="5BBF2DBE"/>
    <w:rsid w:val="6935615D"/>
    <w:rsid w:val="6A0A70D1"/>
    <w:rsid w:val="6A12486A"/>
    <w:rsid w:val="6AAF516E"/>
    <w:rsid w:val="6CD56003"/>
    <w:rsid w:val="6EFD60EB"/>
    <w:rsid w:val="70014D49"/>
    <w:rsid w:val="72D85A06"/>
    <w:rsid w:val="753C4E9B"/>
    <w:rsid w:val="767F01D6"/>
    <w:rsid w:val="781113A7"/>
    <w:rsid w:val="78A25F9F"/>
    <w:rsid w:val="790B0CCC"/>
    <w:rsid w:val="791E6510"/>
    <w:rsid w:val="7A1433E1"/>
    <w:rsid w:val="7A9E283F"/>
    <w:rsid w:val="7BBF1695"/>
    <w:rsid w:val="7C8D4A41"/>
    <w:rsid w:val="7D8A69CB"/>
    <w:rsid w:val="7F0A22DB"/>
    <w:rsid w:val="7F0E03A6"/>
    <w:rsid w:val="7FD840FD"/>
    <w:rsid w:val="FEFEAA5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line="560" w:lineRule="exact"/>
      <w:ind w:firstLine="200" w:firstLineChars="200"/>
      <w:outlineLvl w:val="1"/>
    </w:pPr>
    <w:rPr>
      <w:rFonts w:eastAsia="楷体_GB2312" w:asciiTheme="majorHAnsi" w:hAnsiTheme="majorHAnsi" w:cstheme="majorBidi"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nhideWhenUsed/>
    <w:qFormat/>
    <w:uiPriority w:val="0"/>
    <w:pPr>
      <w:ind w:firstLine="420" w:firstLineChars="200"/>
    </w:pPr>
  </w:style>
  <w:style w:type="paragraph" w:styleId="4">
    <w:name w:val="Body Text Indent"/>
    <w:basedOn w:val="1"/>
    <w:unhideWhenUsed/>
    <w:qFormat/>
    <w:uiPriority w:val="0"/>
    <w:pPr>
      <w:ind w:firstLine="640" w:firstLineChars="200"/>
    </w:pPr>
    <w:rPr>
      <w:sz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8">
    <w:name w:val="Body Text First Indent 2"/>
    <w:basedOn w:val="4"/>
    <w:unhideWhenUsed/>
    <w:qFormat/>
    <w:uiPriority w:val="99"/>
    <w:pPr>
      <w:ind w:firstLine="420"/>
    </w:pPr>
  </w:style>
  <w:style w:type="paragraph" w:customStyle="1" w:styleId="11">
    <w:name w:val="标题1"/>
    <w:basedOn w:val="2"/>
    <w:qFormat/>
    <w:uiPriority w:val="0"/>
    <w:rPr>
      <w:rFonts w:eastAsia="黑体"/>
    </w:rPr>
  </w:style>
  <w:style w:type="paragraph" w:customStyle="1" w:styleId="12">
    <w:name w:val="首行缩进"/>
    <w:basedOn w:val="1"/>
    <w:qFormat/>
    <w:uiPriority w:val="0"/>
    <w:pPr>
      <w:ind w:firstLine="480" w:firstLineChars="200"/>
    </w:pPr>
    <w:rPr>
      <w:lang w:val="zh-CN"/>
    </w:rPr>
  </w:style>
  <w:style w:type="character" w:customStyle="1" w:styleId="13">
    <w:name w:val="NormalCharacter"/>
    <w:semiHidden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11</Pages>
  <Words>4154</Words>
  <Characters>4428</Characters>
  <Lines>7</Lines>
  <Paragraphs>10</Paragraphs>
  <TotalTime>22</TotalTime>
  <ScaleCrop>false</ScaleCrop>
  <LinksUpToDate>false</LinksUpToDate>
  <CharactersWithSpaces>4600</CharactersWithSpaces>
  <Application>WPS Office_11.1.0.11704_F1E327BC-269C-435d-A152-05C5408002CA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2024-02-22T10:03:00Z</dcterms:created>
  <dc:creator>1402836399</dc:creator>
  <cp:lastModifiedBy>syjy521</cp:lastModifiedBy>
  <cp:lastPrinted>2024-04-04T12:38:00Z</cp:lastPrinted>
  <dcterms:modified xsi:type="dcterms:W3CDTF">2025-05-09T17:21:22Z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2052-11.1.0.11704</vt:lpwstr>
  </property>
  <property fmtid="{D5CDD505-2E9C-101B-9397-08002B2CF9AE}" pid="3" name="ICV">
    <vt:lpwstr>72B3C2C35ED645B99ADBE44EE2C8FCA0_13</vt:lpwstr>
  </property>
</Properties>
</file>