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40" w:lineRule="exact"/>
        <w:rPr>
          <w:rFonts w:ascii="黑体" w:hAnsi="宋体" w:eastAsia="黑体" w:cs="宋体"/>
          <w:kern w:val="0"/>
          <w:sz w:val="32"/>
          <w:szCs w:val="32"/>
        </w:rPr>
      </w:pPr>
      <w:r>
        <w:rPr>
          <w:rFonts w:hint="eastAsia" w:eastAsia="黑体"/>
          <w:sz w:val="32"/>
          <w:szCs w:val="32"/>
        </w:rPr>
        <w:t>附件1</w:t>
      </w:r>
      <w:r>
        <w:rPr>
          <w:rFonts w:ascii="宋体" w:hAnsi="宋体" w:cs="宋体"/>
          <w:kern w:val="0"/>
          <w:sz w:val="32"/>
          <w:szCs w:val="32"/>
        </w:rPr>
        <w:tab/>
      </w:r>
    </w:p>
    <w:p>
      <w:pPr>
        <w:widowControl/>
        <w:ind w:left="93"/>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部门整体支出绩效评价指标评分表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429"/>
        <w:gridCol w:w="567"/>
        <w:gridCol w:w="851"/>
        <w:gridCol w:w="567"/>
        <w:gridCol w:w="3118"/>
        <w:gridCol w:w="3472"/>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jc w:val="center"/>
        </w:trPr>
        <w:tc>
          <w:tcPr>
            <w:tcW w:w="411" w:type="dxa"/>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一级指标</w:t>
            </w:r>
          </w:p>
        </w:tc>
        <w:tc>
          <w:tcPr>
            <w:tcW w:w="429" w:type="dxa"/>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二级指标</w:t>
            </w:r>
          </w:p>
        </w:tc>
        <w:tc>
          <w:tcPr>
            <w:tcW w:w="567" w:type="dxa"/>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分值</w:t>
            </w:r>
          </w:p>
        </w:tc>
        <w:tc>
          <w:tcPr>
            <w:tcW w:w="851" w:type="dxa"/>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三级   指标</w:t>
            </w:r>
          </w:p>
        </w:tc>
        <w:tc>
          <w:tcPr>
            <w:tcW w:w="567" w:type="dxa"/>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分值</w:t>
            </w:r>
          </w:p>
        </w:tc>
        <w:tc>
          <w:tcPr>
            <w:tcW w:w="3118" w:type="dxa"/>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评价标准</w:t>
            </w:r>
          </w:p>
        </w:tc>
        <w:tc>
          <w:tcPr>
            <w:tcW w:w="3472" w:type="dxa"/>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备注</w:t>
            </w:r>
          </w:p>
        </w:tc>
        <w:tc>
          <w:tcPr>
            <w:tcW w:w="617" w:type="dxa"/>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411" w:type="dxa"/>
            <w:vMerge w:val="restart"/>
            <w:textDirection w:val="tbRlV"/>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投    入</w:t>
            </w:r>
          </w:p>
        </w:tc>
        <w:tc>
          <w:tcPr>
            <w:tcW w:w="429" w:type="dxa"/>
            <w:vMerge w:val="restart"/>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预算配置</w:t>
            </w:r>
          </w:p>
        </w:tc>
        <w:tc>
          <w:tcPr>
            <w:tcW w:w="567" w:type="dxa"/>
            <w:vMerge w:val="restart"/>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18</w:t>
            </w:r>
          </w:p>
        </w:tc>
        <w:tc>
          <w:tcPr>
            <w:tcW w:w="851" w:type="dxa"/>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变动率</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“三公经费”变动率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0,计3分；“三公经费”＞0，每超过一个百分点扣0.3分，扣完为止。</w:t>
            </w:r>
          </w:p>
        </w:tc>
        <w:tc>
          <w:tcPr>
            <w:tcW w:w="3472" w:type="dxa"/>
            <w:vAlign w:val="center"/>
          </w:tcPr>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“三公经费”变动率=[（本年度“三公经费”总额-上年度“三公经费”总额）/上年度“三公经费”总额]×100%。</w:t>
            </w:r>
          </w:p>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“三公经费”：指政府部门人员因公出国（境）经费、公务车购置及运行费、公务招待费产生的消费。</w:t>
            </w:r>
          </w:p>
        </w:tc>
        <w:tc>
          <w:tcPr>
            <w:tcW w:w="617"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411" w:type="dxa"/>
            <w:vMerge w:val="continue"/>
          </w:tcPr>
          <w:p>
            <w:pPr>
              <w:widowControl/>
              <w:jc w:val="left"/>
              <w:rPr>
                <w:rFonts w:ascii="仿宋_GB2312" w:hAnsi="宋体" w:eastAsia="仿宋_GB2312" w:cs="宋体"/>
                <w:kern w:val="0"/>
                <w:sz w:val="20"/>
                <w:szCs w:val="20"/>
              </w:rPr>
            </w:pPr>
          </w:p>
        </w:tc>
        <w:tc>
          <w:tcPr>
            <w:tcW w:w="429" w:type="dxa"/>
            <w:vMerge w:val="continue"/>
          </w:tcPr>
          <w:p>
            <w:pPr>
              <w:widowControl/>
              <w:jc w:val="left"/>
              <w:rPr>
                <w:rFonts w:ascii="仿宋_GB2312" w:hAnsi="宋体" w:eastAsia="仿宋_GB2312" w:cs="宋体"/>
                <w:kern w:val="0"/>
                <w:sz w:val="20"/>
                <w:szCs w:val="20"/>
              </w:rPr>
            </w:pPr>
          </w:p>
        </w:tc>
        <w:tc>
          <w:tcPr>
            <w:tcW w:w="567" w:type="dxa"/>
            <w:vMerge w:val="continue"/>
          </w:tcPr>
          <w:p>
            <w:pPr>
              <w:widowControl/>
              <w:jc w:val="left"/>
              <w:rPr>
                <w:rFonts w:ascii="仿宋_GB2312" w:hAnsi="宋体" w:eastAsia="仿宋_GB2312" w:cs="宋体"/>
                <w:kern w:val="0"/>
                <w:sz w:val="20"/>
                <w:szCs w:val="20"/>
              </w:rPr>
            </w:pP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“三公经费”   管理</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①招待费用明确招待标准和招待人数,1分;②车辆维护、燃油使用政府定点，1分。③</w:t>
            </w:r>
            <w:r>
              <w:rPr>
                <w:rFonts w:hint="eastAsia" w:ascii="仿宋_GB2312" w:hAnsi="仿宋" w:eastAsia="仿宋_GB2312" w:cs="仿宋"/>
                <w:kern w:val="0"/>
                <w:sz w:val="20"/>
                <w:szCs w:val="20"/>
              </w:rPr>
              <w:t>制定“三公经费”管理办法，1分，每少一项扣1分，扣完为止。</w:t>
            </w:r>
          </w:p>
        </w:tc>
        <w:tc>
          <w:tcPr>
            <w:tcW w:w="3472" w:type="dxa"/>
          </w:tcPr>
          <w:p>
            <w:pPr>
              <w:widowControl/>
              <w:jc w:val="left"/>
              <w:rPr>
                <w:rFonts w:ascii="仿宋_GB2312" w:hAnsi="宋体" w:eastAsia="仿宋_GB2312" w:cs="宋体"/>
                <w:kern w:val="0"/>
                <w:sz w:val="20"/>
                <w:szCs w:val="20"/>
              </w:rPr>
            </w:pPr>
          </w:p>
        </w:tc>
        <w:tc>
          <w:tcPr>
            <w:tcW w:w="617"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11" w:type="dxa"/>
            <w:vMerge w:val="continue"/>
          </w:tcPr>
          <w:p>
            <w:pPr>
              <w:widowControl/>
              <w:jc w:val="left"/>
              <w:rPr>
                <w:rFonts w:ascii="仿宋_GB2312" w:hAnsi="宋体" w:eastAsia="仿宋_GB2312" w:cs="宋体"/>
                <w:kern w:val="0"/>
                <w:sz w:val="20"/>
                <w:szCs w:val="20"/>
              </w:rPr>
            </w:pPr>
          </w:p>
        </w:tc>
        <w:tc>
          <w:tcPr>
            <w:tcW w:w="429" w:type="dxa"/>
            <w:vMerge w:val="continue"/>
          </w:tcPr>
          <w:p>
            <w:pPr>
              <w:widowControl/>
              <w:jc w:val="left"/>
              <w:rPr>
                <w:rFonts w:ascii="仿宋_GB2312" w:hAnsi="宋体" w:eastAsia="仿宋_GB2312" w:cs="宋体"/>
                <w:kern w:val="0"/>
                <w:sz w:val="20"/>
                <w:szCs w:val="20"/>
              </w:rPr>
            </w:pPr>
          </w:p>
        </w:tc>
        <w:tc>
          <w:tcPr>
            <w:tcW w:w="567" w:type="dxa"/>
            <w:vMerge w:val="continue"/>
          </w:tcPr>
          <w:p>
            <w:pPr>
              <w:widowControl/>
              <w:jc w:val="left"/>
              <w:rPr>
                <w:rFonts w:ascii="仿宋_GB2312" w:hAnsi="宋体" w:eastAsia="仿宋_GB2312" w:cs="宋体"/>
                <w:kern w:val="0"/>
                <w:sz w:val="20"/>
                <w:szCs w:val="20"/>
              </w:rPr>
            </w:pP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公务</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招待费变动率</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“公务招待费”变动率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0,计2分；“公务招待费变动率”＞0，每超过一个百分点扣0.2分，扣完为止。</w:t>
            </w:r>
          </w:p>
        </w:tc>
        <w:tc>
          <w:tcPr>
            <w:tcW w:w="3472"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公务招待费变动率=[（本年度“公务招待费”总额-上年度“公务招待费”总额）/上年度“公务招待费”总额]×100%。</w:t>
            </w:r>
          </w:p>
        </w:tc>
        <w:tc>
          <w:tcPr>
            <w:tcW w:w="617"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411" w:type="dxa"/>
            <w:vMerge w:val="continue"/>
          </w:tcPr>
          <w:p>
            <w:pPr>
              <w:widowControl/>
              <w:jc w:val="left"/>
              <w:rPr>
                <w:rFonts w:ascii="仿宋_GB2312" w:hAnsi="宋体" w:eastAsia="仿宋_GB2312" w:cs="宋体"/>
                <w:kern w:val="0"/>
                <w:sz w:val="20"/>
                <w:szCs w:val="20"/>
              </w:rPr>
            </w:pPr>
          </w:p>
        </w:tc>
        <w:tc>
          <w:tcPr>
            <w:tcW w:w="429" w:type="dxa"/>
            <w:vMerge w:val="continue"/>
          </w:tcPr>
          <w:p>
            <w:pPr>
              <w:widowControl/>
              <w:jc w:val="left"/>
              <w:rPr>
                <w:rFonts w:ascii="仿宋_GB2312" w:hAnsi="宋体" w:eastAsia="仿宋_GB2312" w:cs="宋体"/>
                <w:kern w:val="0"/>
                <w:sz w:val="20"/>
                <w:szCs w:val="20"/>
              </w:rPr>
            </w:pPr>
          </w:p>
        </w:tc>
        <w:tc>
          <w:tcPr>
            <w:tcW w:w="567" w:type="dxa"/>
            <w:vMerge w:val="continue"/>
          </w:tcPr>
          <w:p>
            <w:pPr>
              <w:widowControl/>
              <w:jc w:val="left"/>
              <w:rPr>
                <w:rFonts w:ascii="仿宋_GB2312" w:hAnsi="宋体" w:eastAsia="仿宋_GB2312" w:cs="宋体"/>
                <w:kern w:val="0"/>
                <w:sz w:val="20"/>
                <w:szCs w:val="20"/>
              </w:rPr>
            </w:pP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公务用车购置</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运行费</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变动率</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“公务用车购置运行费”变动率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0,计2分；“公务用车购置运行费变动率”＞0，每超过一个百分点扣0.2分，扣完为止。</w:t>
            </w:r>
          </w:p>
        </w:tc>
        <w:tc>
          <w:tcPr>
            <w:tcW w:w="3472" w:type="dxa"/>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公务用车购置运行费变动率=[（本年度“公务用车购置运行费”总额-上年度“公务用车购置运行费”总额）/上年度“公务用车购置运行费”总额]×100%。</w:t>
            </w:r>
          </w:p>
        </w:tc>
        <w:tc>
          <w:tcPr>
            <w:tcW w:w="617"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411" w:type="dxa"/>
            <w:vMerge w:val="continue"/>
          </w:tcPr>
          <w:p>
            <w:pPr>
              <w:widowControl/>
              <w:jc w:val="left"/>
              <w:rPr>
                <w:rFonts w:ascii="仿宋_GB2312" w:hAnsi="宋体" w:eastAsia="仿宋_GB2312" w:cs="宋体"/>
                <w:kern w:val="0"/>
                <w:sz w:val="20"/>
                <w:szCs w:val="20"/>
              </w:rPr>
            </w:pPr>
          </w:p>
        </w:tc>
        <w:tc>
          <w:tcPr>
            <w:tcW w:w="429" w:type="dxa"/>
            <w:vMerge w:val="continue"/>
          </w:tcPr>
          <w:p>
            <w:pPr>
              <w:widowControl/>
              <w:jc w:val="left"/>
              <w:rPr>
                <w:rFonts w:ascii="仿宋_GB2312" w:hAnsi="宋体" w:eastAsia="仿宋_GB2312" w:cs="宋体"/>
                <w:kern w:val="0"/>
                <w:sz w:val="20"/>
                <w:szCs w:val="20"/>
              </w:rPr>
            </w:pPr>
          </w:p>
        </w:tc>
        <w:tc>
          <w:tcPr>
            <w:tcW w:w="567" w:type="dxa"/>
            <w:vMerge w:val="continue"/>
          </w:tcPr>
          <w:p>
            <w:pPr>
              <w:widowControl/>
              <w:jc w:val="left"/>
              <w:rPr>
                <w:rFonts w:ascii="仿宋_GB2312" w:hAnsi="宋体" w:eastAsia="仿宋_GB2312" w:cs="宋体"/>
                <w:kern w:val="0"/>
                <w:sz w:val="20"/>
                <w:szCs w:val="20"/>
              </w:rPr>
            </w:pP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商品 和服务支出 变动率</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“商品和服务支出”变动率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0,计2分；“商品和服务支出”变动率＞0，每超过一个百分点扣0.2分，扣完为止。</w:t>
            </w:r>
          </w:p>
        </w:tc>
        <w:tc>
          <w:tcPr>
            <w:tcW w:w="3472"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“商品和服务支出”变动率=[（本年度“商品和服务支出”总额-上年度“商品和服务支出”总额）/上年度“商品和服务支出”总额]×100%。</w:t>
            </w:r>
          </w:p>
        </w:tc>
        <w:tc>
          <w:tcPr>
            <w:tcW w:w="617"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11" w:type="dxa"/>
            <w:vMerge w:val="continue"/>
          </w:tcPr>
          <w:p>
            <w:pPr>
              <w:widowControl/>
              <w:jc w:val="left"/>
              <w:rPr>
                <w:rFonts w:ascii="仿宋_GB2312" w:hAnsi="宋体" w:eastAsia="仿宋_GB2312" w:cs="宋体"/>
                <w:kern w:val="0"/>
                <w:sz w:val="20"/>
                <w:szCs w:val="20"/>
              </w:rPr>
            </w:pPr>
          </w:p>
        </w:tc>
        <w:tc>
          <w:tcPr>
            <w:tcW w:w="429" w:type="dxa"/>
            <w:vMerge w:val="continue"/>
          </w:tcPr>
          <w:p>
            <w:pPr>
              <w:widowControl/>
              <w:jc w:val="left"/>
              <w:rPr>
                <w:rFonts w:ascii="仿宋_GB2312" w:hAnsi="宋体" w:eastAsia="仿宋_GB2312" w:cs="宋体"/>
                <w:kern w:val="0"/>
                <w:sz w:val="20"/>
                <w:szCs w:val="20"/>
              </w:rPr>
            </w:pPr>
          </w:p>
        </w:tc>
        <w:tc>
          <w:tcPr>
            <w:tcW w:w="567" w:type="dxa"/>
            <w:vMerge w:val="continue"/>
          </w:tcPr>
          <w:p>
            <w:pPr>
              <w:widowControl/>
              <w:jc w:val="left"/>
              <w:rPr>
                <w:rFonts w:ascii="仿宋_GB2312" w:hAnsi="宋体" w:eastAsia="仿宋_GB2312" w:cs="宋体"/>
                <w:kern w:val="0"/>
                <w:sz w:val="20"/>
                <w:szCs w:val="20"/>
              </w:rPr>
            </w:pP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重点  支出  安排率</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重点支出安排率≥90%，计2分；80%（含）-90%，计1分；70%（含）-80%，计0.5分；低于70%不得分。</w:t>
            </w:r>
          </w:p>
        </w:tc>
        <w:tc>
          <w:tcPr>
            <w:tcW w:w="3472" w:type="dxa"/>
            <w:vAlign w:val="center"/>
          </w:tcPr>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重点支出安排率=（重点项目支出/项目总支出）×100%</w:t>
            </w:r>
          </w:p>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重点项目支出：市政府确定的为民办实事和部门重点工程与重点工作支出。项目总支出：部门（单位）年度预算安排的项目支出总额。</w:t>
            </w:r>
          </w:p>
        </w:tc>
        <w:tc>
          <w:tcPr>
            <w:tcW w:w="617"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exact"/>
          <w:jc w:val="center"/>
        </w:trPr>
        <w:tc>
          <w:tcPr>
            <w:tcW w:w="411" w:type="dxa"/>
            <w:vMerge w:val="continue"/>
          </w:tcPr>
          <w:p>
            <w:pPr>
              <w:widowControl/>
              <w:jc w:val="left"/>
              <w:rPr>
                <w:rFonts w:ascii="仿宋_GB2312" w:hAnsi="宋体" w:eastAsia="仿宋_GB2312" w:cs="宋体"/>
                <w:kern w:val="0"/>
                <w:sz w:val="20"/>
                <w:szCs w:val="20"/>
              </w:rPr>
            </w:pPr>
          </w:p>
        </w:tc>
        <w:tc>
          <w:tcPr>
            <w:tcW w:w="429" w:type="dxa"/>
            <w:vMerge w:val="continue"/>
          </w:tcPr>
          <w:p>
            <w:pPr>
              <w:widowControl/>
              <w:jc w:val="left"/>
              <w:rPr>
                <w:rFonts w:ascii="仿宋_GB2312" w:hAnsi="宋体" w:eastAsia="仿宋_GB2312" w:cs="宋体"/>
                <w:kern w:val="0"/>
                <w:sz w:val="20"/>
                <w:szCs w:val="20"/>
              </w:rPr>
            </w:pPr>
          </w:p>
        </w:tc>
        <w:tc>
          <w:tcPr>
            <w:tcW w:w="567" w:type="dxa"/>
            <w:vMerge w:val="continue"/>
          </w:tcPr>
          <w:p>
            <w:pPr>
              <w:widowControl/>
              <w:jc w:val="left"/>
              <w:rPr>
                <w:rFonts w:ascii="仿宋_GB2312" w:hAnsi="宋体" w:eastAsia="仿宋_GB2312" w:cs="宋体"/>
                <w:kern w:val="0"/>
                <w:sz w:val="20"/>
                <w:szCs w:val="20"/>
              </w:rPr>
            </w:pP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非税 收入 管理</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①实行收支两条线，1分；</w:t>
            </w:r>
          </w:p>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②未发生截留、坐支或转移，1分。以上每发现一次违规现象扣1分，扣完为止。</w:t>
            </w:r>
          </w:p>
        </w:tc>
        <w:tc>
          <w:tcPr>
            <w:tcW w:w="3472" w:type="dxa"/>
          </w:tcPr>
          <w:p>
            <w:pPr>
              <w:widowControl/>
              <w:jc w:val="left"/>
              <w:rPr>
                <w:rFonts w:ascii="仿宋_GB2312" w:hAnsi="宋体" w:eastAsia="仿宋_GB2312" w:cs="宋体"/>
                <w:kern w:val="0"/>
                <w:sz w:val="20"/>
                <w:szCs w:val="20"/>
              </w:rPr>
            </w:pPr>
          </w:p>
        </w:tc>
        <w:tc>
          <w:tcPr>
            <w:tcW w:w="617"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exact"/>
          <w:jc w:val="center"/>
        </w:trPr>
        <w:tc>
          <w:tcPr>
            <w:tcW w:w="411" w:type="dxa"/>
            <w:vMerge w:val="continue"/>
          </w:tcPr>
          <w:p>
            <w:pPr>
              <w:widowControl/>
              <w:jc w:val="left"/>
              <w:rPr>
                <w:rFonts w:ascii="仿宋_GB2312" w:hAnsi="宋体" w:eastAsia="仿宋_GB2312" w:cs="宋体"/>
                <w:kern w:val="0"/>
                <w:sz w:val="20"/>
                <w:szCs w:val="20"/>
              </w:rPr>
            </w:pPr>
          </w:p>
        </w:tc>
        <w:tc>
          <w:tcPr>
            <w:tcW w:w="429" w:type="dxa"/>
            <w:vMerge w:val="continue"/>
          </w:tcPr>
          <w:p>
            <w:pPr>
              <w:widowControl/>
              <w:jc w:val="left"/>
              <w:rPr>
                <w:rFonts w:ascii="仿宋_GB2312" w:hAnsi="宋体" w:eastAsia="仿宋_GB2312" w:cs="宋体"/>
                <w:kern w:val="0"/>
                <w:sz w:val="20"/>
                <w:szCs w:val="20"/>
              </w:rPr>
            </w:pPr>
          </w:p>
        </w:tc>
        <w:tc>
          <w:tcPr>
            <w:tcW w:w="567" w:type="dxa"/>
            <w:vMerge w:val="continue"/>
          </w:tcPr>
          <w:p>
            <w:pPr>
              <w:widowControl/>
              <w:jc w:val="left"/>
              <w:rPr>
                <w:rFonts w:ascii="仿宋_GB2312" w:hAnsi="宋体" w:eastAsia="仿宋_GB2312" w:cs="宋体"/>
                <w:kern w:val="0"/>
                <w:sz w:val="20"/>
                <w:szCs w:val="20"/>
              </w:rPr>
            </w:pP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非税 收入 完成率</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非税收入完成率100%，2分，每少一个百分点，扣0.1分，扣完为止。</w:t>
            </w:r>
          </w:p>
        </w:tc>
        <w:tc>
          <w:tcPr>
            <w:tcW w:w="3472"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非税收入完成率=（</w:t>
            </w:r>
            <w:r>
              <w:rPr>
                <w:rFonts w:ascii="仿宋_GB2312" w:hAnsi="宋体" w:eastAsia="仿宋_GB2312" w:cs="宋体"/>
                <w:kern w:val="0"/>
                <w:sz w:val="20"/>
                <w:szCs w:val="20"/>
              </w:rPr>
              <w:t>20</w:t>
            </w:r>
            <w:r>
              <w:rPr>
                <w:rFonts w:hint="eastAsia" w:ascii="仿宋_GB2312" w:hAnsi="宋体" w:eastAsia="仿宋_GB2312" w:cs="宋体"/>
                <w:kern w:val="0"/>
                <w:sz w:val="20"/>
                <w:szCs w:val="20"/>
              </w:rPr>
              <w:t>20年度非税实际收入完成数/</w:t>
            </w:r>
            <w:r>
              <w:rPr>
                <w:rFonts w:ascii="仿宋_GB2312" w:hAnsi="宋体" w:eastAsia="仿宋_GB2312" w:cs="宋体"/>
                <w:kern w:val="0"/>
                <w:sz w:val="20"/>
                <w:szCs w:val="20"/>
              </w:rPr>
              <w:t>20</w:t>
            </w:r>
            <w:r>
              <w:rPr>
                <w:rFonts w:hint="eastAsia" w:ascii="仿宋_GB2312" w:hAnsi="宋体" w:eastAsia="仿宋_GB2312" w:cs="宋体"/>
                <w:kern w:val="0"/>
                <w:sz w:val="20"/>
                <w:szCs w:val="20"/>
              </w:rPr>
              <w:t>20年度非税收入预算数）×100%，有减免因素的，以非税局确定的为准。</w:t>
            </w:r>
          </w:p>
        </w:tc>
        <w:tc>
          <w:tcPr>
            <w:tcW w:w="617"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exact"/>
          <w:jc w:val="center"/>
        </w:trPr>
        <w:tc>
          <w:tcPr>
            <w:tcW w:w="411" w:type="dxa"/>
            <w:vMerge w:val="restart"/>
            <w:textDirection w:val="tbRlV"/>
          </w:tcPr>
          <w:p>
            <w:pPr>
              <w:widowControl/>
              <w:jc w:val="center"/>
              <w:rPr>
                <w:rFonts w:ascii="仿宋_GB2312" w:hAnsi="宋体" w:eastAsia="仿宋_GB2312" w:cs="宋体"/>
                <w:kern w:val="0"/>
                <w:sz w:val="20"/>
                <w:szCs w:val="20"/>
              </w:rPr>
            </w:pPr>
          </w:p>
          <w:p>
            <w:pPr>
              <w:widowControl/>
              <w:jc w:val="center"/>
              <w:rPr>
                <w:rFonts w:ascii="仿宋_GB2312" w:hAnsi="宋体" w:eastAsia="仿宋_GB2312" w:cs="宋体"/>
                <w:kern w:val="0"/>
                <w:sz w:val="20"/>
                <w:szCs w:val="20"/>
              </w:rPr>
            </w:pP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p>
            <w:pPr>
              <w:widowControl/>
              <w:ind w:left="113" w:right="113"/>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widowControl/>
              <w:jc w:val="left"/>
              <w:rPr>
                <w:rFonts w:ascii="仿宋_GB2312" w:hAnsi="宋体" w:eastAsia="仿宋_GB2312" w:cs="宋体"/>
                <w:kern w:val="0"/>
                <w:sz w:val="20"/>
                <w:szCs w:val="20"/>
              </w:rPr>
            </w:pPr>
          </w:p>
          <w:p>
            <w:pPr>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tc>
        <w:tc>
          <w:tcPr>
            <w:tcW w:w="429" w:type="dxa"/>
            <w:vMerge w:val="restart"/>
            <w:tcBorders>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预算执行</w:t>
            </w:r>
          </w:p>
        </w:tc>
        <w:tc>
          <w:tcPr>
            <w:tcW w:w="567" w:type="dxa"/>
            <w:vMerge w:val="restart"/>
            <w:tcBorders>
              <w:lef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  完成率</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完成率&lt;1，计2分，</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完成率=1，计1分，</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完成率&gt;1，不得分。</w:t>
            </w:r>
          </w:p>
          <w:p>
            <w:pPr>
              <w:widowControl/>
              <w:jc w:val="center"/>
              <w:rPr>
                <w:rFonts w:ascii="仿宋_GB2312" w:hAnsi="宋体" w:eastAsia="仿宋_GB2312" w:cs="宋体"/>
                <w:kern w:val="0"/>
                <w:sz w:val="20"/>
                <w:szCs w:val="20"/>
              </w:rPr>
            </w:pPr>
          </w:p>
        </w:tc>
        <w:tc>
          <w:tcPr>
            <w:tcW w:w="3472" w:type="dxa"/>
            <w:vAlign w:val="center"/>
          </w:tcPr>
          <w:p>
            <w:pPr>
              <w:autoSpaceDN w:val="0"/>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预算完成率=（预算完成数/预算数）×100%。预算完成数：部门（单位）本年度实际完成的预算数；预算数：财政部门批复的本年度部门（单位）预算数。</w:t>
            </w:r>
          </w:p>
        </w:tc>
        <w:tc>
          <w:tcPr>
            <w:tcW w:w="617"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exact"/>
          <w:jc w:val="center"/>
        </w:trPr>
        <w:tc>
          <w:tcPr>
            <w:tcW w:w="411" w:type="dxa"/>
            <w:vMerge w:val="continue"/>
          </w:tcPr>
          <w:p>
            <w:pPr>
              <w:rPr>
                <w:rFonts w:ascii="仿宋_GB2312" w:hAnsi="宋体" w:eastAsia="仿宋_GB2312" w:cs="宋体"/>
                <w:kern w:val="0"/>
                <w:sz w:val="20"/>
                <w:szCs w:val="20"/>
              </w:rPr>
            </w:pPr>
          </w:p>
        </w:tc>
        <w:tc>
          <w:tcPr>
            <w:tcW w:w="429" w:type="dxa"/>
            <w:vMerge w:val="continue"/>
            <w:tcBorders>
              <w:right w:val="single" w:color="auto" w:sz="4" w:space="0"/>
            </w:tcBorders>
          </w:tcPr>
          <w:p>
            <w:pPr>
              <w:rPr>
                <w:rFonts w:ascii="仿宋_GB2312" w:hAnsi="宋体" w:eastAsia="仿宋_GB2312" w:cs="宋体"/>
                <w:kern w:val="0"/>
                <w:sz w:val="20"/>
                <w:szCs w:val="20"/>
              </w:rPr>
            </w:pPr>
          </w:p>
        </w:tc>
        <w:tc>
          <w:tcPr>
            <w:tcW w:w="567" w:type="dxa"/>
            <w:vMerge w:val="continue"/>
            <w:tcBorders>
              <w:left w:val="single" w:color="auto" w:sz="4" w:space="0"/>
            </w:tcBorders>
          </w:tcPr>
          <w:p>
            <w:pPr>
              <w:jc w:val="center"/>
              <w:rPr>
                <w:rFonts w:ascii="仿宋_GB2312" w:hAnsi="宋体" w:eastAsia="仿宋_GB2312" w:cs="宋体"/>
                <w:kern w:val="0"/>
                <w:sz w:val="20"/>
                <w:szCs w:val="20"/>
              </w:rPr>
            </w:pP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资金  结余</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结余超过10%（不含），2分；结余在0-10%（含）的，1分；本年超支不得分。</w:t>
            </w:r>
          </w:p>
        </w:tc>
        <w:tc>
          <w:tcPr>
            <w:tcW w:w="3472"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本项结余不含未完工项目资金的结转数。</w:t>
            </w:r>
          </w:p>
        </w:tc>
        <w:tc>
          <w:tcPr>
            <w:tcW w:w="617"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exact"/>
          <w:jc w:val="center"/>
        </w:trPr>
        <w:tc>
          <w:tcPr>
            <w:tcW w:w="411" w:type="dxa"/>
            <w:vMerge w:val="continue"/>
          </w:tcPr>
          <w:p>
            <w:pPr>
              <w:rPr>
                <w:rFonts w:ascii="仿宋_GB2312" w:hAnsi="宋体" w:eastAsia="仿宋_GB2312" w:cs="宋体"/>
                <w:kern w:val="0"/>
                <w:sz w:val="20"/>
                <w:szCs w:val="20"/>
              </w:rPr>
            </w:pPr>
          </w:p>
        </w:tc>
        <w:tc>
          <w:tcPr>
            <w:tcW w:w="429" w:type="dxa"/>
            <w:vMerge w:val="continue"/>
            <w:tcBorders>
              <w:right w:val="single" w:color="auto" w:sz="4" w:space="0"/>
            </w:tcBorders>
          </w:tcPr>
          <w:p>
            <w:pPr>
              <w:rPr>
                <w:rFonts w:ascii="仿宋_GB2312" w:hAnsi="宋体" w:eastAsia="仿宋_GB2312" w:cs="宋体"/>
                <w:kern w:val="0"/>
                <w:sz w:val="20"/>
                <w:szCs w:val="20"/>
              </w:rPr>
            </w:pPr>
          </w:p>
        </w:tc>
        <w:tc>
          <w:tcPr>
            <w:tcW w:w="567" w:type="dxa"/>
            <w:vMerge w:val="continue"/>
            <w:tcBorders>
              <w:left w:val="single" w:color="auto" w:sz="4" w:space="0"/>
            </w:tcBorders>
          </w:tcPr>
          <w:p>
            <w:pPr>
              <w:jc w:val="center"/>
              <w:rPr>
                <w:rFonts w:ascii="仿宋_GB2312" w:hAnsi="宋体" w:eastAsia="仿宋_GB2312" w:cs="宋体"/>
                <w:kern w:val="0"/>
                <w:sz w:val="20"/>
                <w:szCs w:val="20"/>
              </w:rPr>
            </w:pPr>
          </w:p>
        </w:tc>
        <w:tc>
          <w:tcPr>
            <w:tcW w:w="851" w:type="dxa"/>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控制率</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以100%为标准。三公经费控制率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100%，计2分；每超过一个百分点扣0.2分，扣完为止。单位没有制定“三公”经费预算，该项不得分。</w:t>
            </w:r>
          </w:p>
        </w:tc>
        <w:tc>
          <w:tcPr>
            <w:tcW w:w="3472"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“三公经费”控制率=（“三公经费”实际支出数/“三公经费”预算安排数）×100%。</w:t>
            </w:r>
          </w:p>
        </w:tc>
        <w:tc>
          <w:tcPr>
            <w:tcW w:w="617"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exact"/>
          <w:jc w:val="center"/>
        </w:trPr>
        <w:tc>
          <w:tcPr>
            <w:tcW w:w="411" w:type="dxa"/>
            <w:vMerge w:val="continue"/>
          </w:tcPr>
          <w:p>
            <w:pP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tcPr>
          <w:p>
            <w:pPr>
              <w:widowControl/>
              <w:jc w:val="left"/>
              <w:rPr>
                <w:rFonts w:ascii="仿宋_GB2312" w:hAnsi="宋体" w:eastAsia="仿宋_GB2312" w:cs="宋体"/>
                <w:kern w:val="0"/>
                <w:sz w:val="20"/>
                <w:szCs w:val="20"/>
              </w:rPr>
            </w:pPr>
          </w:p>
        </w:tc>
        <w:tc>
          <w:tcPr>
            <w:tcW w:w="567" w:type="dxa"/>
            <w:vMerge w:val="continue"/>
            <w:tcBorders>
              <w:left w:val="single" w:color="auto" w:sz="4" w:space="0"/>
              <w:bottom w:val="single" w:color="auto" w:sz="4" w:space="0"/>
            </w:tcBorders>
          </w:tcPr>
          <w:p>
            <w:pPr>
              <w:widowControl/>
              <w:jc w:val="left"/>
              <w:rPr>
                <w:rFonts w:ascii="仿宋_GB2312" w:hAnsi="宋体" w:eastAsia="仿宋_GB2312" w:cs="宋体"/>
                <w:kern w:val="0"/>
                <w:sz w:val="20"/>
                <w:szCs w:val="20"/>
              </w:rPr>
            </w:pP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政府</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采购</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rPr>
                <w:rFonts w:ascii="仿宋_GB2312" w:hAnsi="宋体" w:eastAsia="仿宋_GB2312" w:cs="宋体"/>
                <w:kern w:val="0"/>
                <w:sz w:val="20"/>
                <w:szCs w:val="20"/>
              </w:rPr>
            </w:pPr>
            <w:r>
              <w:rPr>
                <w:rFonts w:hint="eastAsia" w:ascii="仿宋" w:hAnsi="仿宋" w:eastAsia="仿宋" w:cs="宋体"/>
                <w:kern w:val="0"/>
                <w:sz w:val="20"/>
                <w:szCs w:val="20"/>
              </w:rPr>
              <w:t>①编</w:t>
            </w:r>
            <w:r>
              <w:rPr>
                <w:rFonts w:hint="eastAsia" w:ascii="仿宋_GB2312" w:hAnsi="宋体" w:eastAsia="仿宋_GB2312" w:cs="宋体"/>
                <w:kern w:val="0"/>
                <w:sz w:val="20"/>
                <w:szCs w:val="20"/>
              </w:rPr>
              <w:t>制政府采购年度预算并上报的，0.5分；②追加并编制政府采购预算的，0.5分；</w:t>
            </w:r>
            <w:r>
              <w:rPr>
                <w:rFonts w:hint="eastAsia" w:ascii="仿宋" w:hAnsi="仿宋" w:eastAsia="仿宋" w:cs="宋体"/>
                <w:kern w:val="0"/>
                <w:sz w:val="20"/>
                <w:szCs w:val="20"/>
              </w:rPr>
              <w:t>③</w:t>
            </w:r>
            <w:r>
              <w:rPr>
                <w:rFonts w:hint="eastAsia" w:ascii="仿宋_GB2312" w:hAnsi="宋体" w:eastAsia="仿宋_GB2312" w:cs="宋体"/>
                <w:kern w:val="0"/>
                <w:sz w:val="20"/>
                <w:szCs w:val="20"/>
              </w:rPr>
              <w:t>政府采购执行率=100%，计1分；每少一个百分点扣0.1分，扣完为止。</w:t>
            </w:r>
          </w:p>
        </w:tc>
        <w:tc>
          <w:tcPr>
            <w:tcW w:w="3472"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政府采购执行率=（实际实行政府采购金额/应实行政府采购金额）×100%。应实行政府采金额以《湘财购[2012]27号》文件为标准。</w:t>
            </w:r>
          </w:p>
        </w:tc>
        <w:tc>
          <w:tcPr>
            <w:tcW w:w="617"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4" w:hRule="exact"/>
          <w:jc w:val="center"/>
        </w:trPr>
        <w:tc>
          <w:tcPr>
            <w:tcW w:w="411" w:type="dxa"/>
            <w:vMerge w:val="continue"/>
          </w:tcPr>
          <w:p>
            <w:pPr>
              <w:widowControl/>
              <w:jc w:val="left"/>
              <w:rPr>
                <w:rFonts w:ascii="仿宋_GB2312" w:hAnsi="宋体" w:eastAsia="仿宋_GB2312" w:cs="宋体"/>
                <w:kern w:val="0"/>
                <w:sz w:val="20"/>
                <w:szCs w:val="20"/>
              </w:rPr>
            </w:pPr>
          </w:p>
        </w:tc>
        <w:tc>
          <w:tcPr>
            <w:tcW w:w="429" w:type="dxa"/>
            <w:vMerge w:val="restart"/>
            <w:tcBorders>
              <w:top w:val="single" w:color="auto" w:sz="4" w:space="0"/>
              <w:right w:val="single" w:color="auto" w:sz="4" w:space="0"/>
            </w:tcBorders>
            <w:vAlign w:val="center"/>
          </w:tcPr>
          <w:p>
            <w:pPr>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预算管理</w:t>
            </w:r>
          </w:p>
        </w:tc>
        <w:tc>
          <w:tcPr>
            <w:tcW w:w="567" w:type="dxa"/>
            <w:vMerge w:val="restart"/>
            <w:tcBorders>
              <w:top w:val="single" w:color="auto" w:sz="4" w:space="0"/>
              <w:left w:val="single" w:color="auto" w:sz="4" w:space="0"/>
            </w:tcBorders>
            <w:vAlign w:val="center"/>
          </w:tcPr>
          <w:p>
            <w:pPr>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28</w:t>
            </w:r>
          </w:p>
        </w:tc>
        <w:tc>
          <w:tcPr>
            <w:tcW w:w="851" w:type="dxa"/>
            <w:tcBorders>
              <w:top w:val="single" w:color="auto"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管理  制度</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健全性</w:t>
            </w:r>
          </w:p>
        </w:tc>
        <w:tc>
          <w:tcPr>
            <w:tcW w:w="567" w:type="dxa"/>
            <w:tcBorders>
              <w:top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p>
            <w:pPr>
              <w:widowControl/>
              <w:jc w:val="center"/>
              <w:rPr>
                <w:rFonts w:ascii="仿宋_GB2312" w:hAnsi="宋体" w:eastAsia="仿宋_GB2312" w:cs="宋体"/>
                <w:kern w:val="0"/>
                <w:sz w:val="20"/>
                <w:szCs w:val="20"/>
              </w:rPr>
            </w:pPr>
          </w:p>
        </w:tc>
        <w:tc>
          <w:tcPr>
            <w:tcW w:w="3118" w:type="dxa"/>
            <w:tcBorders>
              <w:top w:val="single" w:color="auto" w:sz="4" w:space="0"/>
            </w:tcBorders>
            <w:vAlign w:val="center"/>
          </w:tcPr>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①已制定资金管理办法、内部财务管理制度、会计核算制度等管理制度，1分；</w:t>
            </w:r>
          </w:p>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②建立健全单位内部控制制度，1分；</w:t>
            </w:r>
          </w:p>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③会计人员、机构按规定设置，1分；</w:t>
            </w:r>
          </w:p>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④会计基础工作健全，1分；</w:t>
            </w:r>
          </w:p>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⑤会计档案符合规定要求，1分；</w:t>
            </w:r>
          </w:p>
          <w:p>
            <w:pPr>
              <w:widowControl/>
              <w:rPr>
                <w:rFonts w:ascii="仿宋_GB2312" w:hAnsi="宋体" w:eastAsia="仿宋_GB2312" w:cs="宋体"/>
                <w:kern w:val="0"/>
                <w:sz w:val="20"/>
                <w:szCs w:val="20"/>
              </w:rPr>
            </w:pPr>
            <w:r>
              <w:rPr>
                <w:rFonts w:hint="eastAsia" w:ascii="仿宋_GB2312" w:hAnsi="仿宋" w:eastAsia="仿宋_GB2312" w:cs="仿宋"/>
                <w:kern w:val="0"/>
                <w:sz w:val="20"/>
                <w:szCs w:val="20"/>
              </w:rPr>
              <w:t>⑥项目管理规范（包括项目立项、申报、招投标、制度建立、按时完工等），1分，每发现少一项扣0.2分，扣完为止。</w:t>
            </w:r>
          </w:p>
        </w:tc>
        <w:tc>
          <w:tcPr>
            <w:tcW w:w="3472" w:type="dxa"/>
            <w:tcBorders>
              <w:top w:val="single" w:color="auto" w:sz="4" w:space="0"/>
            </w:tcBorders>
          </w:tcPr>
          <w:p>
            <w:pPr>
              <w:widowControl/>
              <w:jc w:val="left"/>
              <w:rPr>
                <w:rFonts w:ascii="仿宋_GB2312" w:hAnsi="宋体" w:eastAsia="仿宋_GB2312" w:cs="宋体"/>
                <w:kern w:val="0"/>
                <w:sz w:val="20"/>
                <w:szCs w:val="20"/>
              </w:rPr>
            </w:pPr>
          </w:p>
        </w:tc>
        <w:tc>
          <w:tcPr>
            <w:tcW w:w="617" w:type="dxa"/>
            <w:tcBorders>
              <w:top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exact"/>
          <w:jc w:val="center"/>
        </w:trPr>
        <w:tc>
          <w:tcPr>
            <w:tcW w:w="411" w:type="dxa"/>
            <w:vMerge w:val="continue"/>
          </w:tcPr>
          <w:p>
            <w:pPr>
              <w:widowControl/>
              <w:jc w:val="left"/>
              <w:rPr>
                <w:rFonts w:ascii="仿宋_GB2312" w:hAnsi="宋体" w:eastAsia="仿宋_GB2312" w:cs="宋体"/>
                <w:kern w:val="0"/>
                <w:sz w:val="20"/>
                <w:szCs w:val="20"/>
              </w:rPr>
            </w:pPr>
          </w:p>
        </w:tc>
        <w:tc>
          <w:tcPr>
            <w:tcW w:w="429" w:type="dxa"/>
            <w:vMerge w:val="continue"/>
            <w:tcBorders>
              <w:top w:val="single" w:color="auto" w:sz="4" w:space="0"/>
              <w:right w:val="single" w:color="auto" w:sz="4" w:space="0"/>
            </w:tcBorders>
            <w:vAlign w:val="center"/>
          </w:tcPr>
          <w:p>
            <w:pPr>
              <w:jc w:val="center"/>
              <w:rPr>
                <w:rFonts w:ascii="仿宋_GB2312" w:hAnsi="宋体" w:eastAsia="仿宋_GB2312" w:cs="宋体"/>
                <w:kern w:val="0"/>
                <w:sz w:val="20"/>
                <w:szCs w:val="20"/>
              </w:rPr>
            </w:pPr>
          </w:p>
        </w:tc>
        <w:tc>
          <w:tcPr>
            <w:tcW w:w="567" w:type="dxa"/>
            <w:vMerge w:val="continue"/>
            <w:tcBorders>
              <w:top w:val="single" w:color="auto" w:sz="4" w:space="0"/>
              <w:left w:val="single" w:color="auto" w:sz="4" w:space="0"/>
            </w:tcBorders>
            <w:vAlign w:val="center"/>
          </w:tcPr>
          <w:p>
            <w:pPr>
              <w:jc w:val="center"/>
              <w:rPr>
                <w:rFonts w:ascii="仿宋_GB2312" w:hAnsi="宋体" w:eastAsia="仿宋_GB2312" w:cs="宋体"/>
                <w:kern w:val="0"/>
                <w:sz w:val="20"/>
                <w:szCs w:val="20"/>
              </w:rPr>
            </w:pPr>
          </w:p>
        </w:tc>
        <w:tc>
          <w:tcPr>
            <w:tcW w:w="851" w:type="dxa"/>
            <w:tcBorders>
              <w:top w:val="single" w:color="auto" w:sz="4" w:space="0"/>
            </w:tcBorders>
            <w:vAlign w:val="center"/>
          </w:tcPr>
          <w:p>
            <w:pPr>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内控制度情况</w:t>
            </w:r>
          </w:p>
        </w:tc>
        <w:tc>
          <w:tcPr>
            <w:tcW w:w="567" w:type="dxa"/>
            <w:tcBorders>
              <w:top w:val="single" w:color="auto" w:sz="4" w:space="0"/>
            </w:tcBorders>
            <w:vAlign w:val="center"/>
          </w:tcPr>
          <w:p>
            <w:pPr>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4分</w:t>
            </w:r>
          </w:p>
        </w:tc>
        <w:tc>
          <w:tcPr>
            <w:tcW w:w="3118" w:type="dxa"/>
            <w:tcBorders>
              <w:top w:val="single" w:color="auto" w:sz="4" w:space="0"/>
            </w:tcBorders>
            <w:vAlign w:val="center"/>
          </w:tcPr>
          <w:p>
            <w:pPr>
              <w:rPr>
                <w:rFonts w:ascii="仿宋_GB2312" w:hAnsi="宋体" w:eastAsia="仿宋_GB2312" w:cs="宋体"/>
                <w:kern w:val="0"/>
                <w:sz w:val="20"/>
                <w:szCs w:val="20"/>
              </w:rPr>
            </w:pPr>
            <w:r>
              <w:rPr>
                <w:rFonts w:hint="eastAsia" w:ascii="仿宋_GB2312" w:hAnsi="宋体" w:eastAsia="仿宋_GB2312" w:cs="宋体"/>
                <w:kern w:val="0"/>
                <w:sz w:val="20"/>
                <w:szCs w:val="20"/>
              </w:rPr>
              <w:t>内部控制制度完全执行，4分，执行过程中，某个环节（节点）执行不到位的，每个环节（节点）扣1分，扣完为止。</w:t>
            </w:r>
          </w:p>
        </w:tc>
        <w:tc>
          <w:tcPr>
            <w:tcW w:w="3472" w:type="dxa"/>
            <w:tcBorders>
              <w:top w:val="single" w:color="auto" w:sz="4" w:space="0"/>
            </w:tcBorders>
          </w:tcPr>
          <w:p>
            <w:pPr>
              <w:widowControl/>
              <w:jc w:val="left"/>
              <w:rPr>
                <w:rFonts w:ascii="仿宋_GB2312" w:hAnsi="宋体" w:eastAsia="仿宋_GB2312" w:cs="宋体"/>
                <w:kern w:val="0"/>
                <w:sz w:val="20"/>
                <w:szCs w:val="20"/>
              </w:rPr>
            </w:pPr>
          </w:p>
        </w:tc>
        <w:tc>
          <w:tcPr>
            <w:tcW w:w="617" w:type="dxa"/>
            <w:tcBorders>
              <w:top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7" w:hRule="atLeast"/>
          <w:jc w:val="center"/>
        </w:trPr>
        <w:tc>
          <w:tcPr>
            <w:tcW w:w="411" w:type="dxa"/>
            <w:vMerge w:val="restart"/>
            <w:tcBorders>
              <w:top w:val="nil"/>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过程</w:t>
            </w:r>
          </w:p>
        </w:tc>
        <w:tc>
          <w:tcPr>
            <w:tcW w:w="429" w:type="dxa"/>
            <w:vMerge w:val="continue"/>
            <w:tcBorders>
              <w:right w:val="single" w:color="auto" w:sz="4" w:space="0"/>
            </w:tcBorders>
            <w:vAlign w:val="center"/>
          </w:tcPr>
          <w:p>
            <w:pPr>
              <w:jc w:val="center"/>
              <w:rPr>
                <w:rFonts w:ascii="仿宋_GB2312" w:hAnsi="宋体" w:eastAsia="仿宋_GB2312" w:cs="宋体"/>
                <w:kern w:val="0"/>
                <w:sz w:val="20"/>
                <w:szCs w:val="20"/>
              </w:rPr>
            </w:pPr>
          </w:p>
        </w:tc>
        <w:tc>
          <w:tcPr>
            <w:tcW w:w="567" w:type="dxa"/>
            <w:vMerge w:val="continue"/>
            <w:tcBorders>
              <w:left w:val="single" w:color="auto" w:sz="4" w:space="0"/>
            </w:tcBorders>
            <w:vAlign w:val="center"/>
          </w:tcPr>
          <w:p>
            <w:pPr>
              <w:jc w:val="center"/>
              <w:rPr>
                <w:rFonts w:ascii="仿宋_GB2312" w:hAnsi="宋体" w:eastAsia="仿宋_GB2312" w:cs="宋体"/>
                <w:kern w:val="0"/>
                <w:sz w:val="20"/>
                <w:szCs w:val="20"/>
              </w:rPr>
            </w:pPr>
          </w:p>
        </w:tc>
        <w:tc>
          <w:tcPr>
            <w:tcW w:w="851" w:type="dxa"/>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资金  使用</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合规性</w:t>
            </w:r>
          </w:p>
        </w:tc>
        <w:tc>
          <w:tcPr>
            <w:tcW w:w="567"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14</w:t>
            </w:r>
          </w:p>
        </w:tc>
        <w:tc>
          <w:tcPr>
            <w:tcW w:w="3118" w:type="dxa"/>
            <w:vAlign w:val="center"/>
          </w:tcPr>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①支出符合国家财经法规和财务管理制度规定以及有关专项资金管理办法的规定；</w:t>
            </w:r>
          </w:p>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②资金（开支）拨付有完整的审批程序和手续；</w:t>
            </w:r>
          </w:p>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③支出符合部门预算批复的用途；</w:t>
            </w:r>
          </w:p>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④资金使用无截留、挤占、挪用、虚列支出、随意借用、大额现金支付等情况。</w:t>
            </w:r>
          </w:p>
          <w:p>
            <w:pPr>
              <w:widowControl/>
              <w:rPr>
                <w:rFonts w:ascii="仿宋_GB2312" w:hAnsi="仿宋" w:eastAsia="仿宋_GB2312" w:cs="仿宋"/>
                <w:kern w:val="0"/>
                <w:sz w:val="20"/>
                <w:szCs w:val="20"/>
              </w:rPr>
            </w:pPr>
            <w:r>
              <w:rPr>
                <w:rFonts w:hint="eastAsia" w:ascii="仿宋_GB2312" w:hAnsi="微软雅黑" w:eastAsia="仿宋_GB2312" w:cs="微软雅黑"/>
                <w:kern w:val="0"/>
                <w:sz w:val="20"/>
                <w:szCs w:val="20"/>
              </w:rPr>
              <w:t>⑤</w:t>
            </w:r>
            <w:r>
              <w:rPr>
                <w:rFonts w:hint="eastAsia" w:ascii="仿宋_GB2312" w:hAnsi="仿宋" w:eastAsia="仿宋_GB2312" w:cs="仿宋"/>
                <w:kern w:val="0"/>
                <w:sz w:val="20"/>
                <w:szCs w:val="20"/>
              </w:rPr>
              <w:t>重大财务事项经由集体研究决策；</w:t>
            </w:r>
          </w:p>
          <w:p>
            <w:pPr>
              <w:widowControl/>
              <w:rPr>
                <w:rFonts w:ascii="仿宋_GB2312" w:hAnsi="仿宋" w:eastAsia="仿宋_GB2312" w:cs="仿宋"/>
                <w:kern w:val="0"/>
                <w:sz w:val="20"/>
                <w:szCs w:val="20"/>
              </w:rPr>
            </w:pPr>
            <w:r>
              <w:rPr>
                <w:rFonts w:hint="eastAsia" w:ascii="仿宋_GB2312" w:hAnsi="微软雅黑" w:eastAsia="仿宋_GB2312" w:cs="微软雅黑"/>
                <w:kern w:val="0"/>
                <w:sz w:val="20"/>
                <w:szCs w:val="20"/>
              </w:rPr>
              <w:t>⑥</w:t>
            </w:r>
            <w:r>
              <w:rPr>
                <w:rFonts w:hint="eastAsia" w:ascii="仿宋_GB2312" w:hAnsi="仿宋" w:eastAsia="仿宋_GB2312" w:cs="仿宋"/>
                <w:kern w:val="0"/>
                <w:sz w:val="20"/>
                <w:szCs w:val="20"/>
              </w:rPr>
              <w:t>专项资金做到专款专用；</w:t>
            </w:r>
          </w:p>
          <w:p>
            <w:pPr>
              <w:widowControl/>
              <w:rPr>
                <w:rFonts w:ascii="仿宋_GB2312" w:hAnsi="仿宋" w:eastAsia="仿宋_GB2312" w:cs="仿宋"/>
                <w:kern w:val="0"/>
                <w:sz w:val="20"/>
                <w:szCs w:val="20"/>
              </w:rPr>
            </w:pPr>
            <w:r>
              <w:rPr>
                <w:rFonts w:hint="eastAsia" w:ascii="仿宋_GB2312" w:hAnsi="微软雅黑" w:eastAsia="仿宋_GB2312" w:cs="微软雅黑"/>
                <w:kern w:val="0"/>
                <w:sz w:val="20"/>
                <w:szCs w:val="20"/>
              </w:rPr>
              <w:t>⑦</w:t>
            </w:r>
            <w:r>
              <w:rPr>
                <w:rFonts w:hint="eastAsia" w:ascii="仿宋_GB2312" w:hAnsi="仿宋" w:eastAsia="仿宋_GB2312" w:cs="仿宋"/>
                <w:kern w:val="0"/>
                <w:sz w:val="20"/>
                <w:szCs w:val="20"/>
              </w:rPr>
              <w:t>原始凭证的取得真实有效；</w:t>
            </w:r>
          </w:p>
          <w:p>
            <w:pPr>
              <w:widowControl/>
              <w:rPr>
                <w:rFonts w:ascii="仿宋_GB2312" w:hAnsi="仿宋" w:eastAsia="仿宋_GB2312" w:cs="仿宋"/>
                <w:kern w:val="0"/>
                <w:sz w:val="20"/>
                <w:szCs w:val="20"/>
              </w:rPr>
            </w:pPr>
            <w:r>
              <w:rPr>
                <w:rFonts w:hint="eastAsia" w:ascii="仿宋_GB2312" w:hAnsi="微软雅黑" w:eastAsia="仿宋_GB2312" w:cs="微软雅黑"/>
                <w:kern w:val="0"/>
                <w:sz w:val="20"/>
                <w:szCs w:val="20"/>
              </w:rPr>
              <w:t>⑧</w:t>
            </w:r>
            <w:r>
              <w:rPr>
                <w:rFonts w:hint="eastAsia" w:ascii="仿宋_GB2312" w:hAnsi="仿宋" w:eastAsia="仿宋_GB2312" w:cs="仿宋"/>
                <w:kern w:val="0"/>
                <w:sz w:val="20"/>
                <w:szCs w:val="20"/>
              </w:rPr>
              <w:t>无超范围、超预算开支；</w:t>
            </w:r>
          </w:p>
          <w:p>
            <w:pPr>
              <w:widowControl/>
              <w:rPr>
                <w:rFonts w:hint="eastAsia" w:ascii="仿宋_GB2312" w:hAnsi="仿宋" w:eastAsia="仿宋_GB2312" w:cs="仿宋"/>
                <w:kern w:val="0"/>
                <w:sz w:val="20"/>
                <w:szCs w:val="20"/>
                <w:lang w:eastAsia="zh-CN"/>
              </w:rPr>
            </w:pPr>
            <w:r>
              <w:rPr>
                <w:rFonts w:hint="eastAsia" w:ascii="仿宋" w:hAnsi="仿宋" w:eastAsia="仿宋" w:cs="仿宋"/>
                <w:kern w:val="0"/>
                <w:sz w:val="20"/>
                <w:szCs w:val="20"/>
              </w:rPr>
              <w:t>⑨</w:t>
            </w:r>
            <w:r>
              <w:rPr>
                <w:rFonts w:hint="eastAsia" w:ascii="仿宋_GB2312" w:hAnsi="仿宋" w:eastAsia="仿宋_GB2312" w:cs="仿宋"/>
                <w:kern w:val="0"/>
                <w:sz w:val="20"/>
                <w:szCs w:val="20"/>
              </w:rPr>
              <w:t>无超标准发放津补贴、奖金，无用公款支付应由个人支付的款项。</w:t>
            </w:r>
          </w:p>
          <w:p>
            <w:pPr>
              <w:widowControl/>
              <w:rPr>
                <w:rFonts w:ascii="仿宋_GB2312" w:hAnsi="宋体" w:eastAsia="仿宋_GB2312" w:cs="宋体"/>
                <w:kern w:val="0"/>
                <w:sz w:val="20"/>
                <w:szCs w:val="20"/>
              </w:rPr>
            </w:pPr>
            <w:r>
              <w:rPr>
                <w:rFonts w:hint="eastAsia" w:ascii="仿宋_GB2312" w:hAnsi="仿宋" w:eastAsia="仿宋_GB2312" w:cs="仿宋"/>
                <w:kern w:val="0"/>
                <w:sz w:val="20"/>
                <w:szCs w:val="20"/>
              </w:rPr>
              <w:t>以上情况每出现一例不</w:t>
            </w:r>
            <w:r>
              <w:rPr>
                <w:rFonts w:hint="eastAsia" w:ascii="仿宋_GB2312" w:hAnsi="宋体" w:eastAsia="仿宋_GB2312" w:cs="宋体"/>
                <w:kern w:val="0"/>
                <w:sz w:val="20"/>
                <w:szCs w:val="20"/>
              </w:rPr>
              <w:t>符合要求的扣2分，扣完为止。</w:t>
            </w:r>
          </w:p>
        </w:tc>
        <w:tc>
          <w:tcPr>
            <w:tcW w:w="3472"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部门（单位）使用预算资金是否符合相关的预算财务管理制度的规定，用以反映和考核部门（单位）预算资金的规范运行情况。</w:t>
            </w:r>
          </w:p>
        </w:tc>
        <w:tc>
          <w:tcPr>
            <w:tcW w:w="617"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411" w:type="dxa"/>
            <w:vMerge w:val="continue"/>
            <w:tcBorders>
              <w:top w:val="nil"/>
            </w:tcBorders>
          </w:tcPr>
          <w:p>
            <w:pPr>
              <w:widowControl/>
              <w:jc w:val="left"/>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tcPr>
          <w:p>
            <w:pPr>
              <w:widowControl/>
              <w:jc w:val="left"/>
              <w:rPr>
                <w:rFonts w:ascii="仿宋_GB2312" w:hAnsi="宋体" w:eastAsia="仿宋_GB2312" w:cs="宋体"/>
                <w:kern w:val="0"/>
                <w:sz w:val="20"/>
                <w:szCs w:val="20"/>
              </w:rPr>
            </w:pPr>
          </w:p>
        </w:tc>
        <w:tc>
          <w:tcPr>
            <w:tcW w:w="567" w:type="dxa"/>
            <w:vMerge w:val="continue"/>
            <w:tcBorders>
              <w:left w:val="single" w:color="auto" w:sz="4" w:space="0"/>
              <w:bottom w:val="single" w:color="auto" w:sz="4" w:space="0"/>
            </w:tcBorders>
          </w:tcPr>
          <w:p>
            <w:pPr>
              <w:widowControl/>
              <w:jc w:val="left"/>
              <w:rPr>
                <w:rFonts w:ascii="仿宋_GB2312" w:hAnsi="宋体" w:eastAsia="仿宋_GB2312" w:cs="宋体"/>
                <w:kern w:val="0"/>
                <w:sz w:val="20"/>
                <w:szCs w:val="20"/>
              </w:rPr>
            </w:pP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预决算信息公开性和完善性</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3118" w:type="dxa"/>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①按规定内容公开预决算信息，1分；②按规定时限公开预决算信息，1分；③基础数据信息和会计信息资料真实、完整，1分；④基础数据信息和汇集信息资料准确，1分。                                           </w:t>
            </w:r>
          </w:p>
        </w:tc>
        <w:tc>
          <w:tcPr>
            <w:tcW w:w="3472"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预决算信息是指与部门预算、执行、决算、监督、绩效等管理相关的信息。</w:t>
            </w:r>
          </w:p>
        </w:tc>
        <w:tc>
          <w:tcPr>
            <w:tcW w:w="617"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11" w:type="dxa"/>
            <w:vMerge w:val="continue"/>
            <w:tcBorders>
              <w:top w:val="nil"/>
            </w:tcBorders>
            <w:vAlign w:val="center"/>
          </w:tcPr>
          <w:p>
            <w:pPr>
              <w:widowControl/>
              <w:jc w:val="left"/>
              <w:rPr>
                <w:rFonts w:ascii="仿宋_GB2312" w:hAnsi="宋体" w:eastAsia="仿宋_GB2312" w:cs="宋体"/>
                <w:kern w:val="0"/>
                <w:sz w:val="20"/>
                <w:szCs w:val="20"/>
              </w:rPr>
            </w:pPr>
          </w:p>
        </w:tc>
        <w:tc>
          <w:tcPr>
            <w:tcW w:w="429" w:type="dxa"/>
            <w:vMerge w:val="restart"/>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资产管理</w:t>
            </w:r>
          </w:p>
        </w:tc>
        <w:tc>
          <w:tcPr>
            <w:tcW w:w="567" w:type="dxa"/>
            <w:vMerge w:val="restart"/>
            <w:tcBorders>
              <w:top w:val="single" w:color="auto" w:sz="4" w:space="0"/>
              <w:left w:val="single" w:color="auto" w:sz="4" w:space="0"/>
              <w:bottom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w:t>
            </w:r>
          </w:p>
        </w:tc>
        <w:tc>
          <w:tcPr>
            <w:tcW w:w="851" w:type="dxa"/>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管理  制度</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健全性</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①已制定资产管理制度，1分；</w:t>
            </w:r>
          </w:p>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②相关资产管理制度得到有效执行，1分。                                           </w:t>
            </w:r>
          </w:p>
        </w:tc>
        <w:tc>
          <w:tcPr>
            <w:tcW w:w="3472" w:type="dxa"/>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部门（单位）为加强资产管理，规范资产管理行为而制定的管理制度是否健全完整、用以反映和考核部门（单位）资产管理制度对完成主要职责或促进社会发展的保障情况</w:t>
            </w:r>
          </w:p>
        </w:tc>
        <w:tc>
          <w:tcPr>
            <w:tcW w:w="617" w:type="dxa"/>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jc w:val="center"/>
        </w:trPr>
        <w:tc>
          <w:tcPr>
            <w:tcW w:w="411" w:type="dxa"/>
            <w:vMerge w:val="continue"/>
            <w:tcBorders>
              <w:top w:val="nil"/>
            </w:tcBorders>
          </w:tcPr>
          <w:p>
            <w:pPr>
              <w:widowControl/>
              <w:jc w:val="left"/>
              <w:rPr>
                <w:rFonts w:ascii="仿宋_GB2312" w:hAnsi="宋体" w:eastAsia="仿宋_GB2312" w:cs="宋体"/>
                <w:kern w:val="0"/>
                <w:sz w:val="20"/>
                <w:szCs w:val="20"/>
              </w:rPr>
            </w:pPr>
          </w:p>
        </w:tc>
        <w:tc>
          <w:tcPr>
            <w:tcW w:w="429" w:type="dxa"/>
            <w:vMerge w:val="continue"/>
            <w:tcBorders>
              <w:top w:val="single" w:color="auto" w:sz="4" w:space="0"/>
              <w:bottom w:val="single" w:color="auto" w:sz="4" w:space="0"/>
              <w:right w:val="single" w:color="auto" w:sz="4" w:space="0"/>
            </w:tcBorders>
          </w:tcPr>
          <w:p>
            <w:pPr>
              <w:widowControl/>
              <w:jc w:val="left"/>
              <w:rPr>
                <w:rFonts w:ascii="仿宋_GB2312" w:hAnsi="宋体" w:eastAsia="仿宋_GB2312" w:cs="宋体"/>
                <w:kern w:val="0"/>
                <w:sz w:val="20"/>
                <w:szCs w:val="20"/>
              </w:rPr>
            </w:pPr>
          </w:p>
        </w:tc>
        <w:tc>
          <w:tcPr>
            <w:tcW w:w="567" w:type="dxa"/>
            <w:vMerge w:val="continue"/>
            <w:tcBorders>
              <w:top w:val="single" w:color="auto" w:sz="4" w:space="0"/>
              <w:left w:val="single" w:color="auto" w:sz="4" w:space="0"/>
              <w:bottom w:val="single" w:color="auto" w:sz="4" w:space="0"/>
            </w:tcBorders>
          </w:tcPr>
          <w:p>
            <w:pPr>
              <w:widowControl/>
              <w:jc w:val="left"/>
              <w:rPr>
                <w:rFonts w:ascii="仿宋_GB2312" w:hAnsi="宋体" w:eastAsia="仿宋_GB2312" w:cs="宋体"/>
                <w:kern w:val="0"/>
                <w:sz w:val="20"/>
                <w:szCs w:val="20"/>
              </w:rPr>
            </w:pPr>
          </w:p>
        </w:tc>
        <w:tc>
          <w:tcPr>
            <w:tcW w:w="851" w:type="dxa"/>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资产  管理</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安全性</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16</w:t>
            </w:r>
          </w:p>
        </w:tc>
        <w:tc>
          <w:tcPr>
            <w:tcW w:w="3118" w:type="dxa"/>
            <w:vAlign w:val="center"/>
          </w:tcPr>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 xml:space="preserve">①资产保存完整；②资产配置合理；③资产处置规范； </w:t>
            </w:r>
          </w:p>
          <w:p>
            <w:pPr>
              <w:widowControl/>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④资产账务管理合规，帐实帐卡、账账、账表（决算报表等）相符；⑤资产有偿使用及处置收入及时足额上缴；</w:t>
            </w:r>
            <w:r>
              <w:rPr>
                <w:rFonts w:hint="eastAsia" w:ascii="仿宋_GB2312" w:hAnsi="仿宋" w:eastAsia="仿宋_GB2312" w:cs="仿宋"/>
                <w:kern w:val="0"/>
                <w:sz w:val="20"/>
                <w:szCs w:val="20"/>
              </w:rPr>
              <w:t>⑥清查盘点：每年至少清查盘点一次；⑦产权明晰，权证齐全</w:t>
            </w:r>
            <w:r>
              <w:rPr>
                <w:rFonts w:hint="eastAsia" w:ascii="仿宋_GB2312" w:hAnsi="宋体" w:eastAsia="仿宋_GB2312" w:cs="宋体"/>
                <w:kern w:val="0"/>
                <w:sz w:val="20"/>
                <w:szCs w:val="20"/>
              </w:rPr>
              <w:t>；⑧按标准购置固定资产。</w:t>
            </w:r>
          </w:p>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以上情况每出现一例不符合要求的扣2分；⑨未按时报送20</w:t>
            </w:r>
            <w:r>
              <w:rPr>
                <w:rFonts w:hint="eastAsia" w:ascii="仿宋_GB2312" w:hAnsi="宋体" w:eastAsia="仿宋_GB2312" w:cs="宋体"/>
                <w:kern w:val="0"/>
                <w:sz w:val="20"/>
                <w:szCs w:val="20"/>
                <w:lang w:val="en-US" w:eastAsia="zh-CN"/>
              </w:rPr>
              <w:t>21</w:t>
            </w:r>
            <w:r>
              <w:rPr>
                <w:rFonts w:hint="eastAsia" w:ascii="仿宋_GB2312" w:hAnsi="宋体" w:eastAsia="仿宋_GB2312" w:cs="宋体"/>
                <w:kern w:val="0"/>
                <w:sz w:val="20"/>
                <w:szCs w:val="20"/>
              </w:rPr>
              <w:t>年行政事业单位资产报表的，每延迟一天，扣1分，扣完为止。</w:t>
            </w:r>
          </w:p>
        </w:tc>
        <w:tc>
          <w:tcPr>
            <w:tcW w:w="3472"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部门（单位）的资产是否保存完整，使用合规、配置合理、处置规范、收入及时足额上缴，用以反映和考核部门（单位）资产安全运行情况。</w:t>
            </w:r>
          </w:p>
        </w:tc>
        <w:tc>
          <w:tcPr>
            <w:tcW w:w="617" w:type="dxa"/>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11" w:type="dxa"/>
            <w:vMerge w:val="continue"/>
            <w:tcBorders>
              <w:top w:val="nil"/>
            </w:tcBorders>
          </w:tcPr>
          <w:p>
            <w:pPr>
              <w:widowControl/>
              <w:jc w:val="left"/>
              <w:rPr>
                <w:rFonts w:ascii="仿宋_GB2312" w:hAnsi="宋体" w:eastAsia="仿宋_GB2312" w:cs="宋体"/>
                <w:kern w:val="0"/>
                <w:sz w:val="20"/>
                <w:szCs w:val="20"/>
              </w:rPr>
            </w:pPr>
          </w:p>
        </w:tc>
        <w:tc>
          <w:tcPr>
            <w:tcW w:w="429" w:type="dxa"/>
            <w:vMerge w:val="continue"/>
            <w:tcBorders>
              <w:top w:val="single" w:color="auto" w:sz="4" w:space="0"/>
              <w:bottom w:val="single" w:color="auto" w:sz="4" w:space="0"/>
              <w:right w:val="single" w:color="auto" w:sz="4" w:space="0"/>
            </w:tcBorders>
          </w:tcPr>
          <w:p>
            <w:pPr>
              <w:widowControl/>
              <w:jc w:val="left"/>
              <w:rPr>
                <w:rFonts w:ascii="仿宋_GB2312" w:hAnsi="宋体" w:eastAsia="仿宋_GB2312" w:cs="宋体"/>
                <w:kern w:val="0"/>
                <w:sz w:val="20"/>
                <w:szCs w:val="20"/>
              </w:rPr>
            </w:pPr>
          </w:p>
        </w:tc>
        <w:tc>
          <w:tcPr>
            <w:tcW w:w="567" w:type="dxa"/>
            <w:vMerge w:val="continue"/>
            <w:tcBorders>
              <w:top w:val="single" w:color="auto" w:sz="4" w:space="0"/>
              <w:left w:val="single" w:color="auto" w:sz="4" w:space="0"/>
              <w:bottom w:val="single" w:color="auto" w:sz="4" w:space="0"/>
            </w:tcBorders>
          </w:tcPr>
          <w:p>
            <w:pPr>
              <w:widowControl/>
              <w:jc w:val="left"/>
              <w:rPr>
                <w:rFonts w:ascii="仿宋_GB2312" w:hAnsi="宋体" w:eastAsia="仿宋_GB2312" w:cs="宋体"/>
                <w:kern w:val="0"/>
                <w:sz w:val="20"/>
                <w:szCs w:val="20"/>
              </w:rPr>
            </w:pPr>
          </w:p>
        </w:tc>
        <w:tc>
          <w:tcPr>
            <w:tcW w:w="851" w:type="dxa"/>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固定  资产</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利用率</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固定资产利用率,100%,2分,每低于一个百分点扣0.2分，扣完为止。</w:t>
            </w:r>
          </w:p>
        </w:tc>
        <w:tc>
          <w:tcPr>
            <w:tcW w:w="3472" w:type="dxa"/>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固定资产利用率=（实际在用固定资产总额/所有固定资产总额）×100%</w:t>
            </w:r>
          </w:p>
        </w:tc>
        <w:tc>
          <w:tcPr>
            <w:tcW w:w="617" w:type="dxa"/>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411" w:type="dxa"/>
            <w:vMerge w:val="continue"/>
            <w:tcBorders>
              <w:top w:val="nil"/>
            </w:tcBorders>
          </w:tcPr>
          <w:p>
            <w:pPr>
              <w:widowControl/>
              <w:jc w:val="left"/>
              <w:rPr>
                <w:rFonts w:ascii="仿宋_GB2312" w:hAnsi="宋体" w:eastAsia="仿宋_GB2312" w:cs="宋体"/>
                <w:kern w:val="0"/>
                <w:sz w:val="20"/>
                <w:szCs w:val="20"/>
              </w:rPr>
            </w:pPr>
          </w:p>
        </w:tc>
        <w:tc>
          <w:tcPr>
            <w:tcW w:w="429" w:type="dxa"/>
            <w:vMerge w:val="restart"/>
            <w:tcBorders>
              <w:right w:val="single" w:color="auto" w:sz="4" w:space="0"/>
            </w:tcBorders>
            <w:vAlign w:val="center"/>
          </w:tcPr>
          <w:p>
            <w:pPr>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绩效管理</w:t>
            </w:r>
          </w:p>
        </w:tc>
        <w:tc>
          <w:tcPr>
            <w:tcW w:w="567" w:type="dxa"/>
            <w:vMerge w:val="restart"/>
            <w:tcBorders>
              <w:top w:val="single" w:color="auto" w:sz="4" w:space="0"/>
              <w:lef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17</w:t>
            </w: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目标 管理</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3118"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①本单位所有专项、项目资金均实行目标管理的，各2分,每少一个专项、项目的，扣1分，扣完为止；②编制并报送202</w:t>
            </w:r>
            <w:r>
              <w:rPr>
                <w:rFonts w:hint="eastAsia" w:ascii="仿宋_GB2312" w:hAnsi="宋体" w:eastAsia="仿宋_GB2312" w:cs="宋体"/>
                <w:kern w:val="0"/>
                <w:sz w:val="20"/>
                <w:szCs w:val="20"/>
                <w:lang w:val="en-US" w:eastAsia="zh-CN"/>
              </w:rPr>
              <w:t>1</w:t>
            </w:r>
            <w:r>
              <w:rPr>
                <w:rFonts w:hint="eastAsia" w:ascii="仿宋_GB2312" w:hAnsi="宋体" w:eastAsia="仿宋_GB2312" w:cs="宋体"/>
                <w:kern w:val="0"/>
                <w:sz w:val="20"/>
                <w:szCs w:val="20"/>
              </w:rPr>
              <w:t>年度部门整体支出绩效目标的，2分；③在规定时间内报送、公开以上目标的，2分，否则不得分。</w:t>
            </w:r>
          </w:p>
        </w:tc>
        <w:tc>
          <w:tcPr>
            <w:tcW w:w="3472" w:type="dxa"/>
            <w:vAlign w:val="center"/>
          </w:tcPr>
          <w:p>
            <w:pPr>
              <w:widowControl/>
              <w:rPr>
                <w:rFonts w:ascii="仿宋_GB2312" w:hAnsi="宋体" w:eastAsia="仿宋_GB2312" w:cs="宋体"/>
                <w:kern w:val="0"/>
                <w:sz w:val="20"/>
                <w:szCs w:val="20"/>
              </w:rPr>
            </w:pPr>
          </w:p>
        </w:tc>
        <w:tc>
          <w:tcPr>
            <w:tcW w:w="617" w:type="dxa"/>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411" w:type="dxa"/>
            <w:vMerge w:val="continue"/>
            <w:tcBorders>
              <w:top w:val="nil"/>
              <w:bottom w:val="single" w:color="auto" w:sz="4" w:space="0"/>
            </w:tcBorders>
          </w:tcPr>
          <w:p>
            <w:pPr>
              <w:widowControl/>
              <w:jc w:val="left"/>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tcPr>
          <w:p>
            <w:pPr>
              <w:jc w:val="left"/>
              <w:rPr>
                <w:rFonts w:ascii="仿宋_GB2312" w:hAnsi="宋体" w:eastAsia="仿宋_GB2312" w:cs="宋体"/>
                <w:kern w:val="0"/>
                <w:sz w:val="20"/>
                <w:szCs w:val="20"/>
              </w:rPr>
            </w:pPr>
          </w:p>
        </w:tc>
        <w:tc>
          <w:tcPr>
            <w:tcW w:w="567" w:type="dxa"/>
            <w:vMerge w:val="continue"/>
            <w:tcBorders>
              <w:left w:val="single" w:color="auto" w:sz="4" w:space="0"/>
              <w:bottom w:val="single" w:color="auto" w:sz="4" w:space="0"/>
            </w:tcBorders>
          </w:tcPr>
          <w:p>
            <w:pPr>
              <w:widowControl/>
              <w:jc w:val="left"/>
              <w:rPr>
                <w:rFonts w:ascii="仿宋_GB2312" w:hAnsi="宋体" w:eastAsia="仿宋_GB2312" w:cs="宋体"/>
                <w:kern w:val="0"/>
                <w:sz w:val="20"/>
                <w:szCs w:val="20"/>
              </w:rPr>
            </w:pP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绩效 评价</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管理</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7</w:t>
            </w:r>
          </w:p>
        </w:tc>
        <w:tc>
          <w:tcPr>
            <w:tcW w:w="3118" w:type="dxa"/>
          </w:tcPr>
          <w:p>
            <w:pPr>
              <w:widowControl/>
              <w:jc w:val="left"/>
              <w:rPr>
                <w:rFonts w:ascii="仿宋_GB2312" w:hAnsi="宋体" w:eastAsia="仿宋_GB2312" w:cs="宋体"/>
                <w:kern w:val="0"/>
                <w:sz w:val="20"/>
                <w:szCs w:val="20"/>
              </w:rPr>
            </w:pPr>
            <w:r>
              <w:rPr>
                <w:rFonts w:hint="eastAsia" w:ascii="仿宋" w:hAnsi="仿宋" w:eastAsia="仿宋" w:cs="宋体"/>
                <w:kern w:val="0"/>
                <w:sz w:val="20"/>
                <w:szCs w:val="20"/>
              </w:rPr>
              <w:t>①</w:t>
            </w:r>
            <w:r>
              <w:rPr>
                <w:rFonts w:hint="eastAsia" w:ascii="仿宋_GB2312" w:hAnsi="宋体" w:eastAsia="仿宋_GB2312" w:cs="宋体"/>
                <w:kern w:val="0"/>
                <w:sz w:val="20"/>
                <w:szCs w:val="20"/>
              </w:rPr>
              <w:t>开展20</w:t>
            </w:r>
            <w:r>
              <w:rPr>
                <w:rFonts w:hint="eastAsia" w:ascii="仿宋_GB2312" w:hAnsi="宋体" w:eastAsia="仿宋_GB2312" w:cs="宋体"/>
                <w:kern w:val="0"/>
                <w:sz w:val="20"/>
                <w:szCs w:val="20"/>
                <w:lang w:val="en-US" w:eastAsia="zh-CN"/>
              </w:rPr>
              <w:t>21</w:t>
            </w:r>
            <w:r>
              <w:rPr>
                <w:rFonts w:hint="eastAsia" w:ascii="仿宋_GB2312" w:hAnsi="宋体" w:eastAsia="仿宋_GB2312" w:cs="宋体"/>
                <w:kern w:val="0"/>
                <w:sz w:val="20"/>
                <w:szCs w:val="20"/>
              </w:rPr>
              <w:t>年度专项资金绩效自评的，2分，每少一个专项资金的自评扣1分，扣完为止；</w:t>
            </w:r>
            <w:r>
              <w:rPr>
                <w:rFonts w:hint="eastAsia" w:ascii="仿宋" w:hAnsi="仿宋" w:eastAsia="仿宋" w:cs="宋体"/>
                <w:kern w:val="0"/>
                <w:sz w:val="20"/>
                <w:szCs w:val="20"/>
              </w:rPr>
              <w:t>②</w:t>
            </w:r>
            <w:r>
              <w:rPr>
                <w:rFonts w:hint="eastAsia" w:ascii="仿宋_GB2312" w:hAnsi="宋体" w:eastAsia="仿宋_GB2312" w:cs="宋体"/>
                <w:kern w:val="0"/>
                <w:sz w:val="20"/>
                <w:szCs w:val="20"/>
              </w:rPr>
              <w:t>开展2019年度已完工项目绩效自评的，2分，每少一个项目扣1分，扣完为止；</w:t>
            </w:r>
            <w:r>
              <w:rPr>
                <w:rFonts w:hint="eastAsia" w:ascii="仿宋" w:hAnsi="仿宋" w:eastAsia="仿宋" w:cs="宋体"/>
                <w:kern w:val="0"/>
                <w:sz w:val="20"/>
                <w:szCs w:val="20"/>
              </w:rPr>
              <w:t>③</w:t>
            </w:r>
            <w:r>
              <w:rPr>
                <w:rFonts w:hint="eastAsia" w:ascii="仿宋_GB2312" w:hAnsi="宋体" w:eastAsia="仿宋_GB2312" w:cs="宋体"/>
                <w:kern w:val="0"/>
                <w:sz w:val="20"/>
                <w:szCs w:val="20"/>
              </w:rPr>
              <w:t>开展20</w:t>
            </w:r>
            <w:r>
              <w:rPr>
                <w:rFonts w:hint="eastAsia" w:ascii="仿宋_GB2312" w:hAnsi="宋体" w:eastAsia="仿宋_GB2312" w:cs="宋体"/>
                <w:kern w:val="0"/>
                <w:sz w:val="20"/>
                <w:szCs w:val="20"/>
                <w:lang w:val="en-US" w:eastAsia="zh-CN"/>
              </w:rPr>
              <w:t>21</w:t>
            </w:r>
            <w:r>
              <w:rPr>
                <w:rFonts w:hint="eastAsia" w:ascii="仿宋_GB2312" w:hAnsi="宋体" w:eastAsia="仿宋_GB2312" w:cs="宋体"/>
                <w:kern w:val="0"/>
                <w:sz w:val="20"/>
                <w:szCs w:val="20"/>
              </w:rPr>
              <w:t>年度部门整体支出绩效自评的，1分；</w:t>
            </w:r>
            <w:r>
              <w:rPr>
                <w:rFonts w:hint="eastAsia" w:ascii="仿宋" w:hAnsi="仿宋" w:eastAsia="仿宋" w:cs="宋体"/>
                <w:kern w:val="0"/>
                <w:sz w:val="20"/>
                <w:szCs w:val="20"/>
              </w:rPr>
              <w:t>④</w:t>
            </w:r>
            <w:r>
              <w:rPr>
                <w:rFonts w:hint="eastAsia" w:ascii="仿宋_GB2312" w:hAnsi="宋体" w:eastAsia="仿宋_GB2312" w:cs="宋体"/>
                <w:kern w:val="0"/>
                <w:sz w:val="20"/>
                <w:szCs w:val="20"/>
              </w:rPr>
              <w:t>在规定时间内报送、公开以上自评报告材料的，2分。</w:t>
            </w:r>
          </w:p>
        </w:tc>
        <w:tc>
          <w:tcPr>
            <w:tcW w:w="3472" w:type="dxa"/>
            <w:vAlign w:val="center"/>
          </w:tcPr>
          <w:p>
            <w:pPr>
              <w:widowControl/>
              <w:rPr>
                <w:rFonts w:ascii="仿宋_GB2312" w:hAnsi="宋体" w:eastAsia="仿宋_GB2312" w:cs="宋体"/>
                <w:kern w:val="0"/>
                <w:sz w:val="20"/>
                <w:szCs w:val="20"/>
              </w:rPr>
            </w:pPr>
          </w:p>
        </w:tc>
        <w:tc>
          <w:tcPr>
            <w:tcW w:w="617" w:type="dxa"/>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411" w:type="dxa"/>
            <w:tcBorders>
              <w:top w:val="nil"/>
              <w:bottom w:val="single" w:color="auto" w:sz="4" w:space="0"/>
            </w:tcBorders>
          </w:tcPr>
          <w:p>
            <w:pPr>
              <w:widowControl/>
              <w:jc w:val="left"/>
              <w:rPr>
                <w:rFonts w:ascii="仿宋_GB2312" w:hAnsi="宋体" w:eastAsia="仿宋_GB2312" w:cs="宋体"/>
                <w:kern w:val="0"/>
                <w:sz w:val="20"/>
                <w:szCs w:val="20"/>
              </w:rPr>
            </w:pPr>
          </w:p>
        </w:tc>
        <w:tc>
          <w:tcPr>
            <w:tcW w:w="429" w:type="dxa"/>
            <w:tcBorders>
              <w:top w:val="nil"/>
              <w:bottom w:val="single" w:color="auto" w:sz="4" w:space="0"/>
              <w:right w:val="single" w:color="auto" w:sz="4" w:space="0"/>
            </w:tcBorders>
          </w:tcPr>
          <w:p>
            <w:pPr>
              <w:jc w:val="left"/>
              <w:rPr>
                <w:rFonts w:ascii="仿宋_GB2312" w:hAnsi="宋体" w:eastAsia="仿宋_GB2312" w:cs="宋体"/>
                <w:kern w:val="0"/>
                <w:sz w:val="20"/>
                <w:szCs w:val="20"/>
              </w:rPr>
            </w:pPr>
          </w:p>
        </w:tc>
        <w:tc>
          <w:tcPr>
            <w:tcW w:w="567" w:type="dxa"/>
            <w:tcBorders>
              <w:top w:val="nil"/>
              <w:left w:val="single" w:color="auto" w:sz="4" w:space="0"/>
              <w:bottom w:val="single" w:color="auto" w:sz="4" w:space="0"/>
            </w:tcBorders>
          </w:tcPr>
          <w:p>
            <w:pPr>
              <w:widowControl/>
              <w:jc w:val="left"/>
              <w:rPr>
                <w:rFonts w:ascii="仿宋_GB2312" w:hAnsi="宋体" w:eastAsia="仿宋_GB2312" w:cs="宋体"/>
                <w:kern w:val="0"/>
                <w:sz w:val="20"/>
                <w:szCs w:val="20"/>
              </w:rPr>
            </w:pP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评价 结果 运用</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rPr>
                <w:rFonts w:ascii="仿宋" w:hAnsi="仿宋" w:eastAsia="仿宋" w:cs="宋体"/>
                <w:sz w:val="20"/>
                <w:szCs w:val="20"/>
              </w:rPr>
            </w:pPr>
            <w:r>
              <w:rPr>
                <w:rFonts w:hint="eastAsia" w:ascii="仿宋_GB2312" w:hAnsi="宋体" w:eastAsia="仿宋_GB2312" w:cs="宋体"/>
                <w:kern w:val="0"/>
                <w:sz w:val="20"/>
                <w:szCs w:val="20"/>
              </w:rPr>
              <w:t>根据20</w:t>
            </w:r>
            <w:r>
              <w:rPr>
                <w:rFonts w:hint="eastAsia" w:ascii="仿宋_GB2312" w:hAnsi="宋体" w:eastAsia="仿宋_GB2312" w:cs="宋体"/>
                <w:kern w:val="0"/>
                <w:sz w:val="20"/>
                <w:szCs w:val="20"/>
                <w:lang w:val="en-US" w:eastAsia="zh-CN"/>
              </w:rPr>
              <w:t>21</w:t>
            </w:r>
            <w:r>
              <w:rPr>
                <w:rFonts w:hint="eastAsia" w:ascii="仿宋_GB2312" w:hAnsi="宋体" w:eastAsia="仿宋_GB2312" w:cs="宋体"/>
                <w:kern w:val="0"/>
                <w:sz w:val="20"/>
                <w:szCs w:val="20"/>
              </w:rPr>
              <w:t>年度财政重点绩效评价和单位自评情况，向财政报送整改结果并整改到位的，2分，否则不得分。</w:t>
            </w:r>
          </w:p>
        </w:tc>
        <w:tc>
          <w:tcPr>
            <w:tcW w:w="3472" w:type="dxa"/>
            <w:vAlign w:val="center"/>
          </w:tcPr>
          <w:p>
            <w:pPr>
              <w:rPr>
                <w:rFonts w:ascii="仿宋_GB2312" w:hAnsi="宋体" w:eastAsia="仿宋_GB2312" w:cs="宋体"/>
                <w:kern w:val="0"/>
                <w:sz w:val="20"/>
                <w:szCs w:val="20"/>
              </w:rPr>
            </w:pPr>
          </w:p>
        </w:tc>
        <w:tc>
          <w:tcPr>
            <w:tcW w:w="617" w:type="dxa"/>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11" w:type="dxa"/>
            <w:vMerge w:val="restart"/>
            <w:tcBorders>
              <w:top w:val="single" w:color="auto" w:sz="4" w:space="0"/>
            </w:tcBorders>
            <w:textDirection w:val="tbRlV"/>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产   出</w:t>
            </w:r>
          </w:p>
        </w:tc>
        <w:tc>
          <w:tcPr>
            <w:tcW w:w="429" w:type="dxa"/>
            <w:vMerge w:val="restart"/>
            <w:tcBorders>
              <w:top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职责履行</w:t>
            </w:r>
          </w:p>
        </w:tc>
        <w:tc>
          <w:tcPr>
            <w:tcW w:w="567" w:type="dxa"/>
            <w:vMerge w:val="restart"/>
            <w:tcBorders>
              <w:top w:val="single" w:color="auto" w:sz="4" w:space="0"/>
              <w:lef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重点　工作　完成率</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该项得分=重点工作完成率×2</w:t>
            </w:r>
          </w:p>
        </w:tc>
        <w:tc>
          <w:tcPr>
            <w:tcW w:w="3472" w:type="dxa"/>
            <w:vAlign w:val="center"/>
          </w:tcPr>
          <w:p>
            <w:pPr>
              <w:autoSpaceDN w:val="0"/>
              <w:jc w:val="lef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重点工作为市政府确定的为民办实事和部门重点工程与重点工作。</w:t>
            </w:r>
          </w:p>
        </w:tc>
        <w:tc>
          <w:tcPr>
            <w:tcW w:w="617" w:type="dxa"/>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411" w:type="dxa"/>
            <w:vMerge w:val="continue"/>
            <w:tcBorders>
              <w:bottom w:val="single" w:color="auto" w:sz="4" w:space="0"/>
            </w:tcBorders>
            <w:textDirection w:val="tbRlV"/>
          </w:tcPr>
          <w:p>
            <w:pPr>
              <w:widowControl/>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tcPr>
          <w:p>
            <w:pPr>
              <w:widowControl/>
              <w:jc w:val="center"/>
              <w:rPr>
                <w:rFonts w:ascii="仿宋_GB2312" w:hAnsi="宋体" w:eastAsia="仿宋_GB2312" w:cs="宋体"/>
                <w:kern w:val="0"/>
                <w:sz w:val="20"/>
                <w:szCs w:val="20"/>
              </w:rPr>
            </w:pPr>
          </w:p>
        </w:tc>
        <w:tc>
          <w:tcPr>
            <w:tcW w:w="567" w:type="dxa"/>
            <w:vMerge w:val="continue"/>
            <w:tcBorders>
              <w:left w:val="single" w:color="auto" w:sz="4" w:space="0"/>
              <w:bottom w:val="single" w:color="auto" w:sz="4" w:space="0"/>
            </w:tcBorders>
          </w:tcPr>
          <w:p>
            <w:pPr>
              <w:widowControl/>
              <w:jc w:val="center"/>
              <w:rPr>
                <w:rFonts w:ascii="仿宋_GB2312" w:hAnsi="宋体" w:eastAsia="仿宋_GB2312" w:cs="宋体"/>
                <w:kern w:val="0"/>
                <w:sz w:val="20"/>
                <w:szCs w:val="20"/>
              </w:rPr>
            </w:pPr>
          </w:p>
        </w:tc>
        <w:tc>
          <w:tcPr>
            <w:tcW w:w="851" w:type="dxa"/>
            <w:vAlign w:val="center"/>
          </w:tcPr>
          <w:p>
            <w:pPr>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工作</w:t>
            </w:r>
          </w:p>
          <w:p>
            <w:pPr>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质量</w:t>
            </w:r>
          </w:p>
        </w:tc>
        <w:tc>
          <w:tcPr>
            <w:tcW w:w="567" w:type="dxa"/>
            <w:vAlign w:val="center"/>
          </w:tcPr>
          <w:p>
            <w:pPr>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tcPr>
          <w:p>
            <w:pPr>
              <w:jc w:val="left"/>
              <w:rPr>
                <w:rFonts w:ascii="仿宋_GB2312" w:hAnsi="宋体" w:eastAsia="仿宋_GB2312" w:cs="宋体"/>
                <w:kern w:val="0"/>
                <w:sz w:val="20"/>
                <w:szCs w:val="20"/>
              </w:rPr>
            </w:pPr>
            <w:r>
              <w:rPr>
                <w:rFonts w:hint="eastAsia" w:ascii="仿宋_GB2312" w:hAnsi="宋体" w:eastAsia="仿宋_GB2312" w:cs="宋体"/>
                <w:kern w:val="0"/>
                <w:sz w:val="20"/>
                <w:szCs w:val="20"/>
              </w:rPr>
              <w:t>以绩效考核评估结果为标准，优秀，计3分；良好，2分；合格，1分；不合格，0分。</w:t>
            </w:r>
          </w:p>
        </w:tc>
        <w:tc>
          <w:tcPr>
            <w:tcW w:w="3472" w:type="dxa"/>
            <w:vAlign w:val="center"/>
          </w:tcPr>
          <w:p>
            <w:pPr>
              <w:autoSpaceDN w:val="0"/>
              <w:jc w:val="left"/>
              <w:textAlignment w:val="center"/>
              <w:rPr>
                <w:rFonts w:ascii="仿宋_GB2312" w:hAnsi="宋体" w:eastAsia="仿宋_GB2312" w:cs="宋体"/>
                <w:kern w:val="0"/>
                <w:sz w:val="20"/>
                <w:szCs w:val="20"/>
              </w:rPr>
            </w:pPr>
          </w:p>
        </w:tc>
        <w:tc>
          <w:tcPr>
            <w:tcW w:w="617" w:type="dxa"/>
            <w:shd w:val="clear" w:color="auto" w:fill="auto"/>
            <w:vAlign w:val="center"/>
          </w:tcPr>
          <w:p>
            <w:pPr>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1" w:type="dxa"/>
            <w:vMerge w:val="restart"/>
            <w:tcBorders>
              <w:top w:val="single" w:color="auto" w:sz="4" w:space="0"/>
              <w:bottom w:val="single" w:color="auto" w:sz="4" w:space="0"/>
            </w:tcBorders>
            <w:textDirection w:val="tbRlV"/>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效  果</w:t>
            </w:r>
          </w:p>
        </w:tc>
        <w:tc>
          <w:tcPr>
            <w:tcW w:w="429" w:type="dxa"/>
            <w:vMerge w:val="restart"/>
            <w:tcBorders>
              <w:top w:val="single" w:color="auto" w:sz="4" w:space="0"/>
              <w:bottom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履职效益</w:t>
            </w:r>
          </w:p>
        </w:tc>
        <w:tc>
          <w:tcPr>
            <w:tcW w:w="567" w:type="dxa"/>
            <w:vMerge w:val="restart"/>
            <w:tcBorders>
              <w:top w:val="single" w:color="auto" w:sz="4" w:space="0"/>
              <w:bottom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经济  效益</w:t>
            </w:r>
          </w:p>
        </w:tc>
        <w:tc>
          <w:tcPr>
            <w:tcW w:w="567" w:type="dxa"/>
            <w:vMerge w:val="restart"/>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6590" w:type="dxa"/>
            <w:gridSpan w:val="2"/>
            <w:vMerge w:val="restart"/>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此三项指标可根据部门实际并结合202</w:t>
            </w:r>
            <w:r>
              <w:rPr>
                <w:rFonts w:hint="eastAsia" w:ascii="仿宋_GB2312" w:hAnsi="宋体" w:eastAsia="仿宋_GB2312" w:cs="宋体"/>
                <w:kern w:val="0"/>
                <w:sz w:val="20"/>
                <w:szCs w:val="20"/>
                <w:lang w:val="en-US" w:eastAsia="zh-CN"/>
              </w:rPr>
              <w:t>1</w:t>
            </w:r>
            <w:r>
              <w:rPr>
                <w:rFonts w:hint="eastAsia" w:ascii="仿宋_GB2312" w:hAnsi="宋体" w:eastAsia="仿宋_GB2312" w:cs="宋体"/>
                <w:kern w:val="0"/>
                <w:sz w:val="20"/>
                <w:szCs w:val="20"/>
              </w:rPr>
              <w:t>年度部门整体支出绩效目标设立情况有选择的进行评价。</w:t>
            </w:r>
          </w:p>
        </w:tc>
        <w:tc>
          <w:tcPr>
            <w:tcW w:w="617" w:type="dxa"/>
            <w:vMerge w:val="restart"/>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11" w:type="dxa"/>
            <w:vMerge w:val="continue"/>
            <w:tcBorders>
              <w:top w:val="single" w:color="auto" w:sz="4" w:space="0"/>
              <w:bottom w:val="single" w:color="auto" w:sz="4" w:space="0"/>
            </w:tcBorders>
            <w:vAlign w:val="center"/>
          </w:tcPr>
          <w:p>
            <w:pPr>
              <w:widowControl/>
              <w:jc w:val="left"/>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vAlign w:val="center"/>
          </w:tcPr>
          <w:p>
            <w:pPr>
              <w:widowControl/>
              <w:jc w:val="left"/>
              <w:rPr>
                <w:rFonts w:ascii="仿宋_GB2312" w:hAnsi="宋体" w:eastAsia="仿宋_GB2312" w:cs="宋体"/>
                <w:kern w:val="0"/>
                <w:sz w:val="20"/>
                <w:szCs w:val="20"/>
              </w:rPr>
            </w:pPr>
          </w:p>
        </w:tc>
        <w:tc>
          <w:tcPr>
            <w:tcW w:w="567" w:type="dxa"/>
            <w:vMerge w:val="continue"/>
            <w:tcBorders>
              <w:top w:val="single" w:color="auto" w:sz="4" w:space="0"/>
              <w:bottom w:val="single" w:color="auto" w:sz="4" w:space="0"/>
            </w:tcBorders>
            <w:vAlign w:val="center"/>
          </w:tcPr>
          <w:p>
            <w:pPr>
              <w:widowControl/>
              <w:jc w:val="left"/>
              <w:rPr>
                <w:rFonts w:ascii="仿宋_GB2312" w:hAnsi="宋体" w:eastAsia="仿宋_GB2312" w:cs="宋体"/>
                <w:kern w:val="0"/>
                <w:sz w:val="20"/>
                <w:szCs w:val="20"/>
              </w:rPr>
            </w:pP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社会  效益</w:t>
            </w:r>
          </w:p>
        </w:tc>
        <w:tc>
          <w:tcPr>
            <w:tcW w:w="567" w:type="dxa"/>
            <w:vMerge w:val="continue"/>
            <w:vAlign w:val="center"/>
          </w:tcPr>
          <w:p>
            <w:pPr>
              <w:widowControl/>
              <w:jc w:val="left"/>
              <w:rPr>
                <w:rFonts w:ascii="仿宋_GB2312" w:hAnsi="宋体" w:eastAsia="仿宋_GB2312" w:cs="宋体"/>
                <w:kern w:val="0"/>
                <w:sz w:val="20"/>
                <w:szCs w:val="20"/>
              </w:rPr>
            </w:pPr>
          </w:p>
        </w:tc>
        <w:tc>
          <w:tcPr>
            <w:tcW w:w="6590" w:type="dxa"/>
            <w:gridSpan w:val="2"/>
            <w:vMerge w:val="continue"/>
            <w:vAlign w:val="center"/>
          </w:tcPr>
          <w:p>
            <w:pPr>
              <w:widowControl/>
              <w:jc w:val="left"/>
              <w:rPr>
                <w:rFonts w:ascii="仿宋_GB2312" w:hAnsi="宋体" w:eastAsia="仿宋_GB2312" w:cs="宋体"/>
                <w:kern w:val="0"/>
                <w:sz w:val="20"/>
                <w:szCs w:val="20"/>
              </w:rPr>
            </w:pPr>
          </w:p>
        </w:tc>
        <w:tc>
          <w:tcPr>
            <w:tcW w:w="617" w:type="dxa"/>
            <w:vMerge w:val="continue"/>
            <w:shd w:val="clear" w:color="auto" w:fill="auto"/>
            <w:vAlign w:val="center"/>
          </w:tcPr>
          <w:p>
            <w:pPr>
              <w:widowControl/>
              <w:jc w:val="center"/>
              <w:rPr>
                <w:rFonts w:ascii="仿宋_GB2312" w:hAnsi="宋体" w:eastAsia="仿宋_GB2312" w:cs="宋体"/>
                <w:color w:val="000000" w:themeColor="text1"/>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11" w:type="dxa"/>
            <w:vMerge w:val="continue"/>
            <w:tcBorders>
              <w:top w:val="single" w:color="auto" w:sz="4" w:space="0"/>
              <w:bottom w:val="single" w:color="auto" w:sz="4" w:space="0"/>
            </w:tcBorders>
            <w:vAlign w:val="center"/>
          </w:tcPr>
          <w:p>
            <w:pPr>
              <w:widowControl/>
              <w:jc w:val="left"/>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vAlign w:val="center"/>
          </w:tcPr>
          <w:p>
            <w:pPr>
              <w:widowControl/>
              <w:jc w:val="left"/>
              <w:rPr>
                <w:rFonts w:ascii="仿宋_GB2312" w:hAnsi="宋体" w:eastAsia="仿宋_GB2312" w:cs="宋体"/>
                <w:kern w:val="0"/>
                <w:sz w:val="20"/>
                <w:szCs w:val="20"/>
              </w:rPr>
            </w:pPr>
          </w:p>
        </w:tc>
        <w:tc>
          <w:tcPr>
            <w:tcW w:w="567" w:type="dxa"/>
            <w:vMerge w:val="continue"/>
            <w:tcBorders>
              <w:top w:val="single" w:color="auto" w:sz="4" w:space="0"/>
              <w:bottom w:val="single" w:color="auto" w:sz="4" w:space="0"/>
            </w:tcBorders>
            <w:vAlign w:val="center"/>
          </w:tcPr>
          <w:p>
            <w:pPr>
              <w:widowControl/>
              <w:jc w:val="left"/>
              <w:rPr>
                <w:rFonts w:ascii="仿宋_GB2312" w:hAnsi="宋体" w:eastAsia="仿宋_GB2312" w:cs="宋体"/>
                <w:kern w:val="0"/>
                <w:sz w:val="20"/>
                <w:szCs w:val="20"/>
              </w:rPr>
            </w:pP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生态  效益</w:t>
            </w:r>
          </w:p>
        </w:tc>
        <w:tc>
          <w:tcPr>
            <w:tcW w:w="567" w:type="dxa"/>
            <w:vMerge w:val="continue"/>
            <w:vAlign w:val="center"/>
          </w:tcPr>
          <w:p>
            <w:pPr>
              <w:widowControl/>
              <w:jc w:val="left"/>
              <w:rPr>
                <w:rFonts w:ascii="仿宋_GB2312" w:hAnsi="宋体" w:eastAsia="仿宋_GB2312" w:cs="宋体"/>
                <w:kern w:val="0"/>
                <w:sz w:val="20"/>
                <w:szCs w:val="20"/>
              </w:rPr>
            </w:pPr>
          </w:p>
        </w:tc>
        <w:tc>
          <w:tcPr>
            <w:tcW w:w="6590" w:type="dxa"/>
            <w:gridSpan w:val="2"/>
            <w:vMerge w:val="continue"/>
            <w:vAlign w:val="center"/>
          </w:tcPr>
          <w:p>
            <w:pPr>
              <w:widowControl/>
              <w:jc w:val="left"/>
              <w:rPr>
                <w:rFonts w:ascii="仿宋_GB2312" w:hAnsi="宋体" w:eastAsia="仿宋_GB2312" w:cs="宋体"/>
                <w:kern w:val="0"/>
                <w:sz w:val="20"/>
                <w:szCs w:val="20"/>
              </w:rPr>
            </w:pPr>
          </w:p>
        </w:tc>
        <w:tc>
          <w:tcPr>
            <w:tcW w:w="617" w:type="dxa"/>
            <w:vMerge w:val="continue"/>
            <w:shd w:val="clear" w:color="auto" w:fill="auto"/>
            <w:vAlign w:val="center"/>
          </w:tcPr>
          <w:p>
            <w:pPr>
              <w:widowControl/>
              <w:jc w:val="center"/>
              <w:rPr>
                <w:rFonts w:ascii="仿宋_GB2312" w:hAnsi="宋体" w:eastAsia="仿宋_GB2312" w:cs="宋体"/>
                <w:color w:val="000000" w:themeColor="text1"/>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411" w:type="dxa"/>
            <w:vMerge w:val="continue"/>
            <w:tcBorders>
              <w:top w:val="single" w:color="auto" w:sz="4" w:space="0"/>
              <w:bottom w:val="single" w:color="auto" w:sz="4" w:space="0"/>
            </w:tcBorders>
          </w:tcPr>
          <w:p>
            <w:pPr>
              <w:widowControl/>
              <w:jc w:val="left"/>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tcPr>
          <w:p>
            <w:pPr>
              <w:widowControl/>
              <w:jc w:val="left"/>
              <w:rPr>
                <w:rFonts w:ascii="仿宋_GB2312" w:hAnsi="宋体" w:eastAsia="仿宋_GB2312" w:cs="宋体"/>
                <w:kern w:val="0"/>
                <w:sz w:val="20"/>
                <w:szCs w:val="20"/>
              </w:rPr>
            </w:pPr>
          </w:p>
        </w:tc>
        <w:tc>
          <w:tcPr>
            <w:tcW w:w="567" w:type="dxa"/>
            <w:vMerge w:val="continue"/>
            <w:tcBorders>
              <w:top w:val="single" w:color="auto" w:sz="4" w:space="0"/>
              <w:bottom w:val="single" w:color="auto" w:sz="4" w:space="0"/>
            </w:tcBorders>
          </w:tcPr>
          <w:p>
            <w:pPr>
              <w:widowControl/>
              <w:jc w:val="left"/>
              <w:rPr>
                <w:rFonts w:ascii="仿宋_GB2312" w:hAnsi="宋体" w:eastAsia="仿宋_GB2312" w:cs="宋体"/>
                <w:kern w:val="0"/>
                <w:sz w:val="20"/>
                <w:szCs w:val="20"/>
              </w:rPr>
            </w:pPr>
          </w:p>
        </w:tc>
        <w:tc>
          <w:tcPr>
            <w:tcW w:w="851"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社会公众或服务对象满意度</w:t>
            </w:r>
          </w:p>
        </w:tc>
        <w:tc>
          <w:tcPr>
            <w:tcW w:w="567" w:type="dxa"/>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90%（含）以上计2分；</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80%（含）-90%，计1分；70%（含）-80%，计0.5分；低于70%,计0分。</w:t>
            </w:r>
          </w:p>
        </w:tc>
        <w:tc>
          <w:tcPr>
            <w:tcW w:w="3472" w:type="dxa"/>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社会公众或服务对象是指部门（单位）履行职责而影响到的部门，群体或个人，一般采取社会调查的方式(不少于30份)。</w:t>
            </w:r>
          </w:p>
        </w:tc>
        <w:tc>
          <w:tcPr>
            <w:tcW w:w="617" w:type="dxa"/>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840" w:type="dxa"/>
            <w:gridSpan w:val="2"/>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8575" w:type="dxa"/>
            <w:gridSpan w:val="5"/>
            <w:vAlign w:val="center"/>
          </w:tcPr>
          <w:p>
            <w:pPr>
              <w:widowControl/>
              <w:rPr>
                <w:rFonts w:ascii="仿宋_GB2312" w:hAnsi="宋体" w:eastAsia="仿宋_GB2312" w:cs="宋体"/>
                <w:kern w:val="0"/>
                <w:sz w:val="20"/>
                <w:szCs w:val="20"/>
              </w:rPr>
            </w:pPr>
          </w:p>
        </w:tc>
        <w:tc>
          <w:tcPr>
            <w:tcW w:w="617"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99</w:t>
            </w:r>
          </w:p>
        </w:tc>
      </w:tr>
    </w:tbl>
    <w:p>
      <w:pPr>
        <w:spacing w:line="600" w:lineRule="exact"/>
        <w:rPr>
          <w:rFonts w:ascii="宋体" w:hAnsi="宋体" w:cs="宋体"/>
          <w:kern w:val="0"/>
          <w:sz w:val="32"/>
          <w:szCs w:val="32"/>
        </w:rPr>
      </w:pPr>
    </w:p>
    <w:p>
      <w:pPr>
        <w:pStyle w:val="6"/>
        <w:widowControl/>
        <w:shd w:val="clear" w:color="auto" w:fill="FFFFFF"/>
        <w:spacing w:before="0" w:beforeAutospacing="0" w:after="0" w:afterAutospacing="0"/>
        <w:rPr>
          <w:rFonts w:ascii="宋体" w:hAnsi="宋体" w:cs="宋体"/>
          <w:b/>
          <w:color w:val="444444"/>
          <w:sz w:val="29"/>
          <w:szCs w:val="29"/>
          <w:shd w:val="clear" w:color="auto" w:fill="FFFFFF"/>
        </w:rPr>
      </w:pPr>
    </w:p>
    <w:p>
      <w:pPr>
        <w:pStyle w:val="6"/>
        <w:widowControl/>
        <w:shd w:val="clear" w:color="auto" w:fill="FFFFFF"/>
        <w:spacing w:before="0" w:beforeAutospacing="0" w:after="0" w:afterAutospacing="0"/>
        <w:jc w:val="center"/>
        <w:rPr>
          <w:rFonts w:ascii="宋体" w:hAnsi="宋体" w:cs="宋体"/>
          <w:b/>
          <w:color w:val="444444"/>
          <w:sz w:val="29"/>
          <w:szCs w:val="29"/>
          <w:shd w:val="clear" w:color="auto" w:fill="FFFFFF"/>
        </w:rPr>
      </w:pPr>
    </w:p>
    <w:p>
      <w:pPr>
        <w:pStyle w:val="6"/>
        <w:widowControl/>
        <w:shd w:val="clear" w:color="auto" w:fill="FFFFFF"/>
        <w:spacing w:before="0" w:beforeAutospacing="0" w:after="0" w:afterAutospacing="0"/>
        <w:jc w:val="center"/>
        <w:rPr>
          <w:rFonts w:ascii="宋体" w:hAnsi="宋体" w:cs="宋体"/>
          <w:b/>
          <w:color w:val="444444"/>
          <w:sz w:val="29"/>
          <w:szCs w:val="29"/>
          <w:shd w:val="clear" w:color="auto" w:fill="FFFFFF"/>
        </w:rPr>
      </w:pPr>
    </w:p>
    <w:p>
      <w:pPr>
        <w:pStyle w:val="6"/>
        <w:widowControl/>
        <w:shd w:val="clear" w:color="auto" w:fill="FFFFFF"/>
        <w:spacing w:before="0" w:beforeAutospacing="0" w:after="0" w:afterAutospacing="0"/>
        <w:jc w:val="center"/>
        <w:rPr>
          <w:rFonts w:ascii="微软雅黑" w:hAnsi="微软雅黑" w:eastAsia="微软雅黑" w:cs="微软雅黑"/>
          <w:color w:val="444444"/>
        </w:rPr>
      </w:pPr>
      <w:r>
        <w:rPr>
          <w:rFonts w:hint="eastAsia" w:ascii="宋体" w:hAnsi="宋体" w:cs="宋体"/>
          <w:b/>
          <w:color w:val="444444"/>
          <w:sz w:val="29"/>
          <w:szCs w:val="29"/>
          <w:shd w:val="clear" w:color="auto" w:fill="FFFFFF"/>
        </w:rPr>
        <w:t>2021年度部门整体支出绩效评价报告</w:t>
      </w:r>
    </w:p>
    <w:p>
      <w:pPr>
        <w:widowControl/>
        <w:shd w:val="clear" w:color="auto" w:fill="FFFFFF"/>
        <w:spacing w:line="600" w:lineRule="atLeast"/>
        <w:ind w:firstLine="640"/>
        <w:jc w:val="left"/>
        <w:rPr>
          <w:rFonts w:ascii="微软雅黑" w:hAnsi="微软雅黑" w:eastAsia="微软雅黑" w:cs="微软雅黑"/>
          <w:color w:val="444444"/>
          <w:sz w:val="24"/>
        </w:rPr>
      </w:pPr>
      <w:r>
        <w:rPr>
          <w:rFonts w:ascii="黑体" w:hAnsi="宋体" w:eastAsia="黑体" w:cs="黑体"/>
          <w:color w:val="444444"/>
          <w:kern w:val="0"/>
          <w:sz w:val="28"/>
          <w:szCs w:val="28"/>
          <w:shd w:val="clear" w:color="auto" w:fill="FFFFFF"/>
        </w:rPr>
        <w:t>一、部门概况</w:t>
      </w:r>
    </w:p>
    <w:p>
      <w:pPr>
        <w:widowControl/>
        <w:shd w:val="clear" w:color="auto" w:fill="FFFFFF"/>
        <w:spacing w:line="600" w:lineRule="atLeast"/>
        <w:ind w:firstLine="643"/>
        <w:jc w:val="left"/>
        <w:rPr>
          <w:rFonts w:ascii="微软雅黑" w:hAnsi="微软雅黑" w:eastAsia="微软雅黑" w:cs="微软雅黑"/>
          <w:color w:val="444444"/>
          <w:sz w:val="24"/>
        </w:rPr>
      </w:pPr>
      <w:r>
        <w:rPr>
          <w:rFonts w:ascii="楷体_GB2312" w:hAnsi="微软雅黑" w:eastAsia="楷体_GB2312" w:cs="楷体_GB2312"/>
          <w:b/>
          <w:color w:val="444444"/>
          <w:kern w:val="0"/>
          <w:sz w:val="28"/>
          <w:szCs w:val="28"/>
          <w:shd w:val="clear" w:color="auto" w:fill="FFFFFF"/>
        </w:rPr>
        <w:t>（一）部门基本情况</w:t>
      </w:r>
    </w:p>
    <w:p>
      <w:pPr>
        <w:widowControl/>
        <w:shd w:val="clear" w:color="auto" w:fill="FFFFFF"/>
        <w:spacing w:line="579" w:lineRule="atLeast"/>
        <w:ind w:firstLine="640"/>
        <w:jc w:val="left"/>
        <w:rPr>
          <w:rFonts w:hint="eastAsia" w:ascii="仿宋_GB2312" w:hAnsi="微软雅黑" w:eastAsia="仿宋_GB2312" w:cs="仿宋_GB2312"/>
          <w:color w:val="444444"/>
          <w:kern w:val="0"/>
          <w:sz w:val="28"/>
          <w:szCs w:val="28"/>
          <w:shd w:val="clear" w:color="auto" w:fill="FFFFFF"/>
        </w:rPr>
      </w:pPr>
      <w:r>
        <w:rPr>
          <w:rFonts w:ascii="仿宋_GB2312" w:hAnsi="微软雅黑" w:eastAsia="仿宋_GB2312" w:cs="仿宋_GB2312"/>
          <w:b/>
          <w:color w:val="444444"/>
          <w:kern w:val="0"/>
          <w:sz w:val="28"/>
          <w:szCs w:val="28"/>
          <w:shd w:val="clear" w:color="auto" w:fill="FFFFFF"/>
        </w:rPr>
        <w:t>1、部门职能职责：</w:t>
      </w:r>
      <w:r>
        <w:rPr>
          <w:rFonts w:hint="eastAsia" w:ascii="仿宋_GB2312" w:hAnsi="微软雅黑" w:eastAsia="仿宋_GB2312" w:cs="仿宋_GB2312"/>
          <w:color w:val="444444"/>
          <w:kern w:val="0"/>
          <w:sz w:val="28"/>
          <w:szCs w:val="28"/>
          <w:shd w:val="clear" w:color="auto" w:fill="FFFFFF"/>
        </w:rPr>
        <w:t>各级统战部是党中央和各级党委主管统一战线工作的职能部门。党中央就为统战部门确定了"了解情况，掌握政策，调整关系，安排人事"的基本职能。目前，</w:t>
      </w:r>
      <w:r>
        <w:rPr>
          <w:rFonts w:hint="eastAsia" w:ascii="仿宋_GB2312" w:hAnsi="微软雅黑" w:eastAsia="仿宋_GB2312" w:cs="仿宋_GB2312"/>
          <w:color w:val="444444"/>
          <w:kern w:val="0"/>
          <w:sz w:val="28"/>
          <w:szCs w:val="28"/>
          <w:shd w:val="clear" w:color="auto" w:fill="FFFFFF"/>
          <w:lang w:val="en-US" w:eastAsia="zh-CN"/>
        </w:rPr>
        <w:t>区</w:t>
      </w:r>
      <w:r>
        <w:rPr>
          <w:rFonts w:hint="eastAsia" w:ascii="仿宋_GB2312" w:hAnsi="微软雅黑" w:eastAsia="仿宋_GB2312" w:cs="仿宋_GB2312"/>
          <w:color w:val="444444"/>
          <w:kern w:val="0"/>
          <w:sz w:val="28"/>
          <w:szCs w:val="28"/>
          <w:shd w:val="clear" w:color="auto" w:fill="FFFFFF"/>
        </w:rPr>
        <w:t>统战部门的主要职责如下：</w:t>
      </w:r>
    </w:p>
    <w:p>
      <w:pPr>
        <w:widowControl/>
        <w:shd w:val="clear" w:color="auto" w:fill="FFFFFF"/>
        <w:spacing w:line="579" w:lineRule="atLeast"/>
        <w:ind w:firstLine="640"/>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（１）调查研究统一战线的理论和重大的方针政策，组织贯彻执行中央关于统一战线的方针、政策；向中央和各级党委反映情况，提出开展统战工作的意见和建议。</w:t>
      </w:r>
    </w:p>
    <w:p>
      <w:pPr>
        <w:widowControl/>
        <w:shd w:val="clear" w:color="auto" w:fill="FFFFFF"/>
        <w:spacing w:line="579" w:lineRule="atLeast"/>
        <w:ind w:firstLine="640"/>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２）负责联系各民主党派和无党派代表人士，及时通报情况，反映他们的意见和建议；研究、贯彻党领导的多党合作和政治协商制度及对民主党派的方针、政策；落实中央关于发挥民主党派、无党派人士参政议政和民主监督作用的工作；支持、帮助各民主党派加强自身建设，选拔、培养新一代代表人物。</w:t>
      </w:r>
    </w:p>
    <w:p>
      <w:pPr>
        <w:widowControl/>
        <w:shd w:val="clear" w:color="auto" w:fill="FFFFFF"/>
        <w:spacing w:line="579" w:lineRule="atLeast"/>
        <w:ind w:firstLine="640"/>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（３）负责调查研究、协调检查有关民族、宗教工作的重大方针、政策问题；联系少数民族和宗教界的代表人物；协助有关部门做好少数民族干部的培养和举荐工作。</w:t>
      </w:r>
    </w:p>
    <w:p>
      <w:pPr>
        <w:widowControl/>
        <w:shd w:val="clear" w:color="auto" w:fill="FFFFFF"/>
        <w:spacing w:line="579" w:lineRule="atLeast"/>
        <w:ind w:firstLine="640"/>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（４）负责开展以祖国统一为重点的海外统战工作；联系港、澳、台和华侨华人中的有关社团及代表人士；做好台胞、台属的有关工作。</w:t>
      </w:r>
    </w:p>
    <w:p>
      <w:pPr>
        <w:widowControl/>
        <w:shd w:val="clear" w:color="auto" w:fill="FFFFFF"/>
        <w:spacing w:line="579" w:lineRule="atLeast"/>
        <w:ind w:firstLine="640"/>
        <w:jc w:val="left"/>
        <w:rPr>
          <w:rFonts w:hint="eastAsia" w:ascii="仿宋_GB2312" w:hAnsi="微软雅黑" w:eastAsia="仿宋_GB2312" w:cs="仿宋_GB2312"/>
          <w:color w:val="444444"/>
          <w:kern w:val="0"/>
          <w:sz w:val="28"/>
          <w:szCs w:val="28"/>
          <w:shd w:val="clear" w:color="auto" w:fill="FFFFFF"/>
        </w:rPr>
      </w:pPr>
    </w:p>
    <w:p>
      <w:pPr>
        <w:widowControl/>
        <w:shd w:val="clear" w:color="auto" w:fill="FFFFFF"/>
        <w:spacing w:line="579" w:lineRule="atLeast"/>
        <w:ind w:firstLine="640"/>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（５）负责党外人士的政治安排，会同有关部门做好培养、选拔、推荐党外人士担任政府和司法机关领导职务的工作，做好党外后备干部和新的代表人物队伍的建设工作。</w:t>
      </w:r>
    </w:p>
    <w:p>
      <w:pPr>
        <w:widowControl/>
        <w:shd w:val="clear" w:color="auto" w:fill="FFFFFF"/>
        <w:spacing w:line="579" w:lineRule="atLeast"/>
        <w:ind w:firstLine="640"/>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（６）负责联系工商联、联系港、澳、台及海外工商社团和代表人士。调查、研究并反映非公有制经济代表人物的情况，协调关系，提出政策建议，选拔、培养积极分子队伍。</w:t>
      </w:r>
    </w:p>
    <w:p>
      <w:pPr>
        <w:widowControl/>
        <w:shd w:val="clear" w:color="auto" w:fill="FFFFFF"/>
        <w:spacing w:line="579" w:lineRule="atLeast"/>
        <w:ind w:firstLine="640"/>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（７）调查研究党外知识分子的情况，反映意见，协调关系，提出政策建议；联系并培养党外知识分子的代表人物。</w:t>
      </w:r>
    </w:p>
    <w:p>
      <w:pPr>
        <w:widowControl/>
        <w:shd w:val="clear" w:color="auto" w:fill="FFFFFF"/>
        <w:spacing w:line="579" w:lineRule="atLeast"/>
        <w:ind w:firstLine="640"/>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（８）负责开展海内外统一战线的宣传工作。</w:t>
      </w:r>
    </w:p>
    <w:p>
      <w:pPr>
        <w:widowControl/>
        <w:shd w:val="clear" w:color="auto" w:fill="FFFFFF"/>
        <w:spacing w:line="579" w:lineRule="atLeast"/>
        <w:ind w:firstLine="640"/>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（９）协调政府各有关部门的统战工作。</w:t>
      </w:r>
    </w:p>
    <w:p>
      <w:pPr>
        <w:widowControl/>
        <w:shd w:val="clear" w:color="auto" w:fill="FFFFFF"/>
        <w:spacing w:line="579" w:lineRule="atLeast"/>
        <w:ind w:firstLine="640"/>
        <w:jc w:val="left"/>
        <w:rPr>
          <w:rFonts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（１０）完成中央和各级党委交办的其他任务。</w:t>
      </w:r>
    </w:p>
    <w:p>
      <w:pPr>
        <w:rPr>
          <w:rFonts w:ascii="仿宋_GB2312" w:hAnsi="微软雅黑" w:eastAsia="仿宋_GB2312" w:cs="仿宋_GB2312"/>
          <w:color w:val="444444"/>
          <w:sz w:val="28"/>
          <w:szCs w:val="28"/>
          <w:shd w:val="clear" w:color="auto" w:fill="FFFFFF"/>
        </w:rPr>
      </w:pPr>
      <w:r>
        <w:rPr>
          <w:rFonts w:ascii="仿宋_GB2312" w:hAnsi="微软雅黑" w:eastAsia="仿宋_GB2312" w:cs="仿宋_GB2312"/>
          <w:b/>
          <w:color w:val="444444"/>
          <w:sz w:val="28"/>
          <w:szCs w:val="28"/>
          <w:shd w:val="clear" w:color="auto" w:fill="FFFFFF"/>
        </w:rPr>
        <w:t>2、机构基本情况：</w:t>
      </w:r>
      <w:r>
        <w:rPr>
          <w:rFonts w:ascii="仿宋_GB2312" w:hAnsi="微软雅黑" w:eastAsia="仿宋_GB2312" w:cs="仿宋_GB2312"/>
          <w:color w:val="444444"/>
          <w:sz w:val="28"/>
          <w:szCs w:val="28"/>
          <w:shd w:val="clear" w:color="auto" w:fill="FFFFFF"/>
        </w:rPr>
        <w:t>邵阳市委统战部内设机构包括：</w:t>
      </w:r>
      <w:r>
        <w:rPr>
          <w:rFonts w:hint="eastAsia" w:ascii="仿宋_GB2312" w:hAnsi="微软雅黑" w:eastAsia="仿宋_GB2312" w:cs="仿宋_GB2312"/>
          <w:color w:val="444444"/>
          <w:sz w:val="28"/>
          <w:szCs w:val="28"/>
          <w:shd w:val="clear" w:color="auto" w:fill="FFFFFF"/>
        </w:rPr>
        <w:t>办公室、民族宗教事务股、侨务工作股3个科室，区侨联与统战部合署办公，没有下设的二级机构</w:t>
      </w:r>
    </w:p>
    <w:p>
      <w:pPr>
        <w:rPr>
          <w:rFonts w:ascii="微软雅黑" w:hAnsi="微软雅黑" w:eastAsia="微软雅黑" w:cs="微软雅黑"/>
          <w:color w:val="444444"/>
        </w:rPr>
      </w:pPr>
      <w:r>
        <w:rPr>
          <w:rFonts w:ascii="仿宋_GB2312" w:hAnsi="微软雅黑" w:eastAsia="仿宋_GB2312" w:cs="仿宋_GB2312"/>
          <w:b/>
          <w:color w:val="444444"/>
          <w:sz w:val="28"/>
          <w:szCs w:val="28"/>
          <w:shd w:val="clear" w:color="auto" w:fill="FFFFFF"/>
        </w:rPr>
        <w:t>3．机构人员情况：</w:t>
      </w:r>
      <w:r>
        <w:rPr>
          <w:rFonts w:hint="eastAsia" w:ascii="仿宋_GB2312" w:hAnsi="微软雅黑" w:eastAsia="仿宋_GB2312" w:cs="仿宋_GB2312"/>
          <w:color w:val="444444"/>
          <w:kern w:val="0"/>
          <w:sz w:val="28"/>
          <w:szCs w:val="28"/>
          <w:shd w:val="clear" w:color="auto" w:fill="FFFFFF"/>
        </w:rPr>
        <w:t>单位共有行政编制人数5人，区侨联编制人数3人，区委统战部（包括侨联）实有人数15人，其中在职9人，离退休6人。</w:t>
      </w:r>
    </w:p>
    <w:p>
      <w:pPr>
        <w:widowControl/>
        <w:numPr>
          <w:ilvl w:val="0"/>
          <w:numId w:val="1"/>
        </w:numPr>
        <w:shd w:val="clear" w:color="auto" w:fill="FFFFFF"/>
        <w:spacing w:line="579" w:lineRule="atLeast"/>
        <w:ind w:firstLine="643"/>
        <w:jc w:val="left"/>
        <w:rPr>
          <w:rFonts w:ascii="楷体_GB2312" w:hAnsi="微软雅黑" w:eastAsia="楷体_GB2312" w:cs="楷体_GB2312"/>
          <w:b/>
          <w:color w:val="444444"/>
          <w:kern w:val="0"/>
          <w:sz w:val="28"/>
          <w:szCs w:val="28"/>
          <w:shd w:val="clear" w:color="auto" w:fill="FFFFFF"/>
        </w:rPr>
      </w:pPr>
      <w:r>
        <w:rPr>
          <w:rFonts w:ascii="楷体_GB2312" w:hAnsi="微软雅黑" w:eastAsia="楷体_GB2312" w:cs="楷体_GB2312"/>
          <w:b/>
          <w:color w:val="444444"/>
          <w:kern w:val="0"/>
          <w:sz w:val="28"/>
          <w:szCs w:val="28"/>
          <w:shd w:val="clear" w:color="auto" w:fill="FFFFFF"/>
        </w:rPr>
        <w:t>部门整体支出规模、使用方向和主要内容、涉及范围等。</w:t>
      </w:r>
    </w:p>
    <w:p>
      <w:pPr>
        <w:widowControl/>
        <w:shd w:val="clear" w:color="auto" w:fill="FFFFFF"/>
        <w:spacing w:line="579" w:lineRule="atLeast"/>
        <w:ind w:firstLine="640"/>
        <w:jc w:val="left"/>
        <w:rPr>
          <w:rFonts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“收入支出决算总表”中本年年初预算数为</w:t>
      </w:r>
      <w:r>
        <w:rPr>
          <w:rFonts w:hint="eastAsia" w:ascii="仿宋_GB2312" w:hAnsi="微软雅黑" w:eastAsia="仿宋_GB2312" w:cs="仿宋_GB2312"/>
          <w:color w:val="444444"/>
          <w:kern w:val="0"/>
          <w:sz w:val="28"/>
          <w:szCs w:val="28"/>
          <w:shd w:val="clear" w:color="auto" w:fill="FFFFFF"/>
          <w:lang w:val="en-US" w:eastAsia="zh-CN"/>
        </w:rPr>
        <w:t>145.53</w:t>
      </w:r>
      <w:r>
        <w:rPr>
          <w:rFonts w:hint="eastAsia" w:ascii="仿宋_GB2312" w:hAnsi="微软雅黑" w:eastAsia="仿宋_GB2312" w:cs="仿宋_GB2312"/>
          <w:color w:val="444444"/>
          <w:kern w:val="0"/>
          <w:sz w:val="28"/>
          <w:szCs w:val="28"/>
          <w:shd w:val="clear" w:color="auto" w:fill="FFFFFF"/>
        </w:rPr>
        <w:t>万元，调整后预算收入</w:t>
      </w:r>
      <w:r>
        <w:rPr>
          <w:rFonts w:hint="eastAsia" w:ascii="仿宋_GB2312" w:hAnsi="微软雅黑" w:eastAsia="仿宋_GB2312" w:cs="仿宋_GB2312"/>
          <w:color w:val="444444"/>
          <w:kern w:val="0"/>
          <w:sz w:val="28"/>
          <w:szCs w:val="28"/>
          <w:shd w:val="clear" w:color="auto" w:fill="FFFFFF"/>
          <w:lang w:val="en-US" w:eastAsia="zh-CN"/>
        </w:rPr>
        <w:t>197.44</w:t>
      </w:r>
      <w:r>
        <w:rPr>
          <w:rFonts w:hint="eastAsia" w:ascii="仿宋_GB2312" w:hAnsi="微软雅黑" w:eastAsia="仿宋_GB2312" w:cs="仿宋_GB2312"/>
          <w:color w:val="444444"/>
          <w:kern w:val="0"/>
          <w:sz w:val="28"/>
          <w:szCs w:val="28"/>
          <w:shd w:val="clear" w:color="auto" w:fill="FFFFFF"/>
        </w:rPr>
        <w:t>万元,支出</w:t>
      </w:r>
      <w:r>
        <w:rPr>
          <w:rFonts w:hint="eastAsia" w:ascii="仿宋_GB2312" w:hAnsi="微软雅黑" w:eastAsia="仿宋_GB2312" w:cs="仿宋_GB2312"/>
          <w:color w:val="444444"/>
          <w:kern w:val="0"/>
          <w:sz w:val="28"/>
          <w:szCs w:val="28"/>
          <w:shd w:val="clear" w:color="auto" w:fill="FFFFFF"/>
          <w:lang w:val="en-US" w:eastAsia="zh-CN"/>
        </w:rPr>
        <w:t>197.44</w:t>
      </w:r>
      <w:r>
        <w:rPr>
          <w:rFonts w:hint="eastAsia" w:ascii="仿宋_GB2312" w:hAnsi="微软雅黑" w:eastAsia="仿宋_GB2312" w:cs="仿宋_GB2312"/>
          <w:color w:val="444444"/>
          <w:kern w:val="0"/>
          <w:sz w:val="28"/>
          <w:szCs w:val="28"/>
          <w:shd w:val="clear" w:color="auto" w:fill="FFFFFF"/>
        </w:rPr>
        <w:t>万元，预算年中调整主要是人员工资调整、增加绩效考核、文明创建、综合治理奖金及离退休人员补贴预算。</w:t>
      </w:r>
    </w:p>
    <w:p>
      <w:pPr>
        <w:widowControl/>
        <w:shd w:val="clear" w:color="auto" w:fill="FFFFFF"/>
        <w:spacing w:line="579" w:lineRule="atLeast"/>
        <w:ind w:firstLine="640"/>
        <w:jc w:val="left"/>
        <w:rPr>
          <w:rFonts w:hint="default" w:ascii="仿宋_GB2312" w:hAnsi="微软雅黑" w:eastAsia="仿宋_GB2312" w:cs="仿宋_GB2312"/>
          <w:color w:val="444444"/>
          <w:kern w:val="0"/>
          <w:sz w:val="28"/>
          <w:szCs w:val="28"/>
          <w:shd w:val="clear" w:color="auto" w:fill="FFFFFF"/>
          <w:lang w:val="en-US" w:eastAsia="zh-CN"/>
        </w:rPr>
      </w:pPr>
      <w:r>
        <w:rPr>
          <w:rFonts w:hint="eastAsia" w:ascii="仿宋_GB2312" w:hAnsi="微软雅黑" w:eastAsia="仿宋_GB2312" w:cs="仿宋_GB2312"/>
          <w:color w:val="444444"/>
          <w:kern w:val="0"/>
          <w:sz w:val="28"/>
          <w:szCs w:val="28"/>
          <w:shd w:val="clear" w:color="auto" w:fill="FFFFFF"/>
        </w:rPr>
        <w:t>2021年部门整体支出</w:t>
      </w:r>
      <w:r>
        <w:rPr>
          <w:rFonts w:hint="eastAsia" w:ascii="仿宋_GB2312" w:hAnsi="微软雅黑" w:eastAsia="仿宋_GB2312" w:cs="仿宋_GB2312"/>
          <w:color w:val="444444"/>
          <w:kern w:val="0"/>
          <w:sz w:val="28"/>
          <w:szCs w:val="28"/>
          <w:shd w:val="clear" w:color="auto" w:fill="FFFFFF"/>
          <w:lang w:val="en-US" w:eastAsia="zh-CN"/>
        </w:rPr>
        <w:t>197.44</w:t>
      </w:r>
      <w:r>
        <w:rPr>
          <w:rFonts w:hint="eastAsia" w:ascii="仿宋_GB2312" w:hAnsi="微软雅黑" w:eastAsia="仿宋_GB2312" w:cs="仿宋_GB2312"/>
          <w:color w:val="444444"/>
          <w:kern w:val="0"/>
          <w:sz w:val="28"/>
          <w:szCs w:val="28"/>
          <w:shd w:val="clear" w:color="auto" w:fill="FFFFFF"/>
        </w:rPr>
        <w:t>万元，其中基本支出</w:t>
      </w:r>
      <w:r>
        <w:rPr>
          <w:rFonts w:hint="eastAsia" w:ascii="仿宋_GB2312" w:hAnsi="微软雅黑" w:eastAsia="仿宋_GB2312" w:cs="仿宋_GB2312"/>
          <w:color w:val="444444"/>
          <w:kern w:val="0"/>
          <w:sz w:val="28"/>
          <w:szCs w:val="28"/>
          <w:shd w:val="clear" w:color="auto" w:fill="FFFFFF"/>
          <w:lang w:val="en-US" w:eastAsia="zh-CN"/>
        </w:rPr>
        <w:t>197.44</w:t>
      </w:r>
      <w:r>
        <w:rPr>
          <w:rFonts w:hint="eastAsia" w:ascii="仿宋_GB2312" w:hAnsi="微软雅黑" w:eastAsia="仿宋_GB2312" w:cs="仿宋_GB2312"/>
          <w:color w:val="444444"/>
          <w:kern w:val="0"/>
          <w:sz w:val="28"/>
          <w:szCs w:val="28"/>
          <w:shd w:val="clear" w:color="auto" w:fill="FFFFFF"/>
        </w:rPr>
        <w:t>万元，项目支出</w:t>
      </w:r>
      <w:r>
        <w:rPr>
          <w:rFonts w:hint="eastAsia" w:ascii="仿宋_GB2312" w:hAnsi="微软雅黑" w:eastAsia="仿宋_GB2312" w:cs="仿宋_GB2312"/>
          <w:color w:val="444444"/>
          <w:kern w:val="0"/>
          <w:sz w:val="28"/>
          <w:szCs w:val="28"/>
          <w:shd w:val="clear" w:color="auto" w:fill="FFFFFF"/>
          <w:lang w:val="en-US" w:eastAsia="zh-CN"/>
        </w:rPr>
        <w:t>0</w:t>
      </w:r>
      <w:r>
        <w:rPr>
          <w:rFonts w:hint="eastAsia" w:ascii="仿宋_GB2312" w:hAnsi="微软雅黑" w:eastAsia="仿宋_GB2312" w:cs="仿宋_GB2312"/>
          <w:color w:val="444444"/>
          <w:kern w:val="0"/>
          <w:sz w:val="28"/>
          <w:szCs w:val="28"/>
          <w:shd w:val="clear" w:color="auto" w:fill="FFFFFF"/>
        </w:rPr>
        <w:t>万元，基本支出主要是人员工资、商品和服务支出、社会保障和就业支出、卫生健康支出和住房保障支</w:t>
      </w:r>
      <w:r>
        <w:rPr>
          <w:rFonts w:hint="eastAsia" w:ascii="仿宋_GB2312" w:hAnsi="微软雅黑" w:eastAsia="仿宋_GB2312" w:cs="仿宋_GB2312"/>
          <w:color w:val="444444"/>
          <w:kern w:val="0"/>
          <w:sz w:val="28"/>
          <w:szCs w:val="28"/>
          <w:shd w:val="clear" w:color="auto" w:fill="FFFFFF"/>
          <w:lang w:val="en-US" w:eastAsia="zh-CN"/>
        </w:rPr>
        <w:t>出及预算下达保运转的项目支出24.8万元，其中：台办经费1万元，统战经费8.8万元，民主党派经费10万，民宗经费5万元。</w:t>
      </w:r>
    </w:p>
    <w:p>
      <w:pPr>
        <w:widowControl/>
        <w:shd w:val="clear" w:color="auto" w:fill="FFFFFF"/>
        <w:spacing w:line="579" w:lineRule="atLeast"/>
        <w:jc w:val="left"/>
        <w:rPr>
          <w:rFonts w:ascii="黑体" w:hAnsi="宋体" w:eastAsia="黑体" w:cs="黑体"/>
          <w:color w:val="444444"/>
          <w:kern w:val="0"/>
          <w:sz w:val="28"/>
          <w:szCs w:val="28"/>
          <w:shd w:val="clear" w:color="auto" w:fill="FFFFFF"/>
        </w:rPr>
      </w:pPr>
    </w:p>
    <w:p>
      <w:pPr>
        <w:widowControl/>
        <w:shd w:val="clear" w:color="auto" w:fill="FFFFFF"/>
        <w:spacing w:line="579" w:lineRule="atLeast"/>
        <w:jc w:val="left"/>
        <w:rPr>
          <w:rFonts w:ascii="微软雅黑" w:hAnsi="微软雅黑" w:eastAsia="微软雅黑" w:cs="微软雅黑"/>
          <w:color w:val="444444"/>
          <w:sz w:val="24"/>
        </w:rPr>
      </w:pPr>
      <w:r>
        <w:rPr>
          <w:rFonts w:hint="eastAsia" w:ascii="黑体" w:hAnsi="宋体" w:eastAsia="黑体" w:cs="黑体"/>
          <w:color w:val="444444"/>
          <w:kern w:val="0"/>
          <w:sz w:val="28"/>
          <w:szCs w:val="28"/>
          <w:shd w:val="clear" w:color="auto" w:fill="FFFFFF"/>
        </w:rPr>
        <w:t>二、部门整体支出管理及使用情况</w:t>
      </w:r>
    </w:p>
    <w:p>
      <w:pPr>
        <w:widowControl/>
        <w:shd w:val="clear" w:color="auto" w:fill="FFFFFF"/>
        <w:spacing w:line="579" w:lineRule="atLeast"/>
        <w:jc w:val="left"/>
        <w:rPr>
          <w:rFonts w:ascii="微软雅黑" w:hAnsi="微软雅黑" w:eastAsia="微软雅黑" w:cs="微软雅黑"/>
          <w:color w:val="444444"/>
          <w:sz w:val="24"/>
        </w:rPr>
      </w:pPr>
      <w:r>
        <w:rPr>
          <w:rFonts w:ascii="楷体_GB2312" w:hAnsi="微软雅黑" w:eastAsia="楷体_GB2312" w:cs="楷体_GB2312"/>
          <w:b/>
          <w:color w:val="444444"/>
          <w:kern w:val="0"/>
          <w:sz w:val="28"/>
          <w:szCs w:val="28"/>
          <w:shd w:val="clear" w:color="auto" w:fill="FFFFFF"/>
        </w:rPr>
        <w:t>（一）预算执行情况</w:t>
      </w:r>
    </w:p>
    <w:p>
      <w:pPr>
        <w:widowControl/>
        <w:shd w:val="clear" w:color="auto" w:fill="FFFFFF"/>
        <w:spacing w:line="579" w:lineRule="atLeast"/>
        <w:ind w:firstLine="640"/>
        <w:jc w:val="left"/>
        <w:rPr>
          <w:rFonts w:ascii="微软雅黑" w:hAnsi="微软雅黑" w:eastAsia="微软雅黑" w:cs="微软雅黑"/>
          <w:color w:val="444444"/>
          <w:sz w:val="24"/>
        </w:rPr>
      </w:pPr>
      <w:r>
        <w:rPr>
          <w:rFonts w:hint="eastAsia" w:ascii="宋体" w:hAnsi="宋体" w:cs="宋体"/>
          <w:color w:val="444444"/>
          <w:kern w:val="0"/>
          <w:sz w:val="28"/>
          <w:szCs w:val="28"/>
          <w:shd w:val="clear" w:color="auto" w:fill="FFFFFF"/>
        </w:rPr>
        <w:t>2021</w:t>
      </w:r>
      <w:r>
        <w:rPr>
          <w:rFonts w:ascii="仿宋_GB2312" w:hAnsi="微软雅黑" w:eastAsia="仿宋_GB2312" w:cs="仿宋_GB2312"/>
          <w:color w:val="444444"/>
          <w:kern w:val="0"/>
          <w:sz w:val="28"/>
          <w:szCs w:val="28"/>
          <w:shd w:val="clear" w:color="auto" w:fill="FFFFFF"/>
        </w:rPr>
        <w:t>年初预算数为</w:t>
      </w:r>
      <w:r>
        <w:rPr>
          <w:rFonts w:hint="eastAsia" w:ascii="仿宋_GB2312" w:hAnsi="微软雅黑" w:eastAsia="仿宋_GB2312" w:cs="仿宋_GB2312"/>
          <w:color w:val="444444"/>
          <w:kern w:val="0"/>
          <w:sz w:val="28"/>
          <w:szCs w:val="28"/>
          <w:shd w:val="clear" w:color="auto" w:fill="FFFFFF"/>
          <w:lang w:val="en-US" w:eastAsia="zh-CN"/>
        </w:rPr>
        <w:t>145.53</w:t>
      </w:r>
      <w:r>
        <w:rPr>
          <w:rFonts w:ascii="仿宋_GB2312" w:hAnsi="微软雅黑" w:eastAsia="仿宋_GB2312" w:cs="仿宋_GB2312"/>
          <w:color w:val="444444"/>
          <w:kern w:val="0"/>
          <w:sz w:val="28"/>
          <w:szCs w:val="28"/>
          <w:shd w:val="clear" w:color="auto" w:fill="FFFFFF"/>
        </w:rPr>
        <w:t>万元，调整后预算收入</w:t>
      </w:r>
      <w:r>
        <w:rPr>
          <w:rFonts w:hint="eastAsia" w:ascii="仿宋_GB2312" w:hAnsi="微软雅黑" w:eastAsia="仿宋_GB2312" w:cs="仿宋_GB2312"/>
          <w:color w:val="444444"/>
          <w:kern w:val="0"/>
          <w:sz w:val="28"/>
          <w:szCs w:val="28"/>
          <w:shd w:val="clear" w:color="auto" w:fill="FFFFFF"/>
          <w:lang w:val="en-US" w:eastAsia="zh-CN"/>
        </w:rPr>
        <w:t>197.44</w:t>
      </w:r>
      <w:r>
        <w:rPr>
          <w:rFonts w:ascii="仿宋_GB2312" w:hAnsi="微软雅黑" w:eastAsia="仿宋_GB2312" w:cs="仿宋_GB2312"/>
          <w:color w:val="444444"/>
          <w:kern w:val="0"/>
          <w:sz w:val="28"/>
          <w:szCs w:val="28"/>
          <w:shd w:val="clear" w:color="auto" w:fill="FFFFFF"/>
        </w:rPr>
        <w:t>万元</w:t>
      </w:r>
      <w:r>
        <w:rPr>
          <w:rFonts w:hint="eastAsia" w:ascii="宋体" w:hAnsi="宋体" w:cs="宋体"/>
          <w:color w:val="444444"/>
          <w:kern w:val="0"/>
          <w:sz w:val="28"/>
          <w:szCs w:val="28"/>
          <w:shd w:val="clear" w:color="auto" w:fill="FFFFFF"/>
        </w:rPr>
        <w:t>,</w:t>
      </w:r>
      <w:r>
        <w:rPr>
          <w:rFonts w:ascii="仿宋_GB2312" w:hAnsi="微软雅黑" w:eastAsia="仿宋_GB2312" w:cs="仿宋_GB2312"/>
          <w:color w:val="444444"/>
          <w:kern w:val="0"/>
          <w:sz w:val="28"/>
          <w:szCs w:val="28"/>
          <w:shd w:val="clear" w:color="auto" w:fill="FFFFFF"/>
        </w:rPr>
        <w:t>支出</w:t>
      </w:r>
      <w:r>
        <w:rPr>
          <w:rFonts w:hint="eastAsia" w:ascii="仿宋_GB2312" w:hAnsi="微软雅黑" w:eastAsia="仿宋_GB2312" w:cs="仿宋_GB2312"/>
          <w:color w:val="444444"/>
          <w:kern w:val="0"/>
          <w:sz w:val="28"/>
          <w:szCs w:val="28"/>
          <w:shd w:val="clear" w:color="auto" w:fill="FFFFFF"/>
          <w:lang w:val="en-US" w:eastAsia="zh-CN"/>
        </w:rPr>
        <w:t>197.44</w:t>
      </w:r>
      <w:r>
        <w:rPr>
          <w:rFonts w:ascii="仿宋_GB2312" w:hAnsi="微软雅黑" w:eastAsia="仿宋_GB2312" w:cs="仿宋_GB2312"/>
          <w:color w:val="444444"/>
          <w:kern w:val="0"/>
          <w:sz w:val="28"/>
          <w:szCs w:val="28"/>
          <w:shd w:val="clear" w:color="auto" w:fill="FFFFFF"/>
        </w:rPr>
        <w:t>万元</w:t>
      </w:r>
      <w:r>
        <w:rPr>
          <w:rFonts w:hint="eastAsia" w:ascii="仿宋_GB2312" w:hAnsi="微软雅黑" w:eastAsia="仿宋_GB2312" w:cs="仿宋_GB2312"/>
          <w:color w:val="444444"/>
          <w:kern w:val="0"/>
          <w:sz w:val="28"/>
          <w:szCs w:val="28"/>
          <w:shd w:val="clear" w:color="auto" w:fill="FFFFFF"/>
        </w:rPr>
        <w:t>。</w:t>
      </w:r>
    </w:p>
    <w:p>
      <w:pPr>
        <w:widowControl/>
        <w:shd w:val="clear" w:color="auto" w:fill="FFFFFF"/>
        <w:spacing w:line="579" w:lineRule="atLeast"/>
        <w:jc w:val="left"/>
        <w:rPr>
          <w:rFonts w:ascii="微软雅黑" w:hAnsi="微软雅黑" w:eastAsia="微软雅黑" w:cs="微软雅黑"/>
          <w:color w:val="444444"/>
          <w:sz w:val="24"/>
        </w:rPr>
      </w:pPr>
      <w:r>
        <w:rPr>
          <w:rFonts w:ascii="楷体_GB2312" w:hAnsi="微软雅黑" w:eastAsia="楷体_GB2312" w:cs="楷体_GB2312"/>
          <w:b/>
          <w:color w:val="444444"/>
          <w:kern w:val="0"/>
          <w:sz w:val="28"/>
          <w:szCs w:val="28"/>
          <w:shd w:val="clear" w:color="auto" w:fill="FFFFFF"/>
        </w:rPr>
        <w:t>（二）基本支出</w:t>
      </w:r>
    </w:p>
    <w:p>
      <w:pPr>
        <w:widowControl/>
        <w:shd w:val="clear" w:color="auto" w:fill="FFFFFF"/>
        <w:spacing w:line="579" w:lineRule="atLeast"/>
        <w:ind w:firstLine="640"/>
        <w:jc w:val="left"/>
        <w:rPr>
          <w:rFonts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2021年部门整体支出</w:t>
      </w:r>
      <w:r>
        <w:rPr>
          <w:rFonts w:hint="eastAsia" w:ascii="仿宋_GB2312" w:hAnsi="微软雅黑" w:eastAsia="仿宋_GB2312" w:cs="仿宋_GB2312"/>
          <w:color w:val="444444"/>
          <w:kern w:val="0"/>
          <w:sz w:val="28"/>
          <w:szCs w:val="28"/>
          <w:shd w:val="clear" w:color="auto" w:fill="FFFFFF"/>
          <w:lang w:val="en-US" w:eastAsia="zh-CN"/>
        </w:rPr>
        <w:t>197.44</w:t>
      </w:r>
      <w:r>
        <w:rPr>
          <w:rFonts w:hint="eastAsia" w:ascii="仿宋_GB2312" w:hAnsi="微软雅黑" w:eastAsia="仿宋_GB2312" w:cs="仿宋_GB2312"/>
          <w:color w:val="444444"/>
          <w:kern w:val="0"/>
          <w:sz w:val="28"/>
          <w:szCs w:val="28"/>
          <w:shd w:val="clear" w:color="auto" w:fill="FFFFFF"/>
        </w:rPr>
        <w:t>万元，其中基本支出</w:t>
      </w:r>
      <w:r>
        <w:rPr>
          <w:rFonts w:hint="eastAsia" w:ascii="仿宋_GB2312" w:hAnsi="微软雅黑" w:eastAsia="仿宋_GB2312" w:cs="仿宋_GB2312"/>
          <w:color w:val="444444"/>
          <w:kern w:val="0"/>
          <w:sz w:val="28"/>
          <w:szCs w:val="28"/>
          <w:shd w:val="clear" w:color="auto" w:fill="FFFFFF"/>
          <w:lang w:val="en-US" w:eastAsia="zh-CN"/>
        </w:rPr>
        <w:t>197.44</w:t>
      </w:r>
      <w:r>
        <w:rPr>
          <w:rFonts w:hint="eastAsia" w:ascii="仿宋_GB2312" w:hAnsi="微软雅黑" w:eastAsia="仿宋_GB2312" w:cs="仿宋_GB2312"/>
          <w:color w:val="444444"/>
          <w:kern w:val="0"/>
          <w:sz w:val="28"/>
          <w:szCs w:val="28"/>
          <w:shd w:val="clear" w:color="auto" w:fill="FFFFFF"/>
        </w:rPr>
        <w:t>万元，项目支出</w:t>
      </w:r>
      <w:r>
        <w:rPr>
          <w:rFonts w:hint="eastAsia" w:ascii="仿宋_GB2312" w:hAnsi="微软雅黑" w:eastAsia="仿宋_GB2312" w:cs="仿宋_GB2312"/>
          <w:color w:val="444444"/>
          <w:kern w:val="0"/>
          <w:sz w:val="28"/>
          <w:szCs w:val="28"/>
          <w:shd w:val="clear" w:color="auto" w:fill="FFFFFF"/>
          <w:lang w:val="en-US" w:eastAsia="zh-CN"/>
        </w:rPr>
        <w:t>0</w:t>
      </w:r>
      <w:r>
        <w:rPr>
          <w:rFonts w:hint="eastAsia" w:ascii="仿宋_GB2312" w:hAnsi="微软雅黑" w:eastAsia="仿宋_GB2312" w:cs="仿宋_GB2312"/>
          <w:color w:val="444444"/>
          <w:kern w:val="0"/>
          <w:sz w:val="28"/>
          <w:szCs w:val="28"/>
          <w:shd w:val="clear" w:color="auto" w:fill="FFFFFF"/>
        </w:rPr>
        <w:t>万元。</w:t>
      </w:r>
    </w:p>
    <w:p>
      <w:pPr>
        <w:rPr>
          <w:rFonts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1、基本支出：2021年度财政拨款基本支出</w:t>
      </w:r>
      <w:r>
        <w:rPr>
          <w:rFonts w:hint="eastAsia" w:ascii="仿宋_GB2312" w:hAnsi="微软雅黑" w:eastAsia="仿宋_GB2312" w:cs="仿宋_GB2312"/>
          <w:color w:val="444444"/>
          <w:kern w:val="0"/>
          <w:sz w:val="28"/>
          <w:szCs w:val="28"/>
          <w:shd w:val="clear" w:color="auto" w:fill="FFFFFF"/>
          <w:lang w:val="en-US" w:eastAsia="zh-CN"/>
        </w:rPr>
        <w:t>197.44</w:t>
      </w:r>
      <w:r>
        <w:rPr>
          <w:rFonts w:hint="eastAsia" w:ascii="仿宋_GB2312" w:hAnsi="微软雅黑" w:eastAsia="仿宋_GB2312" w:cs="仿宋_GB2312"/>
          <w:color w:val="444444"/>
          <w:kern w:val="0"/>
          <w:sz w:val="28"/>
          <w:szCs w:val="28"/>
          <w:shd w:val="clear" w:color="auto" w:fill="FFFFFF"/>
        </w:rPr>
        <w:t>万元。其中：人员经费</w:t>
      </w:r>
      <w:r>
        <w:rPr>
          <w:rFonts w:hint="eastAsia" w:ascii="仿宋_GB2312" w:hAnsi="微软雅黑" w:eastAsia="仿宋_GB2312" w:cs="仿宋_GB2312"/>
          <w:color w:val="444444"/>
          <w:kern w:val="0"/>
          <w:sz w:val="28"/>
          <w:szCs w:val="28"/>
          <w:shd w:val="clear" w:color="auto" w:fill="FFFFFF"/>
          <w:lang w:val="en-US" w:eastAsia="zh-CN"/>
        </w:rPr>
        <w:t>137.68</w:t>
      </w:r>
      <w:r>
        <w:rPr>
          <w:rFonts w:hint="eastAsia" w:ascii="仿宋_GB2312" w:hAnsi="微软雅黑" w:eastAsia="仿宋_GB2312" w:cs="仿宋_GB2312"/>
          <w:color w:val="444444"/>
          <w:kern w:val="0"/>
          <w:sz w:val="28"/>
          <w:szCs w:val="28"/>
          <w:shd w:val="clear" w:color="auto" w:fill="FFFFFF"/>
        </w:rPr>
        <w:t>万元，占基本支出的</w:t>
      </w:r>
      <w:r>
        <w:rPr>
          <w:rFonts w:hint="eastAsia" w:ascii="仿宋_GB2312" w:hAnsi="微软雅黑" w:eastAsia="仿宋_GB2312" w:cs="仿宋_GB2312"/>
          <w:color w:val="444444"/>
          <w:kern w:val="0"/>
          <w:sz w:val="28"/>
          <w:szCs w:val="28"/>
          <w:shd w:val="clear" w:color="auto" w:fill="FFFFFF"/>
          <w:lang w:val="en-US" w:eastAsia="zh-CN"/>
        </w:rPr>
        <w:t>69.73</w:t>
      </w:r>
      <w:r>
        <w:rPr>
          <w:rFonts w:hint="eastAsia" w:ascii="仿宋_GB2312" w:hAnsi="微软雅黑" w:eastAsia="仿宋_GB2312" w:cs="仿宋_GB2312"/>
          <w:color w:val="444444"/>
          <w:kern w:val="0"/>
          <w:sz w:val="28"/>
          <w:szCs w:val="28"/>
          <w:shd w:val="clear" w:color="auto" w:fill="FFFFFF"/>
        </w:rPr>
        <w:t>%，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hint="eastAsia" w:ascii="仿宋_GB2312" w:hAnsi="微软雅黑" w:eastAsia="仿宋_GB2312" w:cs="仿宋_GB2312"/>
          <w:color w:val="444444"/>
          <w:kern w:val="0"/>
          <w:sz w:val="28"/>
          <w:szCs w:val="28"/>
          <w:shd w:val="clear" w:color="auto" w:fill="FFFFFF"/>
          <w:lang w:val="en-US" w:eastAsia="zh-CN"/>
        </w:rPr>
        <w:t>59.76</w:t>
      </w:r>
      <w:r>
        <w:rPr>
          <w:rFonts w:hint="eastAsia" w:ascii="仿宋_GB2312" w:hAnsi="微软雅黑" w:eastAsia="仿宋_GB2312" w:cs="仿宋_GB2312"/>
          <w:color w:val="444444"/>
          <w:kern w:val="0"/>
          <w:sz w:val="28"/>
          <w:szCs w:val="28"/>
          <w:shd w:val="clear" w:color="auto" w:fill="FFFFFF"/>
        </w:rPr>
        <w:t>万元，占基本支出的</w:t>
      </w:r>
      <w:r>
        <w:rPr>
          <w:rFonts w:hint="eastAsia" w:ascii="仿宋_GB2312" w:hAnsi="微软雅黑" w:eastAsia="仿宋_GB2312" w:cs="仿宋_GB2312"/>
          <w:color w:val="444444"/>
          <w:kern w:val="0"/>
          <w:sz w:val="28"/>
          <w:szCs w:val="28"/>
          <w:shd w:val="clear" w:color="auto" w:fill="FFFFFF"/>
          <w:lang w:val="en-US" w:eastAsia="zh-CN"/>
        </w:rPr>
        <w:t>30.27</w:t>
      </w:r>
      <w:r>
        <w:rPr>
          <w:rFonts w:hint="eastAsia" w:ascii="仿宋_GB2312" w:hAnsi="微软雅黑" w:eastAsia="仿宋_GB2312" w:cs="仿宋_GB2312"/>
          <w:color w:val="444444"/>
          <w:kern w:val="0"/>
          <w:sz w:val="28"/>
          <w:szCs w:val="28"/>
          <w:shd w:val="clear" w:color="auto" w:fill="FFFFFF"/>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w:t>
      </w:r>
    </w:p>
    <w:p>
      <w:pPr>
        <w:rPr>
          <w:rFonts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更新、其他资本性支出。</w:t>
      </w:r>
    </w:p>
    <w:p>
      <w:pPr>
        <w:rPr>
          <w:rFonts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2、项目支出</w:t>
      </w:r>
    </w:p>
    <w:p>
      <w:pPr>
        <w:widowControl/>
        <w:shd w:val="clear" w:color="auto" w:fill="FFFFFF"/>
        <w:spacing w:line="579" w:lineRule="atLeast"/>
        <w:ind w:firstLine="640"/>
        <w:jc w:val="left"/>
        <w:rPr>
          <w:rFonts w:hint="eastAsia" w:ascii="仿宋_GB2312" w:hAnsi="微软雅黑" w:eastAsia="仿宋_GB2312" w:cs="仿宋_GB2312"/>
          <w:color w:val="444444"/>
          <w:kern w:val="0"/>
          <w:sz w:val="28"/>
          <w:szCs w:val="28"/>
          <w:shd w:val="clear" w:color="auto" w:fill="FFFFFF"/>
          <w:lang w:val="en-US" w:eastAsia="zh-CN"/>
        </w:rPr>
      </w:pPr>
      <w:r>
        <w:rPr>
          <w:rFonts w:hint="eastAsia" w:ascii="仿宋_GB2312" w:hAnsi="微软雅黑" w:eastAsia="仿宋_GB2312" w:cs="仿宋_GB2312"/>
          <w:color w:val="444444"/>
          <w:kern w:val="0"/>
          <w:sz w:val="28"/>
          <w:szCs w:val="28"/>
          <w:shd w:val="clear" w:color="auto" w:fill="FFFFFF"/>
        </w:rPr>
        <w:t>2021年度</w:t>
      </w:r>
      <w:r>
        <w:rPr>
          <w:rFonts w:ascii="仿宋_GB2312" w:hAnsi="微软雅黑" w:eastAsia="仿宋_GB2312" w:cs="仿宋_GB2312"/>
          <w:color w:val="444444"/>
          <w:kern w:val="0"/>
          <w:sz w:val="28"/>
          <w:szCs w:val="28"/>
          <w:shd w:val="clear" w:color="auto" w:fill="FFFFFF"/>
        </w:rPr>
        <w:t>本单位项目</w:t>
      </w:r>
      <w:r>
        <w:rPr>
          <w:rFonts w:hint="eastAsia" w:ascii="仿宋_GB2312" w:hAnsi="微软雅黑" w:eastAsia="仿宋_GB2312" w:cs="仿宋_GB2312"/>
          <w:color w:val="444444"/>
          <w:kern w:val="0"/>
          <w:sz w:val="28"/>
          <w:szCs w:val="28"/>
          <w:shd w:val="clear" w:color="auto" w:fill="FFFFFF"/>
        </w:rPr>
        <w:t>支出</w:t>
      </w:r>
      <w:r>
        <w:rPr>
          <w:rFonts w:hint="eastAsia" w:ascii="仿宋_GB2312" w:hAnsi="微软雅黑" w:eastAsia="仿宋_GB2312" w:cs="仿宋_GB2312"/>
          <w:color w:val="444444"/>
          <w:kern w:val="0"/>
          <w:sz w:val="28"/>
          <w:szCs w:val="28"/>
          <w:shd w:val="clear" w:color="auto" w:fill="FFFFFF"/>
          <w:lang w:val="en-US" w:eastAsia="zh-CN"/>
        </w:rPr>
        <w:t>0</w:t>
      </w:r>
      <w:r>
        <w:rPr>
          <w:rFonts w:hint="eastAsia" w:ascii="仿宋_GB2312" w:hAnsi="微软雅黑" w:eastAsia="仿宋_GB2312" w:cs="仿宋_GB2312"/>
          <w:color w:val="444444"/>
          <w:kern w:val="0"/>
          <w:sz w:val="28"/>
          <w:szCs w:val="28"/>
          <w:shd w:val="clear" w:color="auto" w:fill="FFFFFF"/>
        </w:rPr>
        <w:t>万元，项目支出</w:t>
      </w:r>
      <w:r>
        <w:rPr>
          <w:rFonts w:ascii="仿宋_GB2312" w:hAnsi="微软雅黑" w:eastAsia="仿宋_GB2312" w:cs="仿宋_GB2312"/>
          <w:color w:val="444444"/>
          <w:kern w:val="0"/>
          <w:sz w:val="28"/>
          <w:szCs w:val="28"/>
          <w:shd w:val="clear" w:color="auto" w:fill="FFFFFF"/>
        </w:rPr>
        <w:t>为专项经费全部用于专项工作，严格遵循项目管理制度</w:t>
      </w:r>
      <w:r>
        <w:rPr>
          <w:rFonts w:hint="eastAsia" w:ascii="仿宋_GB2312" w:hAnsi="微软雅黑" w:eastAsia="仿宋_GB2312" w:cs="仿宋_GB2312"/>
          <w:color w:val="444444"/>
          <w:kern w:val="0"/>
          <w:sz w:val="28"/>
          <w:szCs w:val="28"/>
          <w:shd w:val="clear" w:color="auto" w:fill="FFFFFF"/>
          <w:lang w:val="en-US" w:eastAsia="zh-CN"/>
        </w:rPr>
        <w:t>.</w:t>
      </w:r>
    </w:p>
    <w:p>
      <w:pPr>
        <w:widowControl/>
        <w:shd w:val="clear" w:color="auto" w:fill="FFFFFF"/>
        <w:spacing w:line="579" w:lineRule="atLeast"/>
        <w:jc w:val="left"/>
        <w:rPr>
          <w:rFonts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3、三公经费的支出情况</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00"/>
        <w:jc w:val="both"/>
        <w:rPr>
          <w:rFonts w:hint="default" w:ascii="仿宋_GB2312" w:hAnsi="微软雅黑" w:eastAsia="仿宋_GB2312" w:cs="仿宋_GB2312"/>
          <w:color w:val="444444"/>
          <w:sz w:val="28"/>
          <w:szCs w:val="28"/>
          <w:shd w:val="clear" w:color="auto" w:fill="FFFFFF"/>
        </w:rPr>
      </w:pPr>
      <w:r>
        <w:rPr>
          <w:rFonts w:ascii="仿宋_GB2312" w:hAnsi="微软雅黑" w:eastAsia="仿宋_GB2312" w:cs="仿宋_GB2312"/>
          <w:color w:val="444444"/>
          <w:sz w:val="28"/>
          <w:szCs w:val="28"/>
          <w:shd w:val="clear" w:color="auto" w:fill="FFFFFF"/>
        </w:rPr>
        <w:t>按照财政要求，2021年预决算及三公经费均在网站上实行公开。严格控制三公经费支出，公务接待报账必须附公函、招待审批单及菜单。从三公经费的使用情况来看，2021年度公务招待费</w:t>
      </w:r>
      <w:r>
        <w:rPr>
          <w:rFonts w:hint="eastAsia" w:ascii="仿宋_GB2312" w:hAnsi="微软雅黑" w:eastAsia="仿宋_GB2312" w:cs="仿宋_GB2312"/>
          <w:color w:val="444444"/>
          <w:sz w:val="28"/>
          <w:szCs w:val="28"/>
          <w:shd w:val="clear" w:color="auto" w:fill="FFFFFF"/>
          <w:lang w:val="en-US" w:eastAsia="zh-CN"/>
        </w:rPr>
        <w:t>0</w:t>
      </w:r>
      <w:r>
        <w:rPr>
          <w:rFonts w:ascii="仿宋_GB2312" w:hAnsi="微软雅黑" w:eastAsia="仿宋_GB2312" w:cs="仿宋_GB2312"/>
          <w:color w:val="444444"/>
          <w:sz w:val="28"/>
          <w:szCs w:val="28"/>
          <w:shd w:val="clear" w:color="auto" w:fill="FFFFFF"/>
        </w:rPr>
        <w:t>万元、出国（境）费0元、公务车运行费0万元，分别占机关运行经费</w:t>
      </w:r>
      <w:r>
        <w:rPr>
          <w:rFonts w:hint="eastAsia" w:ascii="仿宋_GB2312" w:hAnsi="微软雅黑" w:eastAsia="仿宋_GB2312" w:cs="仿宋_GB2312"/>
          <w:color w:val="444444"/>
          <w:sz w:val="28"/>
          <w:szCs w:val="28"/>
          <w:shd w:val="clear" w:color="auto" w:fill="FFFFFF"/>
          <w:lang w:val="en-US" w:eastAsia="zh-CN"/>
        </w:rPr>
        <w:t>59.76</w:t>
      </w:r>
      <w:r>
        <w:rPr>
          <w:rFonts w:ascii="仿宋_GB2312" w:hAnsi="微软雅黑" w:eastAsia="仿宋_GB2312" w:cs="仿宋_GB2312"/>
          <w:color w:val="444444"/>
          <w:sz w:val="28"/>
          <w:szCs w:val="28"/>
          <w:shd w:val="clear" w:color="auto" w:fill="FFFFFF"/>
        </w:rPr>
        <w:t>万元的</w:t>
      </w:r>
      <w:r>
        <w:rPr>
          <w:rFonts w:hint="eastAsia" w:ascii="仿宋_GB2312" w:hAnsi="微软雅黑" w:eastAsia="仿宋_GB2312" w:cs="仿宋_GB2312"/>
          <w:color w:val="444444"/>
          <w:sz w:val="28"/>
          <w:szCs w:val="28"/>
          <w:shd w:val="clear" w:color="auto" w:fill="FFFFFF"/>
          <w:lang w:val="en-US" w:eastAsia="zh-CN"/>
        </w:rPr>
        <w:t>0.00</w:t>
      </w:r>
      <w:r>
        <w:rPr>
          <w:rFonts w:ascii="仿宋_GB2312" w:hAnsi="微软雅黑" w:eastAsia="仿宋_GB2312" w:cs="仿宋_GB2312"/>
          <w:color w:val="444444"/>
          <w:sz w:val="28"/>
          <w:szCs w:val="28"/>
          <w:shd w:val="clear" w:color="auto" w:fill="FFFFFF"/>
        </w:rPr>
        <w:t>%、0.00%、0.00%， 2021年“三公”经费较2020年减少</w:t>
      </w:r>
      <w:r>
        <w:rPr>
          <w:rFonts w:hint="eastAsia" w:ascii="仿宋_GB2312" w:hAnsi="微软雅黑" w:eastAsia="仿宋_GB2312" w:cs="仿宋_GB2312"/>
          <w:color w:val="444444"/>
          <w:sz w:val="28"/>
          <w:szCs w:val="28"/>
          <w:shd w:val="clear" w:color="auto" w:fill="FFFFFF"/>
          <w:lang w:val="en-US" w:eastAsia="zh-CN"/>
        </w:rPr>
        <w:t>0.48</w:t>
      </w:r>
      <w:r>
        <w:rPr>
          <w:rFonts w:ascii="仿宋_GB2312" w:hAnsi="微软雅黑" w:eastAsia="仿宋_GB2312" w:cs="仿宋_GB2312"/>
          <w:color w:val="444444"/>
          <w:sz w:val="28"/>
          <w:szCs w:val="28"/>
          <w:shd w:val="clear" w:color="auto" w:fill="FFFFFF"/>
        </w:rPr>
        <w:t>万元，下降</w:t>
      </w:r>
      <w:r>
        <w:rPr>
          <w:rFonts w:hint="eastAsia" w:ascii="仿宋_GB2312" w:hAnsi="微软雅黑" w:eastAsia="仿宋_GB2312" w:cs="仿宋_GB2312"/>
          <w:color w:val="444444"/>
          <w:sz w:val="28"/>
          <w:szCs w:val="28"/>
          <w:shd w:val="clear" w:color="auto" w:fill="FFFFFF"/>
          <w:lang w:val="en-US" w:eastAsia="zh-CN"/>
        </w:rPr>
        <w:t>100%</w:t>
      </w:r>
      <w:r>
        <w:rPr>
          <w:rFonts w:ascii="仿宋_GB2312" w:hAnsi="微软雅黑" w:eastAsia="仿宋_GB2312" w:cs="仿宋_GB2312"/>
          <w:color w:val="444444"/>
          <w:sz w:val="28"/>
          <w:szCs w:val="28"/>
          <w:shd w:val="clear" w:color="auto" w:fill="FFFFFF"/>
        </w:rPr>
        <w:t>，原因是：2021年</w:t>
      </w:r>
      <w:r>
        <w:rPr>
          <w:rFonts w:hint="eastAsia" w:ascii="仿宋_GB2312" w:hAnsi="微软雅黑" w:eastAsia="仿宋_GB2312" w:cs="仿宋_GB2312"/>
          <w:color w:val="444444"/>
          <w:sz w:val="28"/>
          <w:szCs w:val="28"/>
          <w:shd w:val="clear" w:color="auto" w:fill="FFFFFF"/>
        </w:rPr>
        <w:t>我</w:t>
      </w:r>
      <w:r>
        <w:rPr>
          <w:rFonts w:hint="eastAsia" w:ascii="仿宋_GB2312" w:hAnsi="微软雅黑" w:eastAsia="仿宋_GB2312" w:cs="仿宋_GB2312"/>
          <w:color w:val="444444"/>
          <w:sz w:val="28"/>
          <w:szCs w:val="28"/>
          <w:shd w:val="clear" w:color="auto" w:fill="FFFFFF"/>
          <w:lang w:val="en-US" w:eastAsia="zh-CN"/>
        </w:rPr>
        <w:t>部</w:t>
      </w:r>
      <w:r>
        <w:rPr>
          <w:rFonts w:hint="eastAsia" w:ascii="仿宋_GB2312" w:hAnsi="微软雅黑" w:eastAsia="仿宋_GB2312" w:cs="仿宋_GB2312"/>
          <w:color w:val="444444"/>
          <w:sz w:val="28"/>
          <w:szCs w:val="28"/>
          <w:shd w:val="clear" w:color="auto" w:fill="FFFFFF"/>
        </w:rPr>
        <w:t>按照中央、省委、省政府要求，厉行节约，继续严控“三公”经费。</w:t>
      </w:r>
    </w:p>
    <w:p>
      <w:pPr>
        <w:widowControl/>
        <w:shd w:val="clear" w:color="auto" w:fill="FFFFFF"/>
        <w:spacing w:line="579" w:lineRule="atLeast"/>
        <w:jc w:val="left"/>
        <w:rPr>
          <w:rFonts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4、资金管理情况  </w:t>
      </w:r>
    </w:p>
    <w:p>
      <w:pPr>
        <w:widowControl/>
        <w:shd w:val="clear" w:color="auto" w:fill="FFFFFF"/>
        <w:spacing w:line="579" w:lineRule="atLeast"/>
        <w:jc w:val="left"/>
        <w:rPr>
          <w:rFonts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根据《会计法》、《预算法》、《行政单位会计制度》等法律和财政部及省财政厅有关财务规章的规定，我</w:t>
      </w:r>
      <w:r>
        <w:rPr>
          <w:rFonts w:hint="eastAsia" w:ascii="仿宋_GB2312" w:hAnsi="微软雅黑" w:eastAsia="仿宋_GB2312" w:cs="仿宋_GB2312"/>
          <w:color w:val="444444"/>
          <w:kern w:val="0"/>
          <w:sz w:val="28"/>
          <w:szCs w:val="28"/>
          <w:shd w:val="clear" w:color="auto" w:fill="FFFFFF"/>
          <w:lang w:val="en-US" w:eastAsia="zh-CN"/>
        </w:rPr>
        <w:t>部</w:t>
      </w:r>
      <w:r>
        <w:rPr>
          <w:rFonts w:hint="eastAsia" w:ascii="仿宋_GB2312" w:hAnsi="微软雅黑" w:eastAsia="仿宋_GB2312" w:cs="仿宋_GB2312"/>
          <w:color w:val="444444"/>
          <w:kern w:val="0"/>
          <w:sz w:val="28"/>
          <w:szCs w:val="28"/>
          <w:shd w:val="clear" w:color="auto" w:fill="FFFFFF"/>
        </w:rPr>
        <w:t>完善了</w:t>
      </w:r>
      <w:r>
        <w:rPr>
          <w:rFonts w:hint="eastAsia" w:ascii="仿宋_GB2312" w:hAnsi="微软雅黑" w:eastAsia="仿宋_GB2312" w:cs="仿宋_GB2312"/>
          <w:color w:val="444444"/>
          <w:kern w:val="0"/>
          <w:sz w:val="28"/>
          <w:szCs w:val="28"/>
          <w:shd w:val="clear" w:color="auto" w:fill="FFFFFF"/>
          <w:lang w:val="en-US" w:eastAsia="zh-CN"/>
        </w:rPr>
        <w:t>单位</w:t>
      </w:r>
      <w:r>
        <w:rPr>
          <w:rFonts w:hint="eastAsia" w:ascii="仿宋_GB2312" w:hAnsi="微软雅黑" w:eastAsia="仿宋_GB2312" w:cs="仿宋_GB2312"/>
          <w:color w:val="444444"/>
          <w:kern w:val="0"/>
          <w:sz w:val="28"/>
          <w:szCs w:val="28"/>
          <w:shd w:val="clear" w:color="auto" w:fill="FFFFFF"/>
        </w:rPr>
        <w:t xml:space="preserve">财务管理制度。制度明确了经费审批权限和程序，规范了财务报账流程，对公务接待、公务租车、差旅费、培训费等开支进一步细化管理，确保资金在制度下运行、在监督下运行、在阳光下运行。 </w:t>
      </w:r>
    </w:p>
    <w:p>
      <w:pPr>
        <w:widowControl/>
        <w:shd w:val="clear" w:color="auto" w:fill="FFFFFF"/>
        <w:spacing w:line="579" w:lineRule="atLeast"/>
        <w:jc w:val="left"/>
        <w:rPr>
          <w:rFonts w:ascii="楷体_GB2312" w:hAnsi="微软雅黑" w:eastAsia="楷体_GB2312" w:cs="楷体_GB2312"/>
          <w:b/>
          <w:color w:val="444444"/>
          <w:kern w:val="0"/>
          <w:sz w:val="28"/>
          <w:szCs w:val="28"/>
          <w:shd w:val="clear" w:color="auto" w:fill="FFFFFF"/>
        </w:rPr>
      </w:pPr>
      <w:r>
        <w:rPr>
          <w:rFonts w:hint="eastAsia" w:ascii="楷体_GB2312" w:hAnsi="微软雅黑" w:eastAsia="楷体_GB2312" w:cs="楷体_GB2312"/>
          <w:b/>
          <w:color w:val="444444"/>
          <w:kern w:val="0"/>
          <w:sz w:val="28"/>
          <w:szCs w:val="28"/>
          <w:shd w:val="clear" w:color="auto" w:fill="FFFFFF"/>
        </w:rPr>
        <w:t>三、资产管理情况</w:t>
      </w:r>
    </w:p>
    <w:p>
      <w:pPr>
        <w:widowControl/>
        <w:shd w:val="clear" w:color="auto" w:fill="FFFFFF"/>
        <w:spacing w:line="579" w:lineRule="atLeast"/>
        <w:jc w:val="left"/>
        <w:rPr>
          <w:rFonts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w:t>
      </w:r>
      <w:r>
        <w:rPr>
          <w:rFonts w:hint="eastAsia" w:ascii="仿宋_GB2312" w:hAnsi="微软雅黑" w:eastAsia="仿宋_GB2312" w:cs="仿宋_GB2312"/>
          <w:color w:val="444444"/>
          <w:kern w:val="0"/>
          <w:sz w:val="28"/>
          <w:szCs w:val="28"/>
          <w:shd w:val="clear" w:color="auto" w:fill="FFFFFF"/>
          <w:lang w:val="en-US" w:eastAsia="zh-CN"/>
        </w:rPr>
        <w:t>我部</w:t>
      </w:r>
      <w:r>
        <w:rPr>
          <w:rFonts w:hint="eastAsia" w:ascii="仿宋_GB2312" w:hAnsi="微软雅黑" w:eastAsia="仿宋_GB2312" w:cs="仿宋_GB2312"/>
          <w:color w:val="444444"/>
          <w:kern w:val="0"/>
          <w:sz w:val="28"/>
          <w:szCs w:val="28"/>
          <w:shd w:val="clear" w:color="auto" w:fill="FFFFFF"/>
        </w:rPr>
        <w:t>资产采购及管理分岗位负责，资产配置、管理、处置严格按照政府采购及资产管理办法程序办理。资产系统与会计账务的固定资产数据一致。我部资产管理由办公室负责，资产采购按程序实行报批采购，采购后登记造册，再派发到相关科室。我部资产配置合理、保存完整、处置规范、账实相符。202</w:t>
      </w:r>
      <w:r>
        <w:rPr>
          <w:rFonts w:hint="eastAsia" w:ascii="仿宋_GB2312" w:hAnsi="微软雅黑" w:eastAsia="仿宋_GB2312" w:cs="仿宋_GB2312"/>
          <w:color w:val="444444"/>
          <w:kern w:val="0"/>
          <w:sz w:val="28"/>
          <w:szCs w:val="28"/>
          <w:shd w:val="clear" w:color="auto" w:fill="FFFFFF"/>
          <w:lang w:val="en-US" w:eastAsia="zh-CN"/>
        </w:rPr>
        <w:t>1</w:t>
      </w:r>
      <w:r>
        <w:rPr>
          <w:rFonts w:hint="eastAsia" w:ascii="仿宋_GB2312" w:hAnsi="微软雅黑" w:eastAsia="仿宋_GB2312" w:cs="仿宋_GB2312"/>
          <w:color w:val="444444"/>
          <w:kern w:val="0"/>
          <w:sz w:val="28"/>
          <w:szCs w:val="28"/>
          <w:shd w:val="clear" w:color="auto" w:fill="FFFFFF"/>
        </w:rPr>
        <w:t>年我部全面开展固定资产清理工作，对固定资产进行盘点，对调拨和处置的固定资产进行了账务处理。</w:t>
      </w:r>
    </w:p>
    <w:p>
      <w:pPr>
        <w:widowControl/>
        <w:shd w:val="clear" w:color="auto" w:fill="FFFFFF"/>
        <w:spacing w:line="579" w:lineRule="atLeast"/>
        <w:jc w:val="left"/>
        <w:rPr>
          <w:rFonts w:ascii="楷体_GB2312" w:hAnsi="微软雅黑" w:eastAsia="楷体_GB2312" w:cs="楷体_GB2312"/>
          <w:b/>
          <w:color w:val="444444"/>
          <w:kern w:val="0"/>
          <w:sz w:val="28"/>
          <w:szCs w:val="28"/>
          <w:shd w:val="clear" w:color="auto" w:fill="FFFFFF"/>
        </w:rPr>
      </w:pPr>
      <w:r>
        <w:rPr>
          <w:rFonts w:hint="eastAsia" w:ascii="楷体_GB2312" w:hAnsi="微软雅黑" w:eastAsia="楷体_GB2312" w:cs="楷体_GB2312"/>
          <w:b/>
          <w:color w:val="444444"/>
          <w:kern w:val="0"/>
          <w:sz w:val="28"/>
          <w:szCs w:val="28"/>
          <w:shd w:val="clear" w:color="auto" w:fill="FFFFFF"/>
        </w:rPr>
        <w:t>四、绩效评价工作情况</w:t>
      </w:r>
    </w:p>
    <w:p>
      <w:pPr>
        <w:widowControl/>
        <w:shd w:val="clear" w:color="auto" w:fill="FFFFFF"/>
        <w:spacing w:line="579" w:lineRule="atLeast"/>
        <w:jc w:val="left"/>
        <w:rPr>
          <w:rFonts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我部整体绩效评价工作情况：一是职责履行良好。积极开展统战工作，按时按质完成统战工作调研，支持各民主党派开展活动，完善自身组织建设；促进民族宗教领域和谐稳定；促进非公经济健康发展；做好全</w:t>
      </w:r>
      <w:r>
        <w:rPr>
          <w:rFonts w:hint="eastAsia" w:ascii="仿宋_GB2312" w:hAnsi="微软雅黑" w:eastAsia="仿宋_GB2312" w:cs="仿宋_GB2312"/>
          <w:color w:val="444444"/>
          <w:kern w:val="0"/>
          <w:sz w:val="28"/>
          <w:szCs w:val="28"/>
          <w:shd w:val="clear" w:color="auto" w:fill="FFFFFF"/>
          <w:lang w:val="en-US" w:eastAsia="zh-CN"/>
        </w:rPr>
        <w:t>区</w:t>
      </w:r>
      <w:r>
        <w:rPr>
          <w:rFonts w:hint="eastAsia" w:ascii="仿宋_GB2312" w:hAnsi="微软雅黑" w:eastAsia="仿宋_GB2312" w:cs="仿宋_GB2312"/>
          <w:color w:val="444444"/>
          <w:kern w:val="0"/>
          <w:sz w:val="28"/>
          <w:szCs w:val="28"/>
          <w:shd w:val="clear" w:color="auto" w:fill="FFFFFF"/>
        </w:rPr>
        <w:t>海外统战工作，积极联络港澳台侨人士，做好新的社会阶层人士等各领域统战业务工作。二是统战成员凝心聚力，为经济发展做出贡献；统战宣传影响力进一步扩大</w:t>
      </w:r>
      <w:r>
        <w:rPr>
          <w:rFonts w:hint="eastAsia" w:ascii="仿宋_GB2312" w:hAnsi="微软雅黑" w:eastAsia="仿宋_GB2312" w:cs="仿宋_GB2312"/>
          <w:color w:val="444444"/>
          <w:kern w:val="0"/>
          <w:sz w:val="28"/>
          <w:szCs w:val="28"/>
          <w:shd w:val="clear" w:color="auto" w:fill="FFFFFF"/>
          <w:lang w:eastAsia="zh-CN"/>
        </w:rPr>
        <w:t>。</w:t>
      </w:r>
      <w:r>
        <w:rPr>
          <w:rFonts w:hint="eastAsia" w:ascii="仿宋_GB2312" w:hAnsi="微软雅黑" w:eastAsia="仿宋_GB2312" w:cs="仿宋_GB2312"/>
          <w:color w:val="444444"/>
          <w:kern w:val="0"/>
          <w:sz w:val="28"/>
          <w:szCs w:val="28"/>
          <w:shd w:val="clear" w:color="auto" w:fill="FFFFFF"/>
        </w:rPr>
        <w:t>三是部门预算要与履职目标衔接紧密，编制依据充分、数据详实、结构优化、细化可执行；严格“三公经费”管理和使用。四是严格按照政府信息公开有关规定公开相关预决算信息；部门使用预算资金符合相关的财务管理制度的规定。</w:t>
      </w:r>
    </w:p>
    <w:p>
      <w:pPr>
        <w:widowControl/>
        <w:shd w:val="clear" w:color="auto" w:fill="FFFFFF"/>
        <w:spacing w:line="579" w:lineRule="atLeast"/>
        <w:jc w:val="left"/>
        <w:rPr>
          <w:rFonts w:ascii="楷体_GB2312" w:hAnsi="微软雅黑" w:eastAsia="楷体_GB2312" w:cs="楷体_GB2312"/>
          <w:b/>
          <w:color w:val="444444"/>
          <w:kern w:val="0"/>
          <w:sz w:val="28"/>
          <w:szCs w:val="28"/>
          <w:shd w:val="clear" w:color="auto" w:fill="FFFFFF"/>
        </w:rPr>
      </w:pPr>
      <w:r>
        <w:rPr>
          <w:rFonts w:hint="eastAsia" w:ascii="楷体_GB2312" w:hAnsi="微软雅黑" w:eastAsia="楷体_GB2312" w:cs="楷体_GB2312"/>
          <w:b/>
          <w:color w:val="444444"/>
          <w:kern w:val="0"/>
          <w:sz w:val="28"/>
          <w:szCs w:val="28"/>
          <w:shd w:val="clear" w:color="auto" w:fill="FFFFFF"/>
        </w:rPr>
        <w:t>五、综合评价情况及评价结论</w:t>
      </w:r>
    </w:p>
    <w:p>
      <w:pPr>
        <w:widowControl/>
        <w:shd w:val="clear" w:color="auto" w:fill="FFFFFF"/>
        <w:spacing w:line="579" w:lineRule="atLeast"/>
        <w:jc w:val="left"/>
        <w:rPr>
          <w:rFonts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1.绩效目标的实现情况。统一战线各项工作平稳有序发展。2.经济效益。民主党派、非公经济、新的社会阶层等统战人士在脱贫攻坚、助学济困、社会服务等方面彰显作用。3.社会效益。统一战线宣传影响力进一步扩大。4.行政效能：统战部机关不断改善行政管理、严格经费及资产管理，厉行节约，提高了行政效率，降低了行政成本。根据对我部部门整体支出项目绩效评价指标体系和绩效情况的检查，我部部门整体绩效自评分99分。</w:t>
      </w:r>
    </w:p>
    <w:p>
      <w:pPr>
        <w:widowControl/>
        <w:numPr>
          <w:ilvl w:val="0"/>
          <w:numId w:val="2"/>
        </w:numPr>
        <w:shd w:val="clear" w:color="auto" w:fill="FFFFFF"/>
        <w:spacing w:line="579" w:lineRule="atLeast"/>
        <w:jc w:val="left"/>
        <w:rPr>
          <w:rFonts w:ascii="楷体_GB2312" w:hAnsi="微软雅黑" w:eastAsia="楷体_GB2312" w:cs="楷体_GB2312"/>
          <w:b/>
          <w:color w:val="444444"/>
          <w:kern w:val="0"/>
          <w:sz w:val="28"/>
          <w:szCs w:val="28"/>
          <w:shd w:val="clear" w:color="auto" w:fill="FFFFFF"/>
        </w:rPr>
      </w:pPr>
      <w:r>
        <w:rPr>
          <w:rFonts w:hint="eastAsia" w:ascii="楷体_GB2312" w:hAnsi="微软雅黑" w:eastAsia="楷体_GB2312" w:cs="楷体_GB2312"/>
          <w:b/>
          <w:color w:val="444444"/>
          <w:kern w:val="0"/>
          <w:sz w:val="28"/>
          <w:szCs w:val="28"/>
          <w:shd w:val="clear" w:color="auto" w:fill="FFFFFF"/>
        </w:rPr>
        <w:t>部门整体支出主要绩效</w:t>
      </w:r>
    </w:p>
    <w:p>
      <w:pPr>
        <w:widowControl/>
        <w:shd w:val="clear" w:color="auto" w:fill="FFFFFF"/>
        <w:spacing w:line="579" w:lineRule="atLeast"/>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（一）将《条例》作为引领发展的方向指引，广泛凝聚共识</w:t>
      </w:r>
    </w:p>
    <w:p>
      <w:pPr>
        <w:widowControl/>
        <w:shd w:val="clear" w:color="auto" w:fill="FFFFFF"/>
        <w:spacing w:line="579" w:lineRule="atLeast"/>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深入开展《中国共产党统一战线工作条例》学习宣传工作，推动《条例》内容落实落地，为凝聚统战力量打下坚实基础。强化条例学习，结合党史学习教育，把《条例》列入区委常委会会议、区委理论学习中心组会议的重点学习计划，结合党校主体班培训，把《条例》列入全区科级干部年度培训计划，纳入区委党校教学内容，结合统战领域宗教法规知识培训，把《条例》纳入下基层宣讲活动计划，开展送学《条例》进机关、进乡村、进社区、进宗教场所等，确保《条例》学习全覆盖。营造良好宣传氛围，运用“线下+线上”、自媒体、微信平台等多种形式开展《条例》学习宣传，形成良好的宣传舆论氛围。坚持把深入学习宣传《条例》和建党100周年系列宣传报道、铸牢中华民族共同体意识教育和中华优秀传统文化结合起来，传承红色基因，弘扬伟大长征精神，全面宣传《条例》修订的重大意义、主要内容；以区委统战部为主阵地，将《中国共产党统一战线工作条例》内容上墙，打造统战工作文化墙，宣传角。坚持综合运用区政府工作网站、精美北塔新媒体，大力宣传和解读阐述《条例》，协调融媒体中心开设专题专栏，在全社会营造知《条例》、学《条例》、用《条例》的浓厚氛围，确保宣传有实效、有亮点、有特色。强化责任担当，在全区统战工作会上对《中国共产党统一战线工作条例》学习贯彻进行专题部署，通过领导干部讲党课、开展专题辅导等形式提升党员干部对条例内容的掌握和理解。将《条例》的学习贯彻作为年终绩效考核重要内容，纳入各级领导班子绩效考核体系和各级党组巡察范围，以有力的监督检查推动《条例》各项要求落地落实。</w:t>
      </w:r>
    </w:p>
    <w:p>
      <w:pPr>
        <w:widowControl/>
        <w:shd w:val="clear" w:color="auto" w:fill="FFFFFF"/>
        <w:spacing w:line="579" w:lineRule="atLeast"/>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（二）优化党外干部队伍建设，有条不紊完成换届工作</w:t>
      </w:r>
    </w:p>
    <w:p>
      <w:pPr>
        <w:widowControl/>
        <w:shd w:val="clear" w:color="auto" w:fill="FFFFFF"/>
        <w:spacing w:line="579" w:lineRule="atLeast"/>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优化队伍架构，配齐党外干部。完善统战部牵头、各相关部门共同参与的党外人士培养联动机制，进一步发现储备培养人才，对党外代表人士进行共同物色、联合选拔，按照政策要求配备党外干部。目前，区人大、政府、政协按要求配齐了党外领导副职，区法院、区检察院均配备党外班子成员副职，区人大、区政协配备了党外委室主任。同时，成立北塔区统战事务中心，核定事业单位编制2名，目前人员已配备到位，进一步充实了统战队伍。整合资源力量，圆满完成换届。今年是换届之年，各民主党派、工商联圆满完成了换届工作。选举产生了新一届领导班子，顺利实现了各民主党派、工商联组织的新老更替和政治交接，为全区多党合作事业的可持续发展奠定了坚实基础。同时，以高度的政治责任感和紧迫感，周密安排好本届人大、政协换届工作。对本届党外人士安排情况进行全面摸底调查，掌握党外代表人士情况 ，完善了党外代表人士人才库。认真完成非公经济代表人士综合评价工作，并听取工商联、各民主党派、知联会等相关单位的意见，坚持政治标准，切实把政治上能够与党同心同德、有较强的参政议政能力，德才兼备的优秀党外人士选拔上来。今年换届，选举产生区人大代表163人，党外代表63人，占比40%；区政协委员共计147人，党外委员88人，占比60%。</w:t>
      </w:r>
    </w:p>
    <w:p>
      <w:pPr>
        <w:widowControl/>
        <w:shd w:val="clear" w:color="auto" w:fill="FFFFFF"/>
        <w:spacing w:line="579" w:lineRule="atLeast"/>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（三）聚焦促进“两个健康”发展，推动民营经济提档升级</w:t>
      </w:r>
    </w:p>
    <w:p>
      <w:pPr>
        <w:widowControl/>
        <w:shd w:val="clear" w:color="auto" w:fill="FFFFFF"/>
        <w:spacing w:line="579" w:lineRule="atLeast"/>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优化营商环境。区委统战部、区工商联联合区人民法院、区人社局、区总工会、区司法局分别建立完善司法保障工作机制、劳动关系预警机制和“法治体检”常态化机制。构建亲情政商关系，优化营商环境，邀请来自建筑业、制造业、商贸业等33家非公企业代表开展“廉洁清风进企业、凝心聚力促发展”座谈会，并签订《非公经济人士廉洁从业承诺书》，倡导企业诚信经营、廉洁治企。引导思源感恩促同行。完善机制，搭建平台，宣传引导民营经济人士积极参与“万企兴万村”、扶贫帮困、捐资助学等行动。十余家企业以就业帮扶形式共解决200余名贫困户就业难题；举行“同心助学·书香满校园”爱心捐赠活动；发动非公人士参与李子塘村首届黄桃文化旅游节，助力乡村振兴和同心美丽乡村建设。调研走访强本领。联同区发改局组建服务工作组，与辖区企业进行“一对一”联系服务。结合“我为群众办实事”活动开展常态化走访，掌握非公人士思想动态，听取意见建议，帮助企业纾困解难，截至目前共走访企业64家。通过考察学习，形成调研心得4篇，总结报告1篇。组织区内20家民营企业面对面开展座谈，推动金融与实体经济互利双赢、共同发展。组织企业家完成4项由中央、省发起的主题调研，为上级制定优化营商环境政策提供了真实依据。</w:t>
      </w:r>
    </w:p>
    <w:p>
      <w:pPr>
        <w:widowControl/>
        <w:shd w:val="clear" w:color="auto" w:fill="FFFFFF"/>
        <w:spacing w:line="579" w:lineRule="atLeast"/>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（四）落实民宗领域管控措施，确保社会环境和谐稳定</w:t>
      </w:r>
    </w:p>
    <w:p>
      <w:pPr>
        <w:widowControl/>
        <w:shd w:val="clear" w:color="auto" w:fill="FFFFFF"/>
        <w:spacing w:line="579" w:lineRule="atLeast"/>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推进民族团结创建工作。加强教育引导，开展了各级统战干部、宗教专干、宗教人士政策培训讲堂20余次，主题宣传教育活动10余次。同时，扎实开展民族团结进步创建进校园、进宗教场所、进乡村活动。茶元头中学成功创建“民族团结进步示范学校”，持续推进马家村“民族团结进步示范社区（村）”、清真西寺“民族团结进步示范宗教活动场所”市级示范点创建工作。抓实宗教领域风险管控。一方面，推进宗教领域网格化管理体系建设，建立了宗教领域区、镇（街道）、村（社区）三级网络管理和镇（街道）、村(社区)两级责任制，形成上下联动、相互配合、协调有力的管理工作机制。截止目前，全区1镇4街道38个社区已建档立册，确保全区宗教工作“层层有人管、事事有人抓、处处全覆盖”。另一方面，加强依法管理，指导区宗教界加强教风建设和宗教活动场所管理，集中力量解决宗教领域突出问题，联合公安国保、网信、市场监管等有关部门开展打击非法宗教活动、防境外宗教势力“渗透”等专项行动，进一步维护了宗教领域和谐稳定。</w:t>
      </w:r>
    </w:p>
    <w:p>
      <w:pPr>
        <w:widowControl/>
        <w:shd w:val="clear" w:color="auto" w:fill="FFFFFF"/>
        <w:spacing w:line="579" w:lineRule="atLeast"/>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（五）主动谋划服务好中心大局，创新亮点工作有声有色</w:t>
      </w:r>
    </w:p>
    <w:p>
      <w:pPr>
        <w:widowControl/>
        <w:shd w:val="clear" w:color="auto" w:fill="FFFFFF"/>
        <w:spacing w:line="579" w:lineRule="atLeast"/>
        <w:jc w:val="left"/>
        <w:rPr>
          <w:rFonts w:ascii="黑体" w:hAnsi="宋体" w:eastAsia="黑体" w:cs="黑体"/>
          <w:color w:val="C00000"/>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党外人士咨政建言，牵头组织党外代表人士召开协商座谈会、征求意见会、情况通报会等3次,聚焦常态化疫情防控、公共法律服务、民生改善、乡村振兴、民营经济等重点领域，深入调查研究，积极建言献策，形成调研报告6篇。在北塔发展大家谈活动中，提出服务中心大局意见建议20余条，党外人士提出的5条建言献策获评“金点子建议”。区级党外代表、委员“两会”期间共提交了建议意见60余条，为全区“十四五”开好局起好步贡献了统战智慧和力量。深入推动“统战+”深度融合发展，实现与基层党建、创建文明城市、社会治理有机融合，建好“同心”阵地，不断提高统战工作与中心工作的融合度，全力构建统战工作新格局。打造李子塘、贺井、光裕村同心美丽乡村示范片区，</w:t>
      </w:r>
      <w:bookmarkStart w:id="0" w:name="_GoBack"/>
      <w:bookmarkEnd w:id="0"/>
      <w:r>
        <w:rPr>
          <w:rFonts w:hint="eastAsia" w:ascii="仿宋_GB2312" w:hAnsi="微软雅黑" w:eastAsia="仿宋_GB2312" w:cs="仿宋_GB2312"/>
          <w:color w:val="444444"/>
          <w:kern w:val="0"/>
          <w:sz w:val="28"/>
          <w:szCs w:val="28"/>
          <w:shd w:val="clear" w:color="auto" w:fill="FFFFFF"/>
          <w:lang w:eastAsia="zh-CN"/>
        </w:rPr>
        <w:t>巩固拓展脱贫攻坚成果同乡村振兴有效衔接</w:t>
      </w:r>
      <w:r>
        <w:rPr>
          <w:rFonts w:hint="eastAsia" w:ascii="仿宋_GB2312" w:hAnsi="微软雅黑" w:eastAsia="仿宋_GB2312" w:cs="仿宋_GB2312"/>
          <w:color w:val="444444"/>
          <w:kern w:val="0"/>
          <w:sz w:val="28"/>
          <w:szCs w:val="28"/>
          <w:shd w:val="clear" w:color="auto" w:fill="FFFFFF"/>
        </w:rPr>
        <w:t>，李子塘村成功创建省级同心美丽乡村；以铸牢中华民族共同体意识为纲，培育创建特色品牌，茶元小学成功创建市级民族团结创建学校；积极创建马家村示范点，发展少数民族文化；大力实施“侨心工程”，资新社区“侨胞之家”正式揭牌，涵养侨务资源；建成我区首个新的社会阶层人士实践创新基地—“君怡礼院”创新基地，我区新的社会阶层人士统战工作迈入新发展阶段。深入联络联谊汇聚侨才。今年7月，我区召开第一次归侨侨眷代表大会，选举产生了北塔区侨联第一届班子，对海外资源进行了全面摸底，经统计，北塔区现有海外华侨53人，归侨2人，归侨侨眷109人,归国留学生20人,港澳台191人，建立华侨、华人及港澳同胞重点人士信息库18人。并组织对有影响力、有代表性的港澳台胞、归侨侨眷、海外侨胞进行有针对性地走访，推介北塔的创新开放政策和营商投资环境，宣传北塔文化和改革发展的新变化、新成就，鼓励港澳同胞和海外侨胞回北塔创新创业。</w:t>
      </w:r>
    </w:p>
    <w:p>
      <w:pPr>
        <w:widowControl/>
        <w:numPr>
          <w:ilvl w:val="0"/>
          <w:numId w:val="2"/>
        </w:numPr>
        <w:shd w:val="clear" w:color="auto" w:fill="FFFFFF"/>
        <w:spacing w:line="579" w:lineRule="atLeast"/>
        <w:jc w:val="left"/>
        <w:rPr>
          <w:rFonts w:ascii="楷体_GB2312" w:hAnsi="微软雅黑" w:eastAsia="楷体_GB2312" w:cs="楷体_GB2312"/>
          <w:b/>
          <w:color w:val="444444"/>
          <w:kern w:val="0"/>
          <w:sz w:val="28"/>
          <w:szCs w:val="28"/>
          <w:shd w:val="clear" w:color="auto" w:fill="FFFFFF"/>
        </w:rPr>
      </w:pPr>
      <w:r>
        <w:rPr>
          <w:rFonts w:hint="eastAsia" w:ascii="楷体_GB2312" w:hAnsi="微软雅黑" w:eastAsia="楷体_GB2312" w:cs="楷体_GB2312"/>
          <w:b/>
          <w:color w:val="444444"/>
          <w:kern w:val="0"/>
          <w:sz w:val="28"/>
          <w:szCs w:val="28"/>
          <w:shd w:val="clear" w:color="auto" w:fill="FFFFFF"/>
        </w:rPr>
        <w:t>存在的问题</w:t>
      </w:r>
    </w:p>
    <w:p>
      <w:pPr>
        <w:widowControl/>
        <w:numPr>
          <w:ilvl w:val="0"/>
          <w:numId w:val="3"/>
        </w:numPr>
        <w:shd w:val="clear" w:color="auto" w:fill="FFFFFF"/>
        <w:spacing w:line="579" w:lineRule="atLeast"/>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统战工作任务艰巨，统战经费需求有缺口。</w:t>
      </w:r>
    </w:p>
    <w:p>
      <w:pPr>
        <w:widowControl/>
        <w:numPr>
          <w:ilvl w:val="0"/>
          <w:numId w:val="3"/>
        </w:numPr>
        <w:shd w:val="clear" w:color="auto" w:fill="FFFFFF"/>
        <w:spacing w:line="579" w:lineRule="atLeast"/>
        <w:ind w:left="0" w:leftChars="0" w:firstLine="0" w:firstLineChars="0"/>
        <w:jc w:val="left"/>
        <w:rPr>
          <w:rFonts w:hint="eastAsia"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没有正式的专职的财务人员，现在财务工作报表任务越来越重，一定程度影响了相关工作的开展。</w:t>
      </w:r>
    </w:p>
    <w:p>
      <w:pPr>
        <w:widowControl/>
        <w:numPr>
          <w:ilvl w:val="0"/>
          <w:numId w:val="0"/>
        </w:numPr>
        <w:shd w:val="clear" w:color="auto" w:fill="FFFFFF"/>
        <w:spacing w:line="579" w:lineRule="atLeast"/>
        <w:ind w:leftChars="0"/>
        <w:jc w:val="left"/>
        <w:rPr>
          <w:rFonts w:ascii="微软雅黑" w:hAnsi="微软雅黑" w:eastAsia="微软雅黑" w:cs="微软雅黑"/>
          <w:color w:val="C00000"/>
          <w:sz w:val="24"/>
        </w:rPr>
      </w:pPr>
      <w:r>
        <w:rPr>
          <w:rFonts w:hint="eastAsia" w:ascii="仿宋_GB2312" w:hAnsi="微软雅黑" w:eastAsia="仿宋_GB2312" w:cs="仿宋_GB2312"/>
          <w:color w:val="444444"/>
          <w:kern w:val="0"/>
          <w:sz w:val="28"/>
          <w:szCs w:val="28"/>
          <w:shd w:val="clear" w:color="auto" w:fill="FFFFFF"/>
        </w:rPr>
        <w:t>3、固定资产管理效率还有待提高。如机关资产管理的具体工作由办公室实施，但未配备专职的资产管理人员，一人多岗的现象长期存在。</w:t>
      </w:r>
    </w:p>
    <w:p>
      <w:pPr>
        <w:widowControl/>
        <w:numPr>
          <w:ilvl w:val="0"/>
          <w:numId w:val="2"/>
        </w:numPr>
        <w:shd w:val="clear" w:color="auto" w:fill="FFFFFF"/>
        <w:spacing w:line="579" w:lineRule="atLeast"/>
        <w:jc w:val="left"/>
        <w:rPr>
          <w:rFonts w:ascii="楷体_GB2312" w:hAnsi="微软雅黑" w:eastAsia="楷体_GB2312" w:cs="楷体_GB2312"/>
          <w:b/>
          <w:color w:val="444444"/>
          <w:kern w:val="0"/>
          <w:sz w:val="28"/>
          <w:szCs w:val="28"/>
          <w:shd w:val="clear" w:color="auto" w:fill="FFFFFF"/>
        </w:rPr>
      </w:pPr>
      <w:r>
        <w:rPr>
          <w:rFonts w:hint="eastAsia" w:ascii="楷体_GB2312" w:hAnsi="微软雅黑" w:eastAsia="楷体_GB2312" w:cs="楷体_GB2312"/>
          <w:b/>
          <w:color w:val="444444"/>
          <w:kern w:val="0"/>
          <w:sz w:val="28"/>
          <w:szCs w:val="28"/>
          <w:shd w:val="clear" w:color="auto" w:fill="FFFFFF"/>
        </w:rPr>
        <w:t>改进措施和有关建议</w:t>
      </w:r>
    </w:p>
    <w:p>
      <w:pPr>
        <w:widowControl/>
        <w:shd w:val="clear" w:color="auto" w:fill="FFFFFF"/>
        <w:spacing w:line="579" w:lineRule="atLeast"/>
        <w:jc w:val="left"/>
        <w:rPr>
          <w:rFonts w:ascii="仿宋_GB2312" w:hAnsi="微软雅黑" w:eastAsia="仿宋_GB2312" w:cs="仿宋_GB2312"/>
          <w:color w:val="444444"/>
          <w:kern w:val="0"/>
          <w:sz w:val="28"/>
          <w:szCs w:val="28"/>
          <w:shd w:val="clear" w:color="auto" w:fill="FFFFFF"/>
        </w:rPr>
      </w:pPr>
      <w:r>
        <w:rPr>
          <w:rFonts w:hint="eastAsia" w:ascii="仿宋_GB2312" w:hAnsi="微软雅黑" w:eastAsia="仿宋_GB2312" w:cs="仿宋_GB2312"/>
          <w:color w:val="444444"/>
          <w:kern w:val="0"/>
          <w:sz w:val="28"/>
          <w:szCs w:val="28"/>
          <w:shd w:val="clear" w:color="auto" w:fill="FFFFFF"/>
        </w:rPr>
        <w:t xml:space="preserve">    根据统战工作性质和实际情况，提高年初部门预算额度，加强部门预算编制的准确度，进一步规范绩效目标编制，在编制项目资金绩效目标时要求指向明确、细化量化、合理可行、相应匹配。认真提高业务水平，更加严格执行预决算，保障各项工作任务圆满完成。 加强监管，定期对资产进行清查，建立资产卡片、做到账实相符。 </w:t>
      </w:r>
    </w:p>
    <w:p>
      <w:pPr>
        <w:widowControl/>
        <w:shd w:val="clear" w:color="auto" w:fill="FFFFFF"/>
        <w:spacing w:line="579" w:lineRule="atLeast"/>
        <w:jc w:val="left"/>
        <w:rPr>
          <w:rFonts w:ascii="仿宋_GB2312" w:hAnsi="微软雅黑" w:eastAsia="仿宋_GB2312" w:cs="仿宋_GB2312"/>
          <w:color w:val="444444"/>
          <w:kern w:val="0"/>
          <w:sz w:val="28"/>
          <w:szCs w:val="28"/>
          <w:shd w:val="clear" w:color="auto" w:fill="FFFFFF"/>
        </w:rPr>
      </w:pPr>
    </w:p>
    <w:p>
      <w:pPr>
        <w:widowControl/>
        <w:shd w:val="clear" w:color="auto" w:fill="FFFFFF"/>
        <w:spacing w:line="579" w:lineRule="atLeast"/>
        <w:jc w:val="left"/>
        <w:rPr>
          <w:rFonts w:ascii="仿宋_GB2312" w:hAnsi="微软雅黑" w:eastAsia="仿宋_GB2312" w:cs="仿宋_GB2312"/>
          <w:color w:val="444444"/>
          <w:kern w:val="0"/>
          <w:sz w:val="28"/>
          <w:szCs w:val="28"/>
          <w:shd w:val="clear" w:color="auto" w:fill="FFFFFF"/>
        </w:rPr>
      </w:pPr>
    </w:p>
    <w:p>
      <w:pPr>
        <w:widowControl/>
        <w:shd w:val="clear" w:color="auto" w:fill="FFFFFF"/>
        <w:spacing w:line="579" w:lineRule="atLeast"/>
        <w:jc w:val="left"/>
        <w:rPr>
          <w:rFonts w:ascii="仿宋_GB2312" w:hAnsi="微软雅黑" w:eastAsia="仿宋_GB2312" w:cs="仿宋_GB2312"/>
          <w:color w:val="444444"/>
          <w:kern w:val="0"/>
          <w:sz w:val="28"/>
          <w:szCs w:val="28"/>
          <w:shd w:val="clear" w:color="auto" w:fill="FFFFFF"/>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ascii="黑体" w:hAnsi="宋体" w:eastAsia="黑体"/>
          <w:sz w:val="32"/>
          <w:szCs w:val="32"/>
        </w:rPr>
      </w:pPr>
      <w:r>
        <w:rPr>
          <w:rFonts w:hint="eastAsia" w:ascii="黑体" w:eastAsia="黑体"/>
          <w:sz w:val="32"/>
          <w:szCs w:val="32"/>
        </w:rPr>
        <w:t>附件3</w:t>
      </w:r>
    </w:p>
    <w:p>
      <w:pPr>
        <w:rPr>
          <w:rFonts w:eastAsia="黑体"/>
          <w:sz w:val="44"/>
        </w:rPr>
      </w:pPr>
    </w:p>
    <w:p>
      <w:pPr>
        <w:rPr>
          <w:rFonts w:eastAsia="黑体"/>
          <w:sz w:val="44"/>
        </w:rPr>
      </w:pPr>
    </w:p>
    <w:p>
      <w:pPr>
        <w:rPr>
          <w:rFonts w:eastAsia="黑体"/>
          <w:sz w:val="44"/>
        </w:rPr>
      </w:pPr>
    </w:p>
    <w:p>
      <w:pPr>
        <w:rPr>
          <w:rFonts w:ascii="宋体" w:hAnsi="宋体"/>
          <w:sz w:val="44"/>
          <w:szCs w:val="44"/>
        </w:rPr>
      </w:pPr>
    </w:p>
    <w:p>
      <w:pPr>
        <w:jc w:val="center"/>
        <w:rPr>
          <w:rFonts w:ascii="宋体" w:hAnsi="宋体"/>
          <w:sz w:val="44"/>
          <w:szCs w:val="44"/>
        </w:rPr>
      </w:pPr>
      <w:r>
        <w:rPr>
          <w:rFonts w:hint="eastAsia" w:ascii="宋体" w:hAnsi="宋体"/>
          <w:sz w:val="44"/>
          <w:szCs w:val="44"/>
        </w:rPr>
        <w:t xml:space="preserve">部门整体支出绩效评价报告   </w:t>
      </w:r>
    </w:p>
    <w:p>
      <w:pPr>
        <w:jc w:val="center"/>
        <w:rPr>
          <w:rFonts w:ascii="宋体" w:hAnsi="宋体"/>
          <w:sz w:val="44"/>
          <w:szCs w:val="44"/>
        </w:rPr>
      </w:pPr>
      <w:r>
        <w:rPr>
          <w:rFonts w:hint="eastAsia" w:ascii="宋体" w:hAnsi="宋体"/>
          <w:sz w:val="44"/>
          <w:szCs w:val="44"/>
        </w:rPr>
        <w:t>（封面）</w:t>
      </w:r>
    </w:p>
    <w:p>
      <w:pPr>
        <w:spacing w:line="1000" w:lineRule="exact"/>
        <w:rPr>
          <w:bCs/>
          <w:sz w:val="32"/>
          <w:szCs w:val="32"/>
          <w:u w:val="single"/>
        </w:rPr>
      </w:pPr>
      <w:r>
        <w:rPr>
          <w:rFonts w:hint="eastAsia"/>
          <w:b/>
          <w:bCs/>
          <w:sz w:val="32"/>
          <w:szCs w:val="32"/>
        </w:rPr>
        <w:t xml:space="preserve">自评单位：   </w:t>
      </w:r>
      <w:r>
        <w:rPr>
          <w:rFonts w:hint="eastAsia"/>
          <w:b/>
          <w:bCs/>
          <w:sz w:val="32"/>
          <w:szCs w:val="32"/>
          <w:lang w:val="en-US" w:eastAsia="zh-CN"/>
        </w:rPr>
        <w:t>北塔区</w:t>
      </w:r>
      <w:r>
        <w:rPr>
          <w:rFonts w:hint="eastAsia"/>
          <w:b/>
          <w:bCs/>
          <w:sz w:val="32"/>
          <w:szCs w:val="32"/>
          <w:u w:val="single"/>
        </w:rPr>
        <w:t>委统战部</w:t>
      </w:r>
      <w:r>
        <w:rPr>
          <w:rFonts w:hint="eastAsia"/>
          <w:bCs/>
          <w:sz w:val="32"/>
          <w:szCs w:val="32"/>
        </w:rPr>
        <w:t>（单位公章）</w:t>
      </w: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jc w:val="center"/>
        <w:rPr>
          <w:rFonts w:ascii="楷体" w:hAnsi="楷体" w:eastAsia="楷体" w:cs="楷体"/>
          <w:sz w:val="36"/>
        </w:rPr>
      </w:pPr>
      <w:r>
        <w:rPr>
          <w:rFonts w:hint="eastAsia" w:ascii="楷体" w:hAnsi="楷体" w:eastAsia="楷体" w:cs="楷体"/>
          <w:sz w:val="36"/>
        </w:rPr>
        <w:t>日期：　　年　　月　　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left"/>
        <w:rPr>
          <w:rFonts w:ascii="黑体" w:hAnsi="黑体" w:eastAsia="黑体" w:cs="黑体"/>
          <w:sz w:val="32"/>
          <w:szCs w:val="32"/>
        </w:rPr>
      </w:pPr>
    </w:p>
    <w:p>
      <w:pPr>
        <w:jc w:val="center"/>
        <w:rPr>
          <w:rFonts w:ascii="宋体" w:hAnsi="宋体"/>
          <w:sz w:val="44"/>
          <w:szCs w:val="44"/>
        </w:rPr>
      </w:pPr>
    </w:p>
    <w:p>
      <w:pPr>
        <w:spacing w:line="600" w:lineRule="exact"/>
        <w:rPr>
          <w:sz w:val="36"/>
        </w:rPr>
      </w:pPr>
    </w:p>
    <w:p>
      <w:pPr>
        <w:spacing w:line="600" w:lineRule="exact"/>
        <w:rPr>
          <w:sz w:val="36"/>
        </w:rPr>
      </w:pPr>
    </w:p>
    <w:p>
      <w:pPr>
        <w:widowControl/>
        <w:shd w:val="clear" w:color="auto" w:fill="FFFFFF"/>
        <w:spacing w:line="579" w:lineRule="atLeast"/>
        <w:ind w:firstLine="640"/>
        <w:jc w:val="left"/>
        <w:rPr>
          <w:rFonts w:ascii="微软雅黑" w:hAnsi="微软雅黑" w:eastAsia="微软雅黑" w:cs="微软雅黑"/>
          <w:color w:val="C00000"/>
          <w:sz w:val="24"/>
        </w:rPr>
      </w:pPr>
    </w:p>
    <w:p>
      <w:pPr>
        <w:widowControl/>
        <w:shd w:val="clear" w:color="auto" w:fill="FFFFFF"/>
        <w:ind w:firstLine="640"/>
        <w:jc w:val="center"/>
        <w:rPr>
          <w:rFonts w:ascii="微软雅黑" w:hAnsi="微软雅黑" w:eastAsia="微软雅黑" w:cs="微软雅黑"/>
          <w:color w:val="444444"/>
          <w:sz w:val="24"/>
        </w:rPr>
      </w:pPr>
      <w:r>
        <w:rPr>
          <w:rFonts w:hint="eastAsia" w:ascii="宋体" w:hAnsi="宋体" w:cs="宋体"/>
          <w:color w:val="000000"/>
          <w:kern w:val="0"/>
          <w:sz w:val="32"/>
          <w:szCs w:val="32"/>
          <w:shd w:val="clear" w:color="auto" w:fill="FFFFFF"/>
        </w:rPr>
        <w:t> </w:t>
      </w:r>
    </w:p>
    <w:p>
      <w:pPr>
        <w:widowControl/>
        <w:shd w:val="clear" w:color="auto" w:fill="FFFFFF"/>
        <w:spacing w:line="600" w:lineRule="atLeast"/>
        <w:ind w:firstLine="480"/>
        <w:jc w:val="left"/>
        <w:rPr>
          <w:rFonts w:ascii="微软雅黑" w:hAnsi="微软雅黑" w:eastAsia="微软雅黑" w:cs="微软雅黑"/>
          <w:color w:val="444444"/>
          <w:sz w:val="24"/>
        </w:rPr>
      </w:pPr>
      <w:r>
        <w:rPr>
          <w:rFonts w:hint="eastAsia" w:ascii="宋体" w:hAnsi="宋体" w:cs="宋体"/>
          <w:color w:val="444444"/>
          <w:kern w:val="0"/>
          <w:sz w:val="24"/>
          <w:shd w:val="clear" w:color="auto" w:fill="FFFFFF"/>
        </w:rPr>
        <w:t>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41DAB"/>
    <w:multiLevelType w:val="singleLevel"/>
    <w:tmpl w:val="36841DAB"/>
    <w:lvl w:ilvl="0" w:tentative="0">
      <w:start w:val="1"/>
      <w:numFmt w:val="decimal"/>
      <w:suff w:val="nothing"/>
      <w:lvlText w:val="%1、"/>
      <w:lvlJc w:val="left"/>
    </w:lvl>
  </w:abstractNum>
  <w:abstractNum w:abstractNumId="1">
    <w:nsid w:val="6322D7B0"/>
    <w:multiLevelType w:val="singleLevel"/>
    <w:tmpl w:val="6322D7B0"/>
    <w:lvl w:ilvl="0" w:tentative="0">
      <w:start w:val="2"/>
      <w:numFmt w:val="chineseCounting"/>
      <w:suff w:val="nothing"/>
      <w:lvlText w:val="（%1）"/>
      <w:lvlJc w:val="left"/>
    </w:lvl>
  </w:abstractNum>
  <w:abstractNum w:abstractNumId="2">
    <w:nsid w:val="6323DB4F"/>
    <w:multiLevelType w:val="singleLevel"/>
    <w:tmpl w:val="6323DB4F"/>
    <w:lvl w:ilvl="0" w:tentative="0">
      <w:start w:val="6"/>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DNhM2ZmMTVmYTllNzRiYzA0YjM4OTkwOWUwMmQzMjgifQ=="/>
  </w:docVars>
  <w:rsids>
    <w:rsidRoot w:val="00C454FA"/>
    <w:rsid w:val="00136ECE"/>
    <w:rsid w:val="00563E85"/>
    <w:rsid w:val="005D20FD"/>
    <w:rsid w:val="006E601D"/>
    <w:rsid w:val="009E2663"/>
    <w:rsid w:val="00A64D61"/>
    <w:rsid w:val="00C454FA"/>
    <w:rsid w:val="00D60B80"/>
    <w:rsid w:val="00EA4E40"/>
    <w:rsid w:val="0E2E0E32"/>
    <w:rsid w:val="104B27C4"/>
    <w:rsid w:val="189B7984"/>
    <w:rsid w:val="388A1EEB"/>
    <w:rsid w:val="43144A3F"/>
    <w:rsid w:val="45CC2860"/>
    <w:rsid w:val="4B46751C"/>
    <w:rsid w:val="4BB24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spacing w:after="120" w:line="480" w:lineRule="auto"/>
      <w:ind w:left="420" w:leftChars="200"/>
      <w:textAlignment w:val="baseline"/>
    </w:pPr>
  </w:style>
  <w:style w:type="paragraph" w:styleId="3">
    <w:name w:val="Body Text Indent"/>
    <w:basedOn w:val="1"/>
    <w:qFormat/>
    <w:uiPriority w:val="0"/>
    <w:pPr>
      <w:ind w:left="420" w:leftChars="200"/>
    </w:pPr>
    <w:rPr>
      <w:kern w:val="0"/>
      <w:sz w:val="24"/>
      <w:szCs w:val="20"/>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Body Text First Indent 2"/>
    <w:basedOn w:val="3"/>
    <w:next w:val="1"/>
    <w:qFormat/>
    <w:uiPriority w:val="0"/>
    <w:pPr>
      <w:ind w:firstLine="420" w:firstLineChars="200"/>
    </w:pPr>
  </w:style>
  <w:style w:type="paragraph" w:customStyle="1" w:styleId="10">
    <w:name w:val="[Normal]"/>
    <w:basedOn w:val="1"/>
    <w:qFormat/>
    <w:uiPriority w:val="0"/>
    <w:pPr>
      <w:widowControl/>
      <w:jc w:val="left"/>
    </w:pPr>
    <w:rPr>
      <w:rFonts w:hint="eastAsia" w:ascii="宋体" w:hAnsi="宋体"/>
      <w:kern w:val="0"/>
      <w:sz w:val="24"/>
      <w:szCs w:val="20"/>
    </w:rPr>
  </w:style>
  <w:style w:type="paragraph" w:customStyle="1" w:styleId="11">
    <w:name w:val="样式1"/>
    <w:basedOn w:val="1"/>
    <w:qFormat/>
    <w:uiPriority w:val="0"/>
    <w:rPr>
      <w:sz w:val="32"/>
      <w:szCs w:val="32"/>
    </w:rPr>
  </w:style>
  <w:style w:type="character" w:customStyle="1" w:styleId="12">
    <w:name w:val="页眉 Char"/>
    <w:basedOn w:val="9"/>
    <w:link w:val="5"/>
    <w:qFormat/>
    <w:uiPriority w:val="0"/>
    <w:rPr>
      <w:rFonts w:ascii="Calibri" w:hAnsi="Calibri"/>
      <w:kern w:val="2"/>
      <w:sz w:val="18"/>
      <w:szCs w:val="18"/>
    </w:rPr>
  </w:style>
  <w:style w:type="character" w:customStyle="1" w:styleId="13">
    <w:name w:val="页脚 Char"/>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8819</Words>
  <Characters>9159</Characters>
  <Lines>77</Lines>
  <Paragraphs>21</Paragraphs>
  <TotalTime>36</TotalTime>
  <ScaleCrop>false</ScaleCrop>
  <LinksUpToDate>false</LinksUpToDate>
  <CharactersWithSpaces>9366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2022-09-13T02:52:00Z</dcterms:created>
  <dc:creator>Administrator</dc:creator>
  <cp:lastModifiedBy>游洋</cp:lastModifiedBy>
  <dcterms:modified xsi:type="dcterms:W3CDTF">2025-10-10T02:49:43Z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D60564A6B72C4F16A53C163B3445FAAC</vt:lpwstr>
  </property>
</Properties>
</file>